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dgardoc.xml.htm"/>
      <w:bookmarkStart w:id="1" w:name="ksedgar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Patil Neena 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5TH FL, WATERLOO EXCHANGE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WATERLOO RD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DUBLIN 4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L2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Jazz Pharmaceuticals plc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JAZZ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&amp; Chief Legal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1"/>
        <w:gridCol w:w="904"/>
        <w:gridCol w:w="774"/>
        <w:gridCol w:w="600"/>
        <w:gridCol w:w="349"/>
        <w:gridCol w:w="846"/>
        <w:gridCol w:w="454"/>
        <w:gridCol w:w="840"/>
        <w:gridCol w:w="1163"/>
        <w:gridCol w:w="998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4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1,200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231.83</w:t>
            </w:r>
            <w:r>
              <w:rPr/>
              <w:t xml:space="preserve"> </w:t>
            </w:r>
          </w:p>
        </w:tc>
        <w:tc>
          <w:tcPr>
            <w:tcW w:w="11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51,549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9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was made pursuant to a plan adopted by the reporting person on February 26, 2026 in accordance with Rule 10b5-1 of the Securities Exchange Act of 1934, as amended. The transaction occurred automatically and does not represent a discretionary transaction by the reporting person.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Reporting Person acquired 123 ordinary shares under a Section 423 Employee Stock Purchase Plan on May 29,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/s/Paz Dizon, as attorney in fact For: Neena M. Patil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06/12/2026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783908" TargetMode="External"/><Relationship Id="rId5" Type="http://schemas.openxmlformats.org/officeDocument/2006/relationships/hyperlink" Target="http://www.sec.gov/cgi-bin/browse-edgar?action=getcompany&amp;CIK=000123252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638</Words>
  <Characters>3435</Characters>
  <CharactersWithSpaces>4014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