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Mulligan Seamus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 WATERLOO EXCHANGE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WATERLOO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4</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Jazz Pharmaceuticals plc</w:t>
              </w:r>
            </w:hyperlink>
            <w:r>
              <w:rPr/>
              <w:t xml:space="preserve"> [ </w:t>
            </w:r>
            <w:r>
              <w:rPr>
                <w:rFonts w:ascii="Times;serif" w:hAnsi="Times;serif"/>
                <w:color w:val="0000FF"/>
                <w:sz w:val="24"/>
                <w:shd w:fill="FFFFFF" w:val="clear"/>
              </w:rPr>
              <w:t>JAZZ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853"/>
        <w:gridCol w:w="459"/>
        <w:gridCol w:w="622"/>
        <w:gridCol w:w="1288"/>
        <w:gridCol w:w="1005"/>
        <w:gridCol w:w="94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1,184,633</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101,621</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Nerano Pharma Lim</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are granted pursuant to the Issuer's 2007 Amended and Restated Non-Employee Directors Stock Award Plan. Each restricted stock unit represents a contingent right to receive one ordinary share upon the vesting of the unit. Subject to the Reporting Person's continuous service and certain additional conditions, these units will vest in full on July 23,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beneficially owned by Nerano Pharma Limited, an entity owned and controlled by the reporting person and his immediate family.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/s/Paz Dizon, as attorney in fact For: Seamus Mulligan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6639" TargetMode="External"/><Relationship Id="rId5" Type="http://schemas.openxmlformats.org/officeDocument/2006/relationships/hyperlink" Target="http://www.sec.gov/cgi-bin/browse-edgar?action=getcompany&amp;CIK=0001232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3585</Characters>
  <CharactersWithSpaces>4171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