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5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295910</wp:posOffset>
            </wp:positionV>
            <wp:extent cx="3902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186690</wp:posOffset>
            </wp:positionV>
            <wp:extent cx="39020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2"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001-33500</w:t>
      </w:r>
    </w:p>
    <w:p>
      <w:pPr>
        <w:spacing w:after="0" w:line="8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56" w:lineRule="exact"/>
        <w:rPr>
          <w:sz w:val="24"/>
          <w:szCs w:val="24"/>
          <w:color w:val="auto"/>
        </w:rPr>
      </w:pPr>
    </w:p>
    <w:tbl>
      <w:tblPr>
        <w:tblLayout w:type="fixed"/>
        <w:tblInd w:w="192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5180" w:type="dxa"/>
            <w:vAlign w:val="bottom"/>
          </w:tcPr>
          <w:p>
            <w:pPr>
              <w:ind w:left="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404"/>
        </w:trPr>
        <w:tc>
          <w:tcPr>
            <w:tcW w:w="2040" w:type="dxa"/>
            <w:vAlign w:val="bottom"/>
          </w:tcPr>
          <w:p>
            <w:pPr>
              <w:jc w:val="center"/>
              <w:ind w:right="82"/>
              <w:spacing w:after="0"/>
              <w:rPr>
                <w:sz w:val="20"/>
                <w:szCs w:val="20"/>
                <w:color w:val="auto"/>
              </w:rPr>
            </w:pPr>
            <w:r>
              <w:rPr>
                <w:rFonts w:ascii="Arial" w:cs="Arial" w:eastAsia="Arial" w:hAnsi="Arial"/>
                <w:sz w:val="18"/>
                <w:szCs w:val="18"/>
                <w:b w:val="1"/>
                <w:bCs w:val="1"/>
                <w:color w:val="auto"/>
                <w:w w:val="94"/>
              </w:rPr>
              <w:t>Ireland</w:t>
            </w:r>
          </w:p>
        </w:tc>
        <w:tc>
          <w:tcPr>
            <w:tcW w:w="5180" w:type="dxa"/>
            <w:vAlign w:val="bottom"/>
          </w:tcPr>
          <w:p>
            <w:pPr>
              <w:jc w:val="center"/>
              <w:ind w:left="3964"/>
              <w:spacing w:after="0"/>
              <w:rPr>
                <w:sz w:val="20"/>
                <w:szCs w:val="20"/>
                <w:color w:val="auto"/>
              </w:rPr>
            </w:pPr>
            <w:r>
              <w:rPr>
                <w:rFonts w:ascii="Arial" w:cs="Arial" w:eastAsia="Arial" w:hAnsi="Arial"/>
                <w:sz w:val="18"/>
                <w:szCs w:val="18"/>
                <w:b w:val="1"/>
                <w:bCs w:val="1"/>
                <w:color w:val="auto"/>
                <w:w w:val="89"/>
              </w:rPr>
              <w:t>98-1032470</w:t>
            </w:r>
          </w:p>
        </w:tc>
      </w:tr>
      <w:tr>
        <w:trPr>
          <w:trHeight w:val="180"/>
        </w:trPr>
        <w:tc>
          <w:tcPr>
            <w:tcW w:w="204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(State or other jurisdiction of</w:t>
            </w:r>
          </w:p>
        </w:tc>
        <w:tc>
          <w:tcPr>
            <w:tcW w:w="5180" w:type="dxa"/>
            <w:vAlign w:val="bottom"/>
          </w:tcPr>
          <w:p>
            <w:pPr>
              <w:jc w:val="center"/>
              <w:ind w:left="3984"/>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04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incorporation or organization)</w:t>
            </w:r>
          </w:p>
        </w:tc>
        <w:tc>
          <w:tcPr>
            <w:tcW w:w="5180" w:type="dxa"/>
            <w:vAlign w:val="bottom"/>
          </w:tcPr>
          <w:p>
            <w:pPr>
              <w:jc w:val="center"/>
              <w:ind w:left="396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5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Fourth Floor, Connaught House,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One Burlington Road, Dublin 4, Ireland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011-353-1-634-7800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167640</wp:posOffset>
            </wp:positionV>
            <wp:extent cx="3902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35"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80" w:space="720"/>
            <w:col w:w="5040" w:space="720"/>
            <w:col w:w="2180" w:space="720"/>
            <w:col w:w="320"/>
          </w:cols>
          <w:pgMar w:left="240" w:top="233"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680" w:space="720"/>
            <w:col w:w="160" w:space="240"/>
            <w:col w:w="4640" w:space="720"/>
            <w:col w:w="2180" w:space="720"/>
            <w:col w:w="320"/>
          </w:cols>
          <w:pgMar w:left="240" w:top="233" w:right="279" w:bottom="1440" w:gutter="0" w:footer="0" w:header="0"/>
          <w:type w:val="continuous"/>
        </w:sectPr>
      </w:pPr>
    </w:p>
    <w:p>
      <w:pPr>
        <w:ind w:left="440" w:right="1740"/>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2, 2016, 60,532,109 ordinary shares of the registrant, nominal value $0.0001 per share, were outstanding.</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JUNE 30,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Page</w:t>
            </w:r>
          </w:p>
        </w:tc>
      </w:tr>
      <w:tr>
        <w:trPr>
          <w:trHeight w:val="189"/>
        </w:trPr>
        <w:tc>
          <w:tcPr>
            <w:tcW w:w="3160" w:type="dxa"/>
            <w:vAlign w:val="bottom"/>
            <w:tcBorders>
              <w:bottom w:val="single" w:sz="8" w:color="0000FF"/>
            </w:tcBorders>
            <w:gridSpan w:val="7"/>
          </w:tcPr>
          <w:p>
            <w:pP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6740" w:type="dxa"/>
            <w:vAlign w:val="bottom"/>
            <w:gridSpan w:val="8"/>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780" w:type="dxa"/>
            <w:vAlign w:val="bottom"/>
            <w:gridSpan w:val="2"/>
          </w:tcPr>
          <w:p>
            <w:pPr>
              <w:jc w:val="center"/>
              <w:ind w:left="611"/>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7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76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 June 30, 2016 and December 31, 2015</w:t>
              </w:r>
            </w:hyperlink>
          </w:p>
        </w:tc>
        <w:tc>
          <w:tcPr>
            <w:tcW w:w="780" w:type="dxa"/>
            <w:vAlign w:val="bottom"/>
            <w:gridSpan w:val="2"/>
          </w:tcPr>
          <w:p>
            <w:pPr>
              <w:jc w:val="center"/>
              <w:ind w:left="611"/>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7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760" w:type="dxa"/>
            <w:vAlign w:val="bottom"/>
            <w:gridSpan w:val="1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Income – Three and Six Months Ended June 30, 2016 and 2015</w:t>
              </w:r>
            </w:hyperlink>
          </w:p>
        </w:tc>
        <w:tc>
          <w:tcPr>
            <w:tcW w:w="780" w:type="dxa"/>
            <w:vAlign w:val="bottom"/>
            <w:gridSpan w:val="2"/>
          </w:tcPr>
          <w:p>
            <w:pPr>
              <w:jc w:val="center"/>
              <w:ind w:left="611"/>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7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640" w:type="dxa"/>
            <w:vAlign w:val="bottom"/>
            <w:gridSpan w:val="1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Comprehensive Income – Three and Six Months Ended June 30, 2016 and 2015</w:t>
              </w:r>
            </w:hyperlink>
          </w:p>
        </w:tc>
        <w:tc>
          <w:tcPr>
            <w:tcW w:w="120" w:type="dxa"/>
            <w:vAlign w:val="bottom"/>
          </w:tcPr>
          <w:p>
            <w:pPr>
              <w:spacing w:after="0"/>
              <w:rPr>
                <w:sz w:val="21"/>
                <w:szCs w:val="21"/>
                <w:color w:val="auto"/>
              </w:rPr>
            </w:pPr>
          </w:p>
        </w:tc>
        <w:tc>
          <w:tcPr>
            <w:tcW w:w="780" w:type="dxa"/>
            <w:vAlign w:val="bottom"/>
            <w:gridSpan w:val="2"/>
          </w:tcPr>
          <w:p>
            <w:pPr>
              <w:jc w:val="center"/>
              <w:ind w:left="611"/>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7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7000" w:type="dxa"/>
            <w:vAlign w:val="bottom"/>
            <w:gridSpan w:val="11"/>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Cash Flows – Six Months Ended June 30, 2016 and 2015</w:t>
              </w:r>
            </w:hyperlink>
          </w:p>
        </w:tc>
        <w:tc>
          <w:tcPr>
            <w:tcW w:w="16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center"/>
              <w:ind w:left="611"/>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7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4000" w:type="dxa"/>
            <w:vAlign w:val="bottom"/>
            <w:gridSpan w:val="7"/>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Condensed Consolidated Financial Statements</w:t>
              </w:r>
            </w:hyperlink>
          </w:p>
        </w:tc>
        <w:tc>
          <w:tcPr>
            <w:tcW w:w="3000" w:type="dxa"/>
            <w:vAlign w:val="bottom"/>
            <w:gridSpan w:val="4"/>
          </w:tcPr>
          <w:p>
            <w:pPr>
              <w:spacing w:after="0"/>
              <w:rPr>
                <w:sz w:val="21"/>
                <w:szCs w:val="21"/>
                <w:color w:val="auto"/>
              </w:rPr>
            </w:pPr>
          </w:p>
        </w:tc>
        <w:tc>
          <w:tcPr>
            <w:tcW w:w="1760" w:type="dxa"/>
            <w:vAlign w:val="bottom"/>
            <w:gridSpan w:val="3"/>
          </w:tcPr>
          <w:p>
            <w:pPr>
              <w:spacing w:after="0"/>
              <w:rPr>
                <w:sz w:val="21"/>
                <w:szCs w:val="21"/>
                <w:color w:val="auto"/>
              </w:rPr>
            </w:pPr>
          </w:p>
        </w:tc>
        <w:tc>
          <w:tcPr>
            <w:tcW w:w="780" w:type="dxa"/>
            <w:vAlign w:val="bottom"/>
            <w:gridSpan w:val="2"/>
          </w:tcPr>
          <w:p>
            <w:pPr>
              <w:jc w:val="center"/>
              <w:ind w:left="611"/>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7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8760" w:type="dxa"/>
            <w:vAlign w:val="bottom"/>
            <w:gridSpan w:val="1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 Operations</w:t>
              </w:r>
            </w:hyperlink>
          </w:p>
        </w:tc>
        <w:tc>
          <w:tcPr>
            <w:tcW w:w="780" w:type="dxa"/>
            <w:vAlign w:val="bottom"/>
            <w:gridSpan w:val="2"/>
          </w:tcPr>
          <w:p>
            <w:pPr>
              <w:jc w:val="center"/>
              <w:ind w:left="51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7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0"/>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Quantitative and Qualitative Disclosures About Market Risk</w:t>
              </w:r>
            </w:hyperlink>
          </w:p>
        </w:tc>
        <w:tc>
          <w:tcPr>
            <w:tcW w:w="2300" w:type="dxa"/>
            <w:vAlign w:val="bottom"/>
            <w:gridSpan w:val="4"/>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42</w:t>
              </w:r>
            </w:hyperlink>
          </w:p>
        </w:tc>
        <w:tc>
          <w:tcPr>
            <w:tcW w:w="7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FF"/>
                <w:w w:val="87"/>
              </w:rPr>
            </w:pPr>
            <w:hyperlink w:anchor="page42">
              <w:r>
                <w:rPr>
                  <w:rFonts w:ascii="Arial" w:cs="Arial" w:eastAsia="Arial" w:hAnsi="Arial"/>
                  <w:sz w:val="18"/>
                  <w:szCs w:val="18"/>
                  <w:color w:val="0000FF"/>
                  <w:w w:val="87"/>
                </w:rPr>
                <w:t>Controls and Procedures</w:t>
              </w:r>
            </w:hyperlink>
          </w:p>
        </w:tc>
        <w:tc>
          <w:tcPr>
            <w:tcW w:w="2580" w:type="dxa"/>
            <w:vAlign w:val="bottom"/>
            <w:gridSpan w:val="3"/>
          </w:tcPr>
          <w:p>
            <w:pPr>
              <w:spacing w:after="0"/>
              <w:rPr>
                <w:sz w:val="24"/>
                <w:szCs w:val="24"/>
                <w:color w:val="auto"/>
              </w:rPr>
            </w:pPr>
          </w:p>
        </w:tc>
        <w:tc>
          <w:tcPr>
            <w:tcW w:w="4400" w:type="dxa"/>
            <w:vAlign w:val="bottom"/>
            <w:gridSpan w:val="6"/>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42</w:t>
              </w:r>
            </w:hyperlink>
          </w:p>
        </w:tc>
        <w:tc>
          <w:tcPr>
            <w:tcW w:w="7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372"/>
        </w:trPr>
        <w:tc>
          <w:tcPr>
            <w:tcW w:w="2920" w:type="dxa"/>
            <w:vAlign w:val="bottom"/>
            <w:tcBorders>
              <w:bottom w:val="single" w:sz="8" w:color="0000FF"/>
            </w:tcBorders>
            <w:gridSpan w:val="6"/>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PART II – OTHER INFORMATION</w:t>
              </w:r>
            </w:hyperlink>
          </w:p>
        </w:tc>
        <w:tc>
          <w:tcPr>
            <w:tcW w:w="698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3"/>
          </w:tcPr>
          <w:p>
            <w:pPr>
              <w:spacing w:after="0"/>
              <w:rPr>
                <w:rFonts w:ascii="Arial" w:cs="Arial" w:eastAsia="Arial" w:hAnsi="Arial"/>
                <w:sz w:val="18"/>
                <w:szCs w:val="18"/>
                <w:color w:val="0000FF"/>
                <w:w w:val="85"/>
              </w:rPr>
            </w:pPr>
            <w:hyperlink w:anchor="page43">
              <w:r>
                <w:rPr>
                  <w:rFonts w:ascii="Arial" w:cs="Arial" w:eastAsia="Arial" w:hAnsi="Arial"/>
                  <w:sz w:val="18"/>
                  <w:szCs w:val="18"/>
                  <w:color w:val="0000FF"/>
                  <w:w w:val="85"/>
                </w:rPr>
                <w:t>Legal Proceedings</w:t>
              </w:r>
            </w:hyperlink>
          </w:p>
        </w:tc>
        <w:tc>
          <w:tcPr>
            <w:tcW w:w="7440" w:type="dxa"/>
            <w:vAlign w:val="bottom"/>
            <w:gridSpan w:val="11"/>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43</w:t>
              </w:r>
            </w:hyperlink>
          </w:p>
        </w:tc>
        <w:tc>
          <w:tcPr>
            <w:tcW w:w="7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Risk Factors</w:t>
              </w:r>
            </w:hyperlink>
          </w:p>
        </w:tc>
        <w:tc>
          <w:tcPr>
            <w:tcW w:w="7440" w:type="dxa"/>
            <w:vAlign w:val="bottom"/>
            <w:gridSpan w:val="11"/>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46</w:t>
              </w:r>
            </w:hyperlink>
          </w:p>
        </w:tc>
        <w:tc>
          <w:tcPr>
            <w:tcW w:w="7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8"/>
          </w:tcPr>
          <w:p>
            <w:pPr>
              <w:spacing w:after="0"/>
              <w:rPr>
                <w:rFonts w:ascii="Arial" w:cs="Arial" w:eastAsia="Arial" w:hAnsi="Arial"/>
                <w:sz w:val="18"/>
                <w:szCs w:val="18"/>
                <w:color w:val="0000FF"/>
                <w:w w:val="89"/>
              </w:rPr>
            </w:pPr>
            <w:hyperlink w:anchor="page90">
              <w:r>
                <w:rPr>
                  <w:rFonts w:ascii="Arial" w:cs="Arial" w:eastAsia="Arial" w:hAnsi="Arial"/>
                  <w:sz w:val="18"/>
                  <w:szCs w:val="18"/>
                  <w:color w:val="0000FF"/>
                  <w:w w:val="89"/>
                </w:rPr>
                <w:t>Unregistered Sales of Equity Securities and Use of Proceeds</w:t>
              </w:r>
            </w:hyperlink>
          </w:p>
        </w:tc>
        <w:tc>
          <w:tcPr>
            <w:tcW w:w="4400" w:type="dxa"/>
            <w:vAlign w:val="bottom"/>
            <w:gridSpan w:val="6"/>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FF"/>
                <w:w w:val="89"/>
              </w:rPr>
            </w:pPr>
            <w:hyperlink w:anchor="page90">
              <w:r>
                <w:rPr>
                  <w:rFonts w:ascii="Arial" w:cs="Arial" w:eastAsia="Arial" w:hAnsi="Arial"/>
                  <w:sz w:val="18"/>
                  <w:szCs w:val="18"/>
                  <w:color w:val="0000FF"/>
                  <w:w w:val="89"/>
                </w:rPr>
                <w:t>90</w:t>
              </w:r>
            </w:hyperlink>
          </w:p>
        </w:tc>
        <w:tc>
          <w:tcPr>
            <w:tcW w:w="7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3"/>
          </w:tcPr>
          <w:p>
            <w:pPr>
              <w:spacing w:after="0"/>
              <w:rPr>
                <w:rFonts w:ascii="Arial" w:cs="Arial" w:eastAsia="Arial" w:hAnsi="Arial"/>
                <w:sz w:val="18"/>
                <w:szCs w:val="18"/>
                <w:color w:val="0000FF"/>
                <w:w w:val="91"/>
              </w:rPr>
            </w:pPr>
            <w:hyperlink w:anchor="page91">
              <w:r>
                <w:rPr>
                  <w:rFonts w:ascii="Arial" w:cs="Arial" w:eastAsia="Arial" w:hAnsi="Arial"/>
                  <w:sz w:val="18"/>
                  <w:szCs w:val="18"/>
                  <w:color w:val="0000FF"/>
                  <w:w w:val="91"/>
                </w:rPr>
                <w:t>Other Information</w:t>
              </w:r>
            </w:hyperlink>
          </w:p>
        </w:tc>
        <w:tc>
          <w:tcPr>
            <w:tcW w:w="3040" w:type="dxa"/>
            <w:vAlign w:val="bottom"/>
            <w:gridSpan w:val="5"/>
          </w:tcPr>
          <w:p>
            <w:pPr>
              <w:spacing w:after="0"/>
              <w:rPr>
                <w:sz w:val="24"/>
                <w:szCs w:val="24"/>
                <w:color w:val="auto"/>
              </w:rPr>
            </w:pPr>
          </w:p>
        </w:tc>
        <w:tc>
          <w:tcPr>
            <w:tcW w:w="4400" w:type="dxa"/>
            <w:vAlign w:val="bottom"/>
            <w:gridSpan w:val="6"/>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91</w:t>
              </w:r>
            </w:hyperlink>
          </w:p>
        </w:tc>
        <w:tc>
          <w:tcPr>
            <w:tcW w:w="7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440" w:type="dxa"/>
            <w:vAlign w:val="bottom"/>
            <w:gridSpan w:val="11"/>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3"/>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Exhibits</w:t>
              </w:r>
            </w:hyperlink>
          </w:p>
        </w:tc>
        <w:tc>
          <w:tcPr>
            <w:tcW w:w="7440" w:type="dxa"/>
            <w:vAlign w:val="bottom"/>
            <w:gridSpan w:val="11"/>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93</w:t>
              </w:r>
            </w:hyperlink>
          </w:p>
        </w:tc>
        <w:tc>
          <w:tcPr>
            <w:tcW w:w="7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bl>
    <w:p>
      <w:pPr>
        <w:spacing w:after="0" w:line="337" w:lineRule="exact"/>
        <w:rPr>
          <w:sz w:val="20"/>
          <w:szCs w:val="20"/>
          <w:color w:val="auto"/>
        </w:rPr>
      </w:pPr>
    </w:p>
    <w:p>
      <w:pPr>
        <w:ind w:right="60" w:firstLine="432"/>
        <w:spacing w:after="0" w:line="205" w:lineRule="auto"/>
        <w:rPr>
          <w:sz w:val="20"/>
          <w:szCs w:val="20"/>
          <w:color w:val="auto"/>
        </w:rPr>
      </w:pPr>
      <w:r>
        <w:rPr>
          <w:rFonts w:ascii="Arial" w:cs="Arial" w:eastAsia="Arial" w:hAnsi="Arial"/>
          <w:sz w:val="18"/>
          <w:szCs w:val="18"/>
          <w:color w:val="auto"/>
        </w:rPr>
        <w:t>We own or have rights to various copyrights, trademarks and trade names used in our business in the United States and/or other countries, including the following: Jazz Pharmaceuticals</w:t>
      </w:r>
      <w:r>
        <w:rPr>
          <w:rFonts w:ascii="Arial" w:cs="Arial" w:eastAsia="Arial" w:hAnsi="Arial"/>
          <w:sz w:val="25"/>
          <w:szCs w:val="25"/>
          <w:color w:val="auto"/>
          <w:vertAlign w:val="superscript"/>
        </w:rPr>
        <w:t>®</w:t>
      </w:r>
      <w:r>
        <w:rPr>
          <w:rFonts w:ascii="Arial" w:cs="Arial" w:eastAsia="Arial" w:hAnsi="Arial"/>
          <w:sz w:val="18"/>
          <w:szCs w:val="18"/>
          <w:color w:val="auto"/>
        </w:rPr>
        <w:t>, Xyrem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(sodium oxybate) oral solution, Erwinaze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(asparaginase </w:t>
      </w:r>
      <w:r>
        <w:rPr>
          <w:rFonts w:ascii="Arial" w:cs="Arial" w:eastAsia="Arial" w:hAnsi="Arial"/>
          <w:sz w:val="18"/>
          <w:szCs w:val="18"/>
          <w:i w:val="1"/>
          <w:iCs w:val="1"/>
          <w:color w:val="auto"/>
        </w:rPr>
        <w:t>Erwinia chrysanthemi</w:t>
      </w:r>
      <w:r>
        <w:rPr>
          <w:rFonts w:ascii="Arial" w:cs="Arial" w:eastAsia="Arial" w:hAnsi="Arial"/>
          <w:sz w:val="18"/>
          <w:szCs w:val="18"/>
          <w:color w:val="auto"/>
        </w:rPr>
        <w:t>), Erwinase</w:t>
      </w:r>
      <w:r>
        <w:rPr>
          <w:rFonts w:ascii="Arial" w:cs="Arial" w:eastAsia="Arial" w:hAnsi="Arial"/>
          <w:sz w:val="25"/>
          <w:szCs w:val="25"/>
          <w:color w:val="auto"/>
          <w:vertAlign w:val="superscript"/>
        </w:rPr>
        <w:t>®</w:t>
      </w:r>
      <w:r>
        <w:rPr>
          <w:rFonts w:ascii="Arial" w:cs="Arial" w:eastAsia="Arial" w:hAnsi="Arial"/>
          <w:sz w:val="18"/>
          <w:szCs w:val="18"/>
          <w:color w:val="auto"/>
        </w:rPr>
        <w:t>,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sodium),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Prialt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(ziconotide) intrathecal infusion, CombiPlex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Vyxeos</w:t>
      </w:r>
      <w:r>
        <w:rPr>
          <w:rFonts w:ascii="Arial" w:cs="Arial" w:eastAsia="Arial" w:hAnsi="Arial"/>
          <w:sz w:val="25"/>
          <w:szCs w:val="25"/>
          <w:color w:val="auto"/>
          <w:vertAlign w:val="superscript"/>
        </w:rPr>
        <w:t>TM</w:t>
      </w:r>
      <w:r>
        <w:rPr>
          <w:rFonts w:ascii="Arial" w:cs="Arial" w:eastAsia="Arial" w:hAnsi="Arial"/>
          <w:sz w:val="18"/>
          <w:szCs w:val="18"/>
          <w:color w:val="auto"/>
        </w:rPr>
        <w:t>. This report also includes trademarks, service marks and trade names of other companies. Trademarks, service marks and trade names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44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9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r>
      <w:tr>
        <w:trPr>
          <w:trHeight w:val="250"/>
        </w:trPr>
        <w:tc>
          <w:tcPr>
            <w:tcW w:w="7900" w:type="dxa"/>
            <w:vAlign w:val="bottom"/>
            <w:tcBorders>
              <w:bottom w:val="single" w:sz="8" w:color="CCEEFF"/>
            </w:tcBorders>
            <w:shd w:val="clear" w:color="auto" w:fill="CCEEFF"/>
          </w:tcPr>
          <w:p>
            <w:pPr>
              <w:ind w:left="36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867,966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988,785</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48,409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231,837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209,685</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33,291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19,451</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20,699</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26,244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19,047</w:t>
            </w:r>
          </w:p>
        </w:tc>
      </w:tr>
      <w:tr>
        <w:trPr>
          <w:trHeight w:val="27"/>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1,230,890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1,257,667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93,476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85,572</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1,300,761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1,185,606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661,845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657,139</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 non-current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117,507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122,863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financing costs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6,610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7,209</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27,548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3,448,094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3,343,604</w:t>
            </w:r>
          </w:p>
        </w:tc>
      </w:tr>
      <w:tr>
        <w:trPr>
          <w:trHeight w:val="67"/>
        </w:trPr>
        <w:tc>
          <w:tcPr>
            <w:tcW w:w="79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200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21,807</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157,622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164,070</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37,587</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1,808</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226,721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226,642</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non-current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1,141,652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1,150,857</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 net, non-current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289,906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294,485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94,196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69,253</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8)</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Ordinary shares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Non-voting euro deferred shares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redemption reserve</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1,617,069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1,562,900</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(267,472)</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324,844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302,686</w:t>
            </w:r>
          </w:p>
        </w:tc>
      </w:tr>
      <w:tr>
        <w:trPr>
          <w:trHeight w:val="27"/>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1,692,458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1,598,646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3,448,094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3,343,604</w:t>
            </w:r>
          </w:p>
        </w:tc>
      </w:tr>
      <w:tr>
        <w:trPr>
          <w:trHeight w:val="27"/>
        </w:trPr>
        <w:tc>
          <w:tcPr>
            <w:tcW w:w="7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58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584"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379,110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332,106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713,026</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639,141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Royalties and contract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381,161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333,747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717,171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643,050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Cost of product sales (excluding amortization of intangible assets)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23,980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21,813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47,419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50,111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122,618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251,383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219,520</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39,091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27,833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70,343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55,014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26,737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23,668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49,379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48,345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212,426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180,446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427,274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372,990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168,735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153,301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289,897</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270,060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(32,057)</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gain (loss)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extinguishment and modification of debt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 provision</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156,614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118,760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264,765</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221,519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45,332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79,362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62,706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111,282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88,113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185,403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158,813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Jazz Pharmaceuticals plc</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111,282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88,114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185,403</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158,814</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w w:val="97"/>
              </w:rPr>
              <w:t>Net income attributable to Jazz Pharmaceuticals plc per ordinary share: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6"/>
              </w:rPr>
              <w:t>Weighted-average ordinary shares used in per share calculations - 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60,998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4"/>
              </w:rPr>
              <w:t>Weighted-average ordinary shares used in per share calculations -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61,833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63,090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62,154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63,028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111,282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185,403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158,813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(27,704)</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17,484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(125,953)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(27,704)</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30,544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17,484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(125,953)</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83,578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202,887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32,860</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3"/>
              </w:rPr>
              <w:t>Comprehensive income (loss) attributable to noncontrolling interests,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Comprehensive income attributable to Jazz Pharmaceuticals plc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83,578</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118,656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202,887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32,869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6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185,403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158,813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49,379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48,345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44,119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4,595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Loss on disposal of property and equipment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from share-based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(16,873)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losses on accounts receivable and 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Loss on extinguishment and modification of debt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16,815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and deferred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non-cash transactions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(8,479)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(13,676)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2,129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6,497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14,587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13,271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273,310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237,126</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in-process research and development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intangible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sale of business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33,703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(216,407)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6,271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proceeds from issuance of debt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901,003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employee equity incentive and purchase plans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26,730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Repayments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(895,402)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employee withholding taxes related to share-based awards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Share repurchases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(11,690)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from share-based compensation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(178,690)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3,962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(120,819)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237,601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988,785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684,042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867,966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921,643</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7"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w:t>
      </w:r>
    </w:p>
    <w:p>
      <w:pPr>
        <w:spacing w:after="0" w:line="94"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Jazz Pharmaceuticals plc is an international biopharmaceutical company focused on improving patients’ lives by identifying, developing and commercializing meaningful products that address unmet medical needs.</w:t>
      </w:r>
    </w:p>
    <w:p>
      <w:pPr>
        <w:spacing w:after="0" w:line="35"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We have a diverse portfolio of products and product candidates, with a focus in the areas of sleep and hematology/oncology. Our lead marketed products are:</w:t>
      </w:r>
    </w:p>
    <w:p>
      <w:pPr>
        <w:spacing w:after="0" w:line="31" w:lineRule="exact"/>
        <w:rPr>
          <w:sz w:val="20"/>
          <w:szCs w:val="20"/>
          <w:color w:val="auto"/>
        </w:rPr>
      </w:pPr>
    </w:p>
    <w:p>
      <w:pPr>
        <w:ind w:left="740" w:right="80" w:hanging="327"/>
        <w:spacing w:after="0" w:line="218"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Xyrem</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(sodium oxybate) oral solution</w:t>
      </w:r>
      <w:r>
        <w:rPr>
          <w:rFonts w:ascii="Arial" w:cs="Arial" w:eastAsia="Arial" w:hAnsi="Arial"/>
          <w:sz w:val="18"/>
          <w:szCs w:val="18"/>
          <w:color w:val="auto"/>
        </w:rPr>
        <w:t>, the only product approved by the U.S. Food and Drug Administration, or FDA, for the treatment of both</w:t>
      </w:r>
      <w:r>
        <w:rPr>
          <w:rFonts w:ascii="Arial" w:cs="Arial" w:eastAsia="Arial" w:hAnsi="Arial"/>
          <w:sz w:val="18"/>
          <w:szCs w:val="18"/>
          <w:b w:val="1"/>
          <w:bCs w:val="1"/>
          <w:color w:val="auto"/>
        </w:rPr>
        <w:t xml:space="preserve"> </w:t>
      </w:r>
      <w:r>
        <w:rPr>
          <w:rFonts w:ascii="Arial" w:cs="Arial" w:eastAsia="Arial" w:hAnsi="Arial"/>
          <w:sz w:val="18"/>
          <w:szCs w:val="18"/>
          <w:color w:val="auto"/>
        </w:rPr>
        <w:t>cataplexy and excessive daytime sleepiness, or EDS, in patients with narcolepsy;</w:t>
      </w:r>
    </w:p>
    <w:p>
      <w:pPr>
        <w:spacing w:after="0" w:line="64" w:lineRule="exact"/>
        <w:rPr>
          <w:rFonts w:ascii="Arial" w:cs="Arial" w:eastAsia="Arial" w:hAnsi="Arial"/>
          <w:sz w:val="18"/>
          <w:szCs w:val="18"/>
          <w:color w:val="auto"/>
        </w:rPr>
      </w:pPr>
    </w:p>
    <w:p>
      <w:pPr>
        <w:jc w:val="both"/>
        <w:ind w:left="740" w:right="420" w:hanging="327"/>
        <w:spacing w:after="0" w:line="252"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Erwinaze</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treatment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patients with acute lymphoblastic leukemia, or ALL,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and</w:t>
      </w:r>
    </w:p>
    <w:p>
      <w:pPr>
        <w:spacing w:after="0" w:line="1" w:lineRule="exact"/>
        <w:rPr>
          <w:rFonts w:ascii="Arial" w:cs="Arial" w:eastAsia="Arial" w:hAnsi="Arial"/>
          <w:sz w:val="16"/>
          <w:szCs w:val="16"/>
          <w:color w:val="auto"/>
        </w:rPr>
      </w:pPr>
    </w:p>
    <w:p>
      <w:pPr>
        <w:ind w:left="740" w:right="140" w:hanging="327"/>
        <w:spacing w:after="0" w:line="209"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Defitelio</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or SOS, with renal or pulmonary dysfunction following hematopoietic stem cell transplantation, or HSCT, and in Europe (where it is marketed as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is to create shareholder value by:</w:t>
      </w:r>
    </w:p>
    <w:p>
      <w:pPr>
        <w:spacing w:after="0" w:line="117" w:lineRule="exact"/>
        <w:rPr>
          <w:sz w:val="20"/>
          <w:szCs w:val="20"/>
          <w:color w:val="auto"/>
        </w:rPr>
      </w:pPr>
    </w:p>
    <w:p>
      <w:pPr>
        <w:ind w:left="740" w:right="540" w:hanging="327"/>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Growing sales of the existing products in our portfolio, including by identifying and investing in growth opportunities such as new treatment indications;</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Acquiring clinically meaningful and differentiated products that are on the market or product candidates that are in late-stage development; and</w:t>
      </w:r>
    </w:p>
    <w:p>
      <w:pPr>
        <w:spacing w:after="0" w:line="140" w:lineRule="exact"/>
        <w:rPr>
          <w:rFonts w:ascii="Arial" w:cs="Arial" w:eastAsia="Arial" w:hAnsi="Arial"/>
          <w:sz w:val="16"/>
          <w:szCs w:val="16"/>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Pursuing targeted development of post-discovery differentiated product candidates.</w:t>
      </w:r>
    </w:p>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apply a disciplined approach to allocating our resources between investments in our current commercial and development portfolio and acquisitions or in-licensing of new assets.</w:t>
      </w:r>
    </w:p>
    <w:p>
      <w:pPr>
        <w:spacing w:after="0" w:line="35" w:lineRule="exact"/>
        <w:rPr>
          <w:sz w:val="20"/>
          <w:szCs w:val="20"/>
          <w:color w:val="auto"/>
        </w:rPr>
      </w:pPr>
    </w:p>
    <w:p>
      <w:pPr>
        <w:ind w:right="180" w:firstLine="432"/>
        <w:spacing w:after="0" w:line="237" w:lineRule="auto"/>
        <w:rPr>
          <w:sz w:val="20"/>
          <w:szCs w:val="20"/>
          <w:color w:val="auto"/>
        </w:rPr>
      </w:pPr>
      <w:r>
        <w:rPr>
          <w:rFonts w:ascii="Arial" w:cs="Arial" w:eastAsia="Arial" w:hAnsi="Arial"/>
          <w:sz w:val="18"/>
          <w:szCs w:val="18"/>
          <w:color w:val="auto"/>
        </w:rPr>
        <w:t>On July 12, 2016, we completed the acquisition of Celator Pharmaceuticals, Inc., or Celator, which acquisition we refer to in this report as the Celator Acquisition. The aggregate consideration for the Celator Acquisition was approximately $1.5 billion. The Celator Acquisition broadened our hematology/oncology portfolio with the acquisition of worldwide development and commercialization rights to Vyxeos</w:t>
      </w:r>
      <w:r>
        <w:rPr>
          <w:rFonts w:ascii="Arial" w:cs="Arial" w:eastAsia="Arial" w:hAnsi="Arial"/>
          <w:sz w:val="25"/>
          <w:szCs w:val="25"/>
          <w:color w:val="auto"/>
          <w:vertAlign w:val="superscript"/>
        </w:rPr>
        <w:t>TM</w:t>
      </w:r>
      <w:r>
        <w:rPr>
          <w:rFonts w:ascii="Arial" w:cs="Arial" w:eastAsia="Arial" w:hAnsi="Arial"/>
          <w:sz w:val="18"/>
          <w:szCs w:val="18"/>
          <w:color w:val="auto"/>
        </w:rPr>
        <w:t>, an investigational product in development as a treatment for acute myeloid leukemia, or AML. In addition, the Celator Acquisition provides us with Celator’s proprietary technology platform, CombiPlex®, which enables the rational design and rapid evaluation of optimized combinations of anti-cancer drugs. Please see Note 14 for additional information regarding the Celator Acquisition.</w:t>
      </w:r>
    </w:p>
    <w:p>
      <w:pPr>
        <w:spacing w:after="0" w:line="72" w:lineRule="exact"/>
        <w:rPr>
          <w:sz w:val="20"/>
          <w:szCs w:val="20"/>
          <w:color w:val="auto"/>
        </w:rPr>
      </w:pPr>
    </w:p>
    <w:p>
      <w:pPr>
        <w:ind w:right="360" w:firstLine="432"/>
        <w:spacing w:after="0" w:line="279" w:lineRule="auto"/>
        <w:rPr>
          <w:sz w:val="20"/>
          <w:szCs w:val="20"/>
          <w:color w:val="auto"/>
        </w:rPr>
      </w:pPr>
      <w:r>
        <w:rPr>
          <w:rFonts w:ascii="Arial" w:cs="Arial" w:eastAsia="Arial" w:hAnsi="Arial"/>
          <w:sz w:val="17"/>
          <w:szCs w:val="17"/>
          <w:color w:val="auto"/>
        </w:rPr>
        <w:t>On July 12, 2016, we entered into an amendment to our existing 2015 credit agreement, which we refer to in this report as our amended credit agreement, that provides for a revolving credit facility of $1.25 billion, which replaced our prior revolving credit facility of $750.0 million, and a $750.0 million term loan facility. We used the proceeds of $1.0 billion of loans under the revolving credit facility, together with cash on hand, to fund the Celator Acquisition. The maturity date of both our revolving credit facility and term loan facility was extended from June 2020 to July 2021.</w:t>
      </w:r>
    </w:p>
    <w:p>
      <w:pPr>
        <w:spacing w:after="0" w:line="3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In June 2016, we received FDA approval of our manufacturing and development facility in Ireland. We plan to use this facility for the manufacture of Xyrem and development-stage products.</w:t>
      </w:r>
    </w:p>
    <w:p>
      <w:pPr>
        <w:spacing w:after="0" w:line="35"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Throughout this report, unless otherwise indicated or the context otherwise requires, all references to “Jazz Pharmaceuticals,” “the registrant,” “we,” “us,” and “our” refer to Jazz Pharmaceuticals plc and its consolidated subsidiaries. Throughout this report, all references to “ordinary shares” refer to Jazz Pharmaceuticals plc’s ordinary shares.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These unaudited condensed consolidated financial statements have been prepared following the requirements of the U.S. Securities and Exchange Commission, or SEC, for interim reporting. As permitted under those rules, certain footnotes and other financial information that are normally required by U.S. generally accepted accounting principles, or U.S. GAAP, can be condensed or omitted. The information included in this Quarterly Report on Form 10-Q should be read in conjunction with our annual consolidated financial statements and accompanying notes included in our Annual Report on Form 10-K for the year ended December 31, 2015.</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firstLine="432"/>
        <w:spacing w:after="0" w:line="279" w:lineRule="auto"/>
        <w:rPr>
          <w:sz w:val="20"/>
          <w:szCs w:val="20"/>
          <w:color w:val="auto"/>
        </w:rPr>
      </w:pPr>
      <w:r>
        <w:rPr>
          <w:rFonts w:ascii="Arial" w:cs="Arial" w:eastAsia="Arial" w:hAnsi="Arial"/>
          <w:sz w:val="17"/>
          <w:szCs w:val="17"/>
          <w:color w:val="auto"/>
        </w:rPr>
        <w:t>In the opinion of management, these condensed consolidated financial statements have been prepared on the same basis as the annual consolidated financial statements and include all adjustments, consisting only of normal recurring adjustments, considered necessary for the fair presentation of our financial position and operating results. The results for the three and six months ended June 30, 2016 are not necessarily indicative of the results to be expected for the year ending December 31, 2016, for any other interim period or for any future period.</w:t>
      </w:r>
    </w:p>
    <w:p>
      <w:pPr>
        <w:spacing w:after="0" w:line="36"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These condensed consolidated financial statements include the accounts of Jazz Pharmaceuticals plc and our subsidiaries, and intercompany transactions and balances have been eliminated.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New Accounting Standard</w:t>
      </w:r>
    </w:p>
    <w:p>
      <w:pPr>
        <w:spacing w:after="0" w:line="9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Effective January 1, 2016, we adopted Accounting Standards Update, or ASU, No. 2015-03 “Interest - Imputation of Interest”, or ASU No. 2015-03. ASU No. 2015-03 requires debt issuance costs related to a recognized debt liability to be presented in the balance sheet as a direct deduction from the debt liability instead of as an asset. The standard requires retrospective application. The adoption of ASU No. 2015-03 resulted in a $16.1 million reduction of both deferred financing costs and long-term debt, less current portion in our condensed consolidated balance sheet as of December 31, 2015.</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90"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Our financial results remain significantly influenced by sales of Xyrem. In the three and six months ended June 30, 2016, net product sales of Xyrem were $281.0 million and $530.5 million, respectively, which represented 74% of total net product sales in both periods. Our ability to maintain or increase sales of Xyrem in its approved indications is subject to a number of risks and uncertainties, including the potential introduction of generic competition or an alternative sodium oxybate or other product that competes with Xyrem; changed or increased regulatory restrictions or regulatory actions by the FDA; our suppliers’ ability to obtain sufficient quotas from the U.S. Drug Enforcement Administration, or DEA; any supply, manufacturing or distribution problems arising with any of our suppliers or distributors, all of whom are sole source providers for us; any increase in pricing pressure from or restrictions on reimbursement imposed by third party payors; changes in healthcare laws and policy; continued acceptance of Xyrem by physicians and patients; changes to our label, including new safety warnings or changes to our boxed warning, that further restrict how we market and sell Xyrem; and operational disruptions at the central pharmacy or any failure to comply with our risk evaluation and mitigation strategy, or REMS, obligations to the satisfaction of the FDA.</w:t>
      </w:r>
    </w:p>
    <w:p>
      <w:pPr>
        <w:spacing w:after="0" w:line="32" w:lineRule="exact"/>
        <w:rPr>
          <w:sz w:val="20"/>
          <w:szCs w:val="20"/>
          <w:color w:val="auto"/>
        </w:rPr>
      </w:pPr>
    </w:p>
    <w:p>
      <w:pPr>
        <w:ind w:right="20" w:firstLine="432"/>
        <w:spacing w:after="0" w:line="267" w:lineRule="auto"/>
        <w:rPr>
          <w:sz w:val="20"/>
          <w:szCs w:val="20"/>
          <w:color w:val="auto"/>
        </w:rPr>
      </w:pPr>
      <w:r>
        <w:rPr>
          <w:rFonts w:ascii="Arial" w:cs="Arial" w:eastAsia="Arial" w:hAnsi="Arial"/>
          <w:sz w:val="17"/>
          <w:szCs w:val="17"/>
          <w:color w:val="auto"/>
        </w:rPr>
        <w:t>Seven companies have sent us notices that they have filed abbreviated new drug applications, or ANDAs, with the FDA seeking approval to market a generic version of Xyrem. We have filed lawsuits against each of these companies seeking to prevent the introduction of a generic version of Xyrem that would infringe our patents. In the second quarter of 2016, we settled two of these lawsuits, granting the settling ANDA applicants a license to manufacture, market and sell their generic versions of Xyrem on or after December 31, 2025, or earlier depending on the occurrence of certain events. The court in which our ANDA litigation is ongoing has determined that all of our pending patent litigation against the first ANDA filer, Roxane Laboratories, Inc., or Roxane, will be consolidated for trial and set trial in this consolidated case for the second quarter of 2017. We cannot predict the timing or outcome of this or the other ANDA litigation proceedings. Certain ANDA filers have also filed petitions for inter partes review, or IPR, by the Patent Trial and Appeal Board, or the PTAB, of the U.S. Patent and Trademark Office, or USPTO, with respect to the validity of certain distribution, method of use and formulation patents covering Xyrem. The PTAB instituted IPR trials with respect to patents and patent claims that are the subject of certain of these petitions. In July 2016, the PTAB issued final decisions that the claims of six distribution system patents that were the subject of certain IPR trials are unpatentable; as a result, if the Court of Appeals for the Federal Circuit upholds those decisions or if the time for appeal expires, these claims will be canceled. For a description of these matters, see “Legal Proceedings” in Part II, Item 1 of this Quarterly Report on Form 10-Q. We cannot predict whether additional post-grant patent review challenges will be filed by any of the ANDA filers or any other entity, the outcome of any pending IPR or other proceeding, the outcome of any appeal of the July 2016 IPR decisions with respect to six patents covering the distribution system for Xyrem, whether the PTAB will institute any petitioned IPR proceeding that has not yet been instituted, or the impact any IPR or other proceeding might have on ongoing ANDA litigation proceedings or other aspects of our Xyrem business. We expect that the approval of an ANDA that results in the launch of a generic version of Xyrem, or the approval and launch of other sodium oxybate products that compete with Xyrem, would have a material adverse effect on our business, financial condition, results of operations and growth prospects.</w:t>
      </w:r>
    </w:p>
    <w:p>
      <w:pPr>
        <w:spacing w:after="0" w:line="56" w:lineRule="exact"/>
        <w:rPr>
          <w:sz w:val="20"/>
          <w:szCs w:val="20"/>
          <w:color w:val="auto"/>
        </w:rPr>
      </w:pPr>
    </w:p>
    <w:p>
      <w:pPr>
        <w:ind w:right="240" w:firstLine="432"/>
        <w:spacing w:after="0" w:line="297" w:lineRule="auto"/>
        <w:rPr>
          <w:sz w:val="20"/>
          <w:szCs w:val="20"/>
          <w:color w:val="auto"/>
        </w:rPr>
      </w:pPr>
      <w:r>
        <w:rPr>
          <w:rFonts w:ascii="Arial" w:cs="Arial" w:eastAsia="Arial" w:hAnsi="Arial"/>
          <w:sz w:val="16"/>
          <w:szCs w:val="16"/>
          <w:color w:val="auto"/>
        </w:rPr>
        <w:t>Approval of an ANDA with respect to a generic version of Xyrem will require a REMS, which may be either a single shared REMS with Xyrem or a separate REMS with differing but comparable aspects of elements to assure safe use, or ETASU, in the approved Xyrem REMS. We and the ANDA applicants had interactions with respect to developing a single shared REMS for several years. The ANDA applicants are not currently engaging in single shared REMS discussions with us, but we are seeking to continue the interactions with the goal of developing a single shared REMS. However, we cannot predict whether, or to what extent, our interactions with the ANDA applicants will resume or whether we will develop a single shared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REMS with the ANDA applicants. We are aware that, separate from the discussions with us, the FDA and ANDA applicants have exchanged communications regarding a REMS for sodium oxybate. If we and the ANDA applicants do not develop a single shared REMS, or we do not license or share intellectual property pertinent to our Xyrem REMS with generic competitors within a time frame or on terms that the FDA considers acceptable, the FDA may assert that its waiver authority permits it to approve the ANDA of one or more generic competitors with a separate REMS that differs in some aspects from our approved Xyrem REMS. We also may face pressure to develop a single shared REMS with potential generic competitors for Xyrem that is different from the approved Xyrem REMS or to license or share intellectual property pertinent to the Xyrem REMS, or elements of the Xyrem REMS, including proprietary data required for safe distribution of sodium oxybate, with generic competitors. We cannot predict the outcome or impact on our business of any future action that we may take with respect to the development of a single shared REMS for sodium oxybate, licensing or sharing intellectual property pertinent to our Xyrem REMS or elements of the Xyrem REMS, or the FDA’s response to a request by one or more ANDA applicants for a waiver of the requirement for a single shared REMS, including in connection with a certification that the applicant had been unable to obtain a license. The FDA’s response to any such request could include approval of one or more ANDAs. In addition, the Federal Trade Commission, or FTC, other governmental authorities or others could claim or determine that we are using the Xyrem REMS in an anticompetitive manner (including in light of the FDA’s statement in the Xyrem REMS approval letter that the Xyrem REMS could be used in an anticompetitive manner inconsistent with applicable provisions of the Federal Food, Drug and Cosmetic Act, or FDCA) or have engaged in other anticompetitive practices.</w:t>
      </w:r>
    </w:p>
    <w:p>
      <w:pPr>
        <w:spacing w:after="0" w:line="50"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In August 2015, we implemented the final Xyrem REMS, which was approved by the FDA in February 2015, and we have submitted and expect to continue to submit ongoing assessments as set forth in the FDA’s Xyrem REMS approval letter. The process under which enrolled patients receive Xyrem is complex, and we have transitioned most prescribers and patients to the final Xyrem REMS process and documentation requirements. We have notified the FDA regarding our anticipated timing for completing the transition of the remaining prescribers and patients and that we will continue to work with the remaining prescribers and patients to complete the transition. However, we cannot guarantee that we will be able to transition the remaining prescribers and patients to the final Xyrem REMS, that our notification and ongoing assessments will be satisfactory to the FDA or that the Xyrem REMS will satisfy the FDA’s expectations in its evaluation of the Xyrem REMS on an ongoing basis. Any failure to comply with the REMS obligations could result in enforcement action by the FDA; lead to changes in our Xyrem REMS obligations; negatively affect sales of Xyrem; result in additional costs and expenses for us; and/or take a significant amount of time, any of which could materially and adversely affect our business, financial condition, results of operations and growth prospects.</w:t>
      </w:r>
    </w:p>
    <w:p>
      <w:pPr>
        <w:spacing w:after="0" w:line="43"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Obtaining and maintaining appropriate reimbursement for Xyrem in the U.S. is increasingly challenging due to, among other things, the attention being paid to healthcare cost containment and prescription drug pricing, pricing pressure from third party payors and increasingly restrictive reimbursement conditions being imposed by third party payors. In this regard, we have experienced and expect to continue to experience increasing pressure from third party payors to agree to discounts, rebates or other pricing terms for Xyrem. Any such restrictive pricing terms or additional reimbursement conditions could have a material adverse effect on our Xyrem revenues. In addition, drug pricing by pharmaceutical companies has recently come under close scrutiny, particularly with respect to companies that have increased the price of products after acquiring those products from other companies. We expect that healthcare policies and reforms intended to curb healthcare costs will continue to be proposed, which could limit the prices that we charge for our products, including Xyrem, limit our commercial opportunity and/or negatively impact revenues from sales of our products. Also, price increases on Xyrem and our other products, and negative publicity regarding pricing and price increases generally, whether with respect to our products or products distributed by other pharmaceutical companies, could negatively affect market acceptance of Xyrem and our other products.</w:t>
      </w:r>
    </w:p>
    <w:p>
      <w:pPr>
        <w:spacing w:after="0" w:line="43"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the three and six months ended June 30, 2016, sales of our second largest product, Erwinaze/Erwinase (which we refer to in this report as Erwinaze unless otherwise indicated or the context otherwise requires), were $49.7 million and $100.9 million, respectively, which represented 13% and 14% of total net product sales, respectively. We seek to maintain and increase sales of Erwinaze, as well as to make Erwinaze more widely available, through ongoing sales and marketing and research and development activities. However, a significant challenge to our ability to maintain current sales levels and to increase sales is our extremely limited inventory of Erwinaze and our need to avoid supply disruptions due to capacity constraints, production delays, quality or regulatory challenges or other manufacturing difficulties. Erwinaze is licensed from and manufactured by a single source, Porton Biopharma Limited, or PBL. The current manufacturing capacity for Erwinaze is completely absorbed by demand for the product. We are working with PBL to evaluate potential expansion of its production capacity to increase the supply of Erwinaze over the longer term. As a consequence of constrained manufacturing capacity, we have had an extremely limited or no ability to build product inventory levels that can be used to absorb disruptions to supply resulting from quality, regulatory or other issues, and we have experienced product quality, manufacturing and inventory challenges that have resulted in disruptions in our ability to supply certain markets and caused us to implement batch-specific, modified product use instructions. We expect that we will continue to experience inventory and supply challenges, which may result in temporary disruptions in our ability to supply certain markets, including the U.S., from time to time. If capacity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constraints or supply disruptions continue, whether as a result of continued quality or other manufacturing issues, regulatory issues or otherwise, we may be unable to build a desired excess level of product inventory, our ability to supply the market may continue to be compromised, physicians’ decisions to use Erwinaze in the future may be negatively impacted and our sales of and revenues from Erwinaze, our potential future maintenance and growth of the market for this product, and/or our business, financial condition, results of operations and growth prospects could be materially adversely affected. Our ability to successfully and sustainably maintain or grow sales of Erwinaze is also subject to a number of other risks and uncertainties, including the limited population of patients with ALL and the incidence of hypersensitivity reactions to E. coli-derived asparaginase within that population, our need to apply for and receive marketing authorizations, through the European Union’s, or EU’s, mutual recognition procedure or otherwise, in certain additional countries so we can launch promotional efforts in those countries, as well as those other risks and uncertainties discussed in “Risk Factors” in Part II, Item 1A of this Quarterly Report on Form 10-Q.</w:t>
      </w:r>
    </w:p>
    <w:p>
      <w:pPr>
        <w:spacing w:after="0" w:line="47" w:lineRule="exact"/>
        <w:rPr>
          <w:sz w:val="20"/>
          <w:szCs w:val="20"/>
          <w:color w:val="auto"/>
        </w:rPr>
      </w:pPr>
    </w:p>
    <w:p>
      <w:pPr>
        <w:ind w:right="280" w:firstLine="432"/>
        <w:spacing w:after="0" w:line="273" w:lineRule="auto"/>
        <w:rPr>
          <w:sz w:val="20"/>
          <w:szCs w:val="20"/>
          <w:color w:val="auto"/>
        </w:rPr>
      </w:pPr>
      <w:r>
        <w:rPr>
          <w:rFonts w:ascii="Arial" w:cs="Arial" w:eastAsia="Arial" w:hAnsi="Arial"/>
          <w:sz w:val="17"/>
          <w:szCs w:val="17"/>
          <w:color w:val="auto"/>
        </w:rPr>
        <w:t>In the three and six months ended June 30, 2016, sales of Defitelio/defibrotide represented 9% and 7% of our net product sales, respectively. We acquired this product in January 2014 in connection with our acquisition of Gentium S.r.l., or Gentium, which we refer to as the Gentium Acquisition, and secured worldwide rights to the product by acquiring rights to defibrotide in the Americas in August 2014. We launched Defitelio in certain European countries in 2014 and continue to launch in additional European countries on a rolling basis. On March 30, 2016, the FDA approved our new drug application, or NDA, for Defitelio for the treatment of adult and pediatric patients with VOD, also known as SOS, with renal or pulmonary dysfunction following HSCT. We launched Defitelio in the U.S. shortly after FDA approval.</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ability to realize the anticipated benefits from our investment in Defitelio is subject to risks and uncertainties, including:</w:t>
      </w:r>
    </w:p>
    <w:p>
      <w:pPr>
        <w:spacing w:after="0" w:line="90" w:lineRule="exact"/>
        <w:rPr>
          <w:sz w:val="20"/>
          <w:szCs w:val="20"/>
          <w:color w:val="auto"/>
        </w:rPr>
      </w:pPr>
    </w:p>
    <w:p>
      <w:pPr>
        <w:ind w:left="740" w:right="920" w:hanging="327"/>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acceptance of Defitelio in the U.S. by hospital pharmacy and therapeutics committees and the availability of adequate coverage and reimbursement by government programs and third party payors;</w:t>
      </w:r>
    </w:p>
    <w:p>
      <w:pPr>
        <w:spacing w:after="0" w:line="35" w:lineRule="exact"/>
        <w:rPr>
          <w:rFonts w:ascii="Arial" w:cs="Arial" w:eastAsia="Arial" w:hAnsi="Arial"/>
          <w:sz w:val="18"/>
          <w:szCs w:val="18"/>
          <w:color w:val="auto"/>
        </w:rPr>
      </w:pPr>
    </w:p>
    <w:p>
      <w:pPr>
        <w:ind w:left="740" w:right="220" w:hanging="327"/>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market acceptance of Defitelio at its commercial price now that it is no longer available to new patients under an expanded access treatment protocol;</w:t>
      </w:r>
    </w:p>
    <w:p>
      <w:pPr>
        <w:spacing w:after="0" w:line="35" w:lineRule="exact"/>
        <w:rPr>
          <w:rFonts w:ascii="Arial" w:cs="Arial" w:eastAsia="Arial" w:hAnsi="Arial"/>
          <w:sz w:val="18"/>
          <w:szCs w:val="18"/>
          <w:color w:val="auto"/>
        </w:rPr>
      </w:pPr>
    </w:p>
    <w:p>
      <w:pPr>
        <w:ind w:left="740" w:right="460" w:hanging="327"/>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lack of experience of U.S. physicians in diagnosing and treating VOD, particularly in adults, and the possibility that physicians may delay initiation of treatment or terminate treatment before the end of the recommended dosing schedule;</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maintain or grow sales of Defitelio in Europe;</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or problems in the supply or manufacture of the product;</w:t>
      </w:r>
    </w:p>
    <w:p>
      <w:pPr>
        <w:spacing w:after="0" w:line="90" w:lineRule="exact"/>
        <w:rPr>
          <w:rFonts w:ascii="Arial" w:cs="Arial" w:eastAsia="Arial" w:hAnsi="Arial"/>
          <w:sz w:val="18"/>
          <w:szCs w:val="18"/>
          <w:color w:val="auto"/>
        </w:rPr>
      </w:pPr>
    </w:p>
    <w:p>
      <w:pPr>
        <w:ind w:left="740" w:right="580" w:hanging="327"/>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limited size of the population of VOD patients who are indicated for treatment with Defitelio (particularly if changes in HSCT treatment protocols reduce the incidence of VOD);</w:t>
      </w:r>
    </w:p>
    <w:p>
      <w:pPr>
        <w:spacing w:after="0" w:line="35" w:lineRule="exact"/>
        <w:rPr>
          <w:rFonts w:ascii="Arial" w:cs="Arial" w:eastAsia="Arial" w:hAnsi="Arial"/>
          <w:sz w:val="18"/>
          <w:szCs w:val="18"/>
          <w:color w:val="auto"/>
        </w:rPr>
      </w:pPr>
    </w:p>
    <w:p>
      <w:pPr>
        <w:ind w:left="740" w:right="620" w:hanging="327"/>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the post-marketing commitments and requirements imposed by the FDA in connection with its approval of our NDA for Defitelio; and</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marketing approval in other countries and to develop the product for additional indications.</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If sales of Defitelio do not reach the levels we expect, our anticipated revenue from the product will be negatively affected, which could have a material adverse effect on our business, financial condition, results of operations and growth prospects.</w:t>
      </w:r>
    </w:p>
    <w:p>
      <w:pPr>
        <w:spacing w:after="0" w:line="3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In furtherance of our growth strategy, we have made a significant investment in Vyxeos through the Celator Acquisition. Vyxeos is currently not approved as a marketed product in any jurisdiction. We expect to initiate a rolling submission of an NDA for Vyxeos to the FDA by the end of the third quarter of 2016 and to complete the submission in late 2016 or early 2017. FDA Breakthrough Therapy designation has been granted for Vyxeos for the treatment of adults with therapy-related AML or AML with myelodysplasia-related changes. Breakthrough Therapy designation is a process designed to expedite the development and review of a drug that is intended to treat a serious or life-threatening disease or condition when preliminary clinical evidence indicates that the drug may demonstrate substantial improvement over available therapy on one or more clinically significant endpoints. We are also currently evaluating the timing of filing for regulatory approval of Vyxeos in Europe.</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ability to realize the anticipated benefits from this investment is subject to a number of risks and uncertainties, including:</w:t>
      </w:r>
    </w:p>
    <w:p>
      <w:pPr>
        <w:spacing w:after="0" w:line="90" w:lineRule="exact"/>
        <w:rPr>
          <w:sz w:val="20"/>
          <w:szCs w:val="20"/>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obtain marketing approval for Vyxeos in the United States and Europe;</w:t>
      </w:r>
    </w:p>
    <w:p>
      <w:pPr>
        <w:spacing w:after="0" w:line="90" w:lineRule="exact"/>
        <w:rPr>
          <w:rFonts w:ascii="Arial" w:cs="Arial" w:eastAsia="Arial" w:hAnsi="Arial"/>
          <w:sz w:val="18"/>
          <w:szCs w:val="18"/>
          <w:color w:val="auto"/>
        </w:rPr>
      </w:pPr>
    </w:p>
    <w:p>
      <w:pPr>
        <w:ind w:left="740" w:right="280" w:hanging="327"/>
        <w:spacing w:after="0" w:line="342"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associated with developing products based on the CombiPlex technology platform that we acquired in the Celator Acquisition, such as Vyxeos, the first injectable fixed ratio, drug delivery combination oncology product that the FDA would potentially be considering for approval;</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740" w:right="120" w:hanging="327"/>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establish pricing and reimbursement support for Vyxeos in the event we are able to obtain marketing approval for Vyxeos in the United States or in other countries;</w:t>
      </w:r>
    </w:p>
    <w:p>
      <w:pPr>
        <w:spacing w:after="0" w:line="35" w:lineRule="exact"/>
        <w:rPr>
          <w:rFonts w:ascii="Arial" w:cs="Arial" w:eastAsia="Arial" w:hAnsi="Arial"/>
          <w:sz w:val="18"/>
          <w:szCs w:val="18"/>
          <w:color w:val="auto"/>
        </w:rPr>
      </w:pPr>
    </w:p>
    <w:p>
      <w:pPr>
        <w:ind w:left="740" w:right="660" w:hanging="327"/>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acceptance of Vyxeos in the United States and other countries by hospital pharmacy and therapeutics committees and the availability of adequate coverage and reimbursement by government programs and third party payors;</w:t>
      </w:r>
    </w:p>
    <w:p>
      <w:pPr>
        <w:spacing w:after="0" w:line="35" w:lineRule="exact"/>
        <w:rPr>
          <w:rFonts w:ascii="Arial" w:cs="Arial" w:eastAsia="Arial" w:hAnsi="Arial"/>
          <w:sz w:val="18"/>
          <w:szCs w:val="18"/>
          <w:color w:val="auto"/>
        </w:rPr>
      </w:pPr>
    </w:p>
    <w:p>
      <w:pPr>
        <w:ind w:left="740" w:right="60" w:hanging="327"/>
        <w:spacing w:after="0" w:line="26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or problems in the supply or manufacture of the product, including with respect to the requirement of the third parties upon which we rely to manufacture Vyxeos and its active pharmaceutical ingredients, or APIs, to obtain the approval of the FDA and/or other regulatory authorities to manufacture Vyxeos; and</w:t>
      </w:r>
    </w:p>
    <w:p>
      <w:pPr>
        <w:spacing w:after="0" w:line="46"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limited size of the population of AML patients who may potentially be indicated for treatment with Vyxeos.</w:t>
      </w:r>
    </w:p>
    <w:p>
      <w:pPr>
        <w:spacing w:after="0" w:line="9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If we are unable to obtain regulatory approval for Vyxeos in the United States or in Europe in a timely manner, or at all, or if sales of an approved Vyxeos product do not reach the levels we expect, our anticipated revenue from Vyxeos would be negatively affected, which could have a material adverse effect on our business, financial condition, results of operations and growth prospects.</w:t>
      </w:r>
    </w:p>
    <w:p>
      <w:pPr>
        <w:spacing w:after="0" w:line="4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For more information on risks and uncertainties relating to Erwinaze, Defitelio and Vyxeos, see the risk factor under the heading </w:t>
      </w:r>
      <w:r>
        <w:rPr>
          <w:rFonts w:ascii="Arial" w:cs="Arial" w:eastAsia="Arial" w:hAnsi="Arial"/>
          <w:sz w:val="18"/>
          <w:szCs w:val="18"/>
          <w:i w:val="1"/>
          <w:iCs w:val="1"/>
          <w:color w:val="auto"/>
        </w:rPr>
        <w:t>“While Xyrem remains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our largest product, our success also depends on our ability to effectively commercialize our other products and, in the case of our newly acquired product candidate, Vyxeos, our ability to obtain regulatory approval in the United States and Europe and, if approved, to successfully launch and commercialize Vyxeos. Our inability to do so could have a material adverse effect on our business, financial condition, results of operations and growth prospects” </w:t>
      </w:r>
      <w:r>
        <w:rPr>
          <w:rFonts w:ascii="Arial" w:cs="Arial" w:eastAsia="Arial" w:hAnsi="Arial"/>
          <w:sz w:val="18"/>
          <w:szCs w:val="18"/>
          <w:color w:val="auto"/>
        </w:rPr>
        <w:t>in Part II,</w:t>
      </w:r>
      <w:r>
        <w:rPr>
          <w:rFonts w:ascii="Arial" w:cs="Arial" w:eastAsia="Arial" w:hAnsi="Arial"/>
          <w:sz w:val="18"/>
          <w:szCs w:val="18"/>
          <w:i w:val="1"/>
          <w:iCs w:val="1"/>
          <w:color w:val="auto"/>
        </w:rPr>
        <w:t xml:space="preserve"> </w:t>
      </w:r>
      <w:r>
        <w:rPr>
          <w:rFonts w:ascii="Arial" w:cs="Arial" w:eastAsia="Arial" w:hAnsi="Arial"/>
          <w:sz w:val="18"/>
          <w:szCs w:val="18"/>
          <w:color w:val="auto"/>
        </w:rPr>
        <w:t>Item 1A of this Quarterly Report on Form 10-Q.</w:t>
      </w:r>
    </w:p>
    <w:p>
      <w:pPr>
        <w:spacing w:after="0" w:line="53"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In addition to risks specifically related to Xyrem, Erwinaze, Defitelio/defibrotide and Vyxeos, we are subject to other challenges and risks specific to our business and our ability to execute on our strategy, as well as risks and uncertainties common to companies in the pharmaceutical industry with development and commercial operations. These risks and uncertainties include:</w:t>
      </w:r>
    </w:p>
    <w:p>
      <w:pPr>
        <w:spacing w:after="0" w:line="46" w:lineRule="exact"/>
        <w:rPr>
          <w:sz w:val="20"/>
          <w:szCs w:val="20"/>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challenges of protecting and enhancing our intellectual property rights;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challenges of achieving and maintaining commercial success of our products;</w:t>
      </w:r>
    </w:p>
    <w:p>
      <w:pPr>
        <w:spacing w:after="0" w:line="90" w:lineRule="exact"/>
        <w:rPr>
          <w:rFonts w:ascii="Arial" w:cs="Arial" w:eastAsia="Arial" w:hAnsi="Arial"/>
          <w:sz w:val="18"/>
          <w:szCs w:val="18"/>
          <w:color w:val="auto"/>
        </w:rPr>
      </w:pPr>
    </w:p>
    <w:p>
      <w:pPr>
        <w:ind w:left="740" w:right="300" w:hanging="327"/>
        <w:spacing w:after="0" w:line="26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or problems in the supply or manufacture of our products, particularly with respect to certain products as to which we maintain limited inventories, and our dependence on single source suppliers to continue to meet our ongoing commercial demand or our requirements for clinical trial supplies;</w:t>
      </w:r>
    </w:p>
    <w:p>
      <w:pPr>
        <w:spacing w:after="0" w:line="46" w:lineRule="exact"/>
        <w:rPr>
          <w:rFonts w:ascii="Arial" w:cs="Arial" w:eastAsia="Arial" w:hAnsi="Arial"/>
          <w:sz w:val="18"/>
          <w:szCs w:val="18"/>
          <w:color w:val="auto"/>
        </w:rPr>
      </w:pPr>
    </w:p>
    <w:p>
      <w:pPr>
        <w:ind w:left="740" w:right="140" w:hanging="327"/>
        <w:spacing w:after="0" w:line="259"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obtain and maintain appropriate pricing and reimbursement for our products in an increasingly challenging environment due to, among other things, the attention being paid to healthcare cost containment and other austerity measures in the U.S. and worldwide, including the need to obtain and maintain reimbursement for Xyrem in the U.S. in an environment in which we are subject to increasingly restrictive conditions for reimbursement required by third party payors;</w:t>
      </w:r>
    </w:p>
    <w:p>
      <w:pPr>
        <w:spacing w:after="0" w:line="51"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and acquire, in-license or develop additional products or product candidates to grow our business;</w:t>
      </w:r>
    </w:p>
    <w:p>
      <w:pPr>
        <w:spacing w:after="0" w:line="90" w:lineRule="exact"/>
        <w:rPr>
          <w:rFonts w:ascii="Arial" w:cs="Arial" w:eastAsia="Arial" w:hAnsi="Arial"/>
          <w:sz w:val="18"/>
          <w:szCs w:val="18"/>
          <w:color w:val="auto"/>
        </w:rPr>
      </w:pPr>
    </w:p>
    <w:p>
      <w:pPr>
        <w:jc w:val="both"/>
        <w:ind w:left="740" w:right="400" w:hanging="327"/>
        <w:spacing w:after="0" w:line="26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challenges of compliance with the requirements of the FDA, the DEA, and non-U.S. regulatory agencies, including with respect to product labeling, requirements for distribution, obtaining sufficient DEA quotas where needed, marketing and promotional activities, patient assistance programs, adverse event reporting and product recalls or withdrawals;</w:t>
      </w:r>
    </w:p>
    <w:p>
      <w:pPr>
        <w:spacing w:after="0" w:line="46" w:lineRule="exact"/>
        <w:rPr>
          <w:rFonts w:ascii="Arial" w:cs="Arial" w:eastAsia="Arial" w:hAnsi="Arial"/>
          <w:sz w:val="18"/>
          <w:szCs w:val="18"/>
          <w:color w:val="auto"/>
        </w:rPr>
      </w:pPr>
    </w:p>
    <w:p>
      <w:pPr>
        <w:ind w:left="740" w:right="140" w:hanging="327"/>
        <w:spacing w:after="0" w:line="26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difficulty and uncertainty of pharmaceutical product development, including the timing thereof, and the uncertainty of clinical success, such as the risk that results from preclinical studies and/or early clinical trials may not be predictive of results obtained in later and larger clinical trials planned or anticipated to be conducted for our product candidates;</w:t>
      </w:r>
    </w:p>
    <w:p>
      <w:pPr>
        <w:spacing w:after="0" w:line="46" w:lineRule="exact"/>
        <w:rPr>
          <w:rFonts w:ascii="Arial" w:cs="Arial" w:eastAsia="Arial" w:hAnsi="Arial"/>
          <w:sz w:val="18"/>
          <w:szCs w:val="18"/>
          <w:color w:val="auto"/>
        </w:rPr>
      </w:pPr>
    </w:p>
    <w:p>
      <w:pPr>
        <w:ind w:left="740" w:right="500" w:hanging="327"/>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inherent uncertainty associated with the regulatory approval process, especially as we continue to undertake increased activities and make growing investment in our product pipeline development projects;</w:t>
      </w:r>
    </w:p>
    <w:p>
      <w:pPr>
        <w:spacing w:after="0" w:line="35" w:lineRule="exact"/>
        <w:rPr>
          <w:rFonts w:ascii="Arial" w:cs="Arial" w:eastAsia="Arial" w:hAnsi="Arial"/>
          <w:sz w:val="18"/>
          <w:szCs w:val="18"/>
          <w:color w:val="auto"/>
        </w:rPr>
      </w:pPr>
    </w:p>
    <w:p>
      <w:pPr>
        <w:ind w:left="740" w:right="120" w:hanging="327"/>
        <w:spacing w:after="0" w:line="259"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risks associated with business combination or product or product candidate acquisition transactions, including risks associated with the Celator Acquisition, such as the challenges inherent in the integration of acquired businesses with our historic business, the increase in geographic dispersion among our centers of operation and the risks that we may acquire unanticipated liabilities along with acquired businesses or otherwise fail to realize the anticipated benefits (commercial or otherwise) from such transactions; and</w:t>
      </w:r>
    </w:p>
    <w:p>
      <w:pPr>
        <w:spacing w:after="0" w:line="51" w:lineRule="exact"/>
        <w:rPr>
          <w:rFonts w:ascii="Arial" w:cs="Arial" w:eastAsia="Arial" w:hAnsi="Arial"/>
          <w:sz w:val="18"/>
          <w:szCs w:val="18"/>
          <w:color w:val="auto"/>
        </w:rPr>
      </w:pPr>
    </w:p>
    <w:p>
      <w:pPr>
        <w:ind w:left="740" w:right="260" w:hanging="327"/>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restrictions on our ability and flexibility to pursue certain future opportunities as a result of our substantial outstanding debt obligations, which have increased as a result of, among other things, the Celator Acquisition.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Any of these risks and uncertainties could have a material adverse effect on our business, financial condition, results of operations and growth prospects. All of these risks and uncertainties are discussed in greater detail, along with other risks and uncertainties, in Part II, Item 1A of this Quarterly Report on Form 10-Q.</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cash equivalents, investments and marketable securities.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marketable securities and issuers of investments to the extent recorded on the balance sheet.</w:t>
      </w:r>
    </w:p>
    <w:p>
      <w:pPr>
        <w:spacing w:after="0" w:line="58"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United States, and to other international distributors and hospitals. Customer creditworthiness is monitored and collateral is not required. We monitor deteriorating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we do not expect to have write-offs or adjustments to accounts receivable which would have a material adverse effect on our financial position, liquidity or results of operations. As of June 30, 2016, five customers accounted for 92% of gross accounts receivable, including Express Scripts Specialty Distribution Services, Inc. and its affiliates, or Express Scripts, which accounted for 69% of gross accounts receivable, IDIS Limited, or IDIS, which accounted for 11% of gross accounts receivable and McKesson Corporation and its affiliates, or McKesson, which accounted for 10% of gross accounts receivable. As of December 31, 2015, five customers accounted for 90% of gross accounts receivable, including Express Scripts, which accounted for 69% of gross accounts receivable, and IDIS, which accounted for 11% of gross accounts receivable.</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depend on single source suppliers for each of our products, product candidates and their active pharmaceutical ingredients.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Income Attributable to Jazz Pharmaceuticals plc per Ordinary Share</w:t>
      </w:r>
    </w:p>
    <w:p>
      <w:pPr>
        <w:spacing w:after="0" w:line="90"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Basic net income attributable to Jazz Pharmaceuticals plc per ordinary share is based on the weighted-average number of ordinary shares outstanding. Diluted net income attributable to Jazz Pharmaceuticals plc per ordinary share is based on the weighted-average number of ordinary shares outstanding and potentially dilutive ordinary shares outstanding.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 and diluted net income per ordinary share were computed as follows (in thousands, except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attributable to Jazz Pharmaceuticals plc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111,282</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88,114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185,403</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158,814</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5"/>
              </w:rPr>
              <w:t>Weighted-average ordinary shares used in per share calculation -</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60,499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61,190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60,821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60,998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Dilutive effect of employee equity incentive and purchase plans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1,334</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09"/>
        </w:trPr>
        <w:tc>
          <w:tcPr>
            <w:tcW w:w="5160" w:type="dxa"/>
            <w:vAlign w:val="bottom"/>
          </w:tcPr>
          <w:p>
            <w:pPr>
              <w:ind w:left="180"/>
              <w:spacing w:after="0"/>
              <w:rPr>
                <w:sz w:val="20"/>
                <w:szCs w:val="20"/>
                <w:color w:val="auto"/>
              </w:rPr>
            </w:pPr>
            <w:r>
              <w:rPr>
                <w:rFonts w:ascii="Arial" w:cs="Arial" w:eastAsia="Arial" w:hAnsi="Arial"/>
                <w:sz w:val="18"/>
                <w:szCs w:val="18"/>
                <w:color w:val="auto"/>
                <w:w w:val="95"/>
              </w:rPr>
              <w:t>Weighted-average ordinary shares used in per share calculation -</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61,833</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63,090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62,154</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63,028</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9"/>
              </w:rPr>
              <w:t>Net income attributable to Jazz Pharmaceuticals plc per ordinary</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share:</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Potentially dilutive ordinary shares from our employee equity incentive and purchase plans and our 1.875% exchangeable senior notes due 2021, or the 2021 Notes, are determined by applying the treasury stock method to the assumed exercise of share options, the assumed vesting of outstanding restricted stock units, or RSUs, the assumed issuance of ordinary shares under our employee stock purchase plan, or ESPP, and the assumed issuance of ordinary shares upon exchange of the 2021 Notes. The potential issue of approximately 2.9 million ordinary shares issuable upon exchange of the 2021 Notes had no effect on diluted net income per ordinary share because the average price of our ordinary shares for the three and six months ended June 30, 2016 and 2015 did not exceed the effective exchange price of $199.77 per ordinary share.</w:t>
      </w:r>
    </w:p>
    <w:p>
      <w:pPr>
        <w:spacing w:after="0" w:line="4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represents the weighted-average ordinary shares that were excluded from the calculation of diluted net income per ordinary share for the periods presented because including them would have an anti-dilutive effect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200" w:type="dxa"/>
            <w:vAlign w:val="bottom"/>
            <w:gridSpan w:val="3"/>
          </w:tcPr>
          <w:p>
            <w:pPr>
              <w:jc w:val="center"/>
              <w:ind w:left="799"/>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left="839"/>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92"/>
        </w:trPr>
        <w:tc>
          <w:tcPr>
            <w:tcW w:w="5140" w:type="dxa"/>
            <w:vAlign w:val="bottom"/>
          </w:tcPr>
          <w:p>
            <w:pPr>
              <w:spacing w:after="0"/>
              <w:rPr>
                <w:sz w:val="16"/>
                <w:szCs w:val="16"/>
                <w:color w:val="auto"/>
              </w:rPr>
            </w:pPr>
          </w:p>
        </w:tc>
        <w:tc>
          <w:tcPr>
            <w:tcW w:w="220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1.875% exchangeable senior notes due 2021</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2,878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2,878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2,878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2,878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Options to purchase ordinary shares and RSUs</w:t>
            </w: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2,907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1,453</w:t>
            </w: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Ordinary shares under ESPP</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March 2016, the Financial Accounting Standards Board, or the FASB, issued ASU No. 2016-09, “Improvements to Employee Share-Based Payment Accounting”. The standard is intended to simplify several areas of accounting for share-based compensation arrangements, including the income tax impact, statutory tax withholding requirements, accounting for forfeitures and classification on the statement of cash flows. ASU No. 2016-09 is effective for us beginning January 1, 2017. We are currently assessing our approach to the adoption of this standard and the impact on our results of operations and financial position.</w:t>
      </w:r>
    </w:p>
    <w:p>
      <w:pPr>
        <w:spacing w:after="0" w:line="53"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In February 2016, the FASB issued ASU No. 2016-02, “Leases (Topic 842)”. Under the new guidance, lessees will be required to recognize a right-of-use asset, which represents the lessee’s right to use, or control the use of, a specified asset for the lease term, and a corresponding lease liability, which represents the lessee’s obligation to make lease payments under a lease, measured on a discounted basis. ASU No. 2016-02 is effective beginning January 1, 2019 and early application is permitted. ASU No. 2016-02 must be adopted on a modified retrospective transition basis for leases existing at, or entered into after, the beginning of the earliest comparative period presented in the consolidated financial statements. We are currently assessing our approach to the adoption of this standard and the potential impact on our results of operations and financial position.</w:t>
      </w:r>
    </w:p>
    <w:p>
      <w:pPr>
        <w:spacing w:after="0" w:line="4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 May 2014, the FASB issued ASU No. 2014-09, “Revenue from Contracts with Customers”. The standard states that an entity should recognize revenue to depict the transfer of promised goods or services to customers in an amount that reflects the consideration to which the entity expects to be entitled in exchange for those goods or services. To achieve this, an entity will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need to identify the contract with a customer; identify the separate performance obligations in the contract; determine the transaction price; allocate the transaction price to the separate performance obligations in the contract; and recognize revenue when (or as) the entity satisfies each performance obligation. In August 2015, the FASB issued ASU No. 2015-14, “Revenue from Contracts with Customers: Deferral of the Effective Date”, which deferred the effective date of ASU No. 2014-09. ASU No. 2014-09 will now be effective for us beginning January 1, 2018 and can be adopted on a full retrospective basis or on a modified retrospective basis. In March 2016, the FASB issued ASU No. 2016-08, “Revenue from Contracts with Customers (Topic 606): Principal versus Agent Considerations”, which clarifies the implementation guidance on principal versus agent considerations. In April 2016, the FASB issued ASU No. 2016-10, “Revenue from Contracts with Customers (Topic 606): Identifying Performance Obligations and Licensing”, which clarifies certain aspects of identifying performance obligations and licensing implementation guidance. In May 2016, the FASB issued ASU No. 2016-12, “Revenue from Contracts with Customers (Topic 606): Narrow-Scope Improvements and Practical Expedients” related to disclosures of remaining performance obligations, as well as other amendments to guidance on collectability, non-cash consideration and the presentation of sales and other similar taxes collected from customers. We are currently assessing our approach to the adoption of these standards and the potential impact on our results of operations and financial position.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Asset Acquisition</w:t>
      </w:r>
    </w:p>
    <w:p>
      <w:pPr>
        <w:spacing w:after="0" w:line="94"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In March 2016, we acquired all of the outstanding shares of Alizé Pharma II S.A.S., a privately held biotechnology company, for an upfront payment of $8.8 million. In connection with the acquisition, we obtained intellectual property and know-how related to recombinant crisantaspase. The transaction includes contingent regulatory milestone payments of up to €10 million. The transaction was accounted for as an asset acquisition and the upfront payment was charged to acquired in-process research and development, or IPR&amp;D, expense upon closing of the transaction.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cash equivalents and investments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June 30, 2016</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Cash and Cash</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5"/>
              </w:rPr>
              <w:t>Investments</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Equivalents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265,798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265,798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265,798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650,577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650,577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602,168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48,409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916,375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916,375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867,966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48,409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3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Cash and</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Cash</w:t>
            </w:r>
          </w:p>
        </w:tc>
        <w:tc>
          <w:tcPr>
            <w:tcW w:w="200" w:type="dxa"/>
            <w:vAlign w:val="bottom"/>
          </w:tcPr>
          <w:p>
            <w:pPr>
              <w:spacing w:after="0"/>
              <w:rPr>
                <w:sz w:val="12"/>
                <w:szCs w:val="12"/>
                <w:color w:val="auto"/>
              </w:rPr>
            </w:pPr>
          </w:p>
        </w:tc>
        <w:tc>
          <w:tcPr>
            <w:tcW w:w="10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5"/>
              </w:rPr>
              <w:t>Investments</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Equivalents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274,945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274,945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274,945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713,840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713,840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713,840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988,785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988,785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988,785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Cash equivalents and investments are considered available-for-sale securities. We use the specific-identification method for calculating realized gains and losses on securities sold and include them in interest expense, net in the condensed consolidated statements of income. Our investment balance represents time deposits with original maturities of greater than three months.</w:t>
      </w:r>
    </w:p>
    <w:p>
      <w:pPr>
        <w:spacing w:after="0" w:line="127"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The following table summarizes, by major security type, our available-for-sale securities as of June 30, 2016 and December 31, 2015 that were measured at fair value on a recurring basis and were categorized using the fair value hierarchy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ind w:left="720"/>
              <w:spacing w:after="0"/>
              <w:rPr>
                <w:sz w:val="20"/>
                <w:szCs w:val="20"/>
                <w:color w:val="auto"/>
              </w:rPr>
            </w:pPr>
            <w:r>
              <w:rPr>
                <w:rFonts w:ascii="Arial" w:cs="Arial" w:eastAsia="Arial" w:hAnsi="Arial"/>
                <w:sz w:val="14"/>
                <w:szCs w:val="14"/>
                <w:b w:val="1"/>
                <w:bCs w:val="1"/>
                <w:color w:val="auto"/>
              </w:rPr>
              <w:t>June 30, 2016</w:t>
            </w:r>
          </w:p>
        </w:tc>
        <w:tc>
          <w:tcPr>
            <w:tcW w:w="200" w:type="dxa"/>
            <w:vAlign w:val="bottom"/>
          </w:tcPr>
          <w:p>
            <w:pPr>
              <w:spacing w:after="0"/>
              <w:rPr>
                <w:sz w:val="16"/>
                <w:szCs w:val="16"/>
                <w:color w:val="auto"/>
              </w:rPr>
            </w:pPr>
          </w:p>
        </w:tc>
        <w:tc>
          <w:tcPr>
            <w:tcW w:w="2420" w:type="dxa"/>
            <w:vAlign w:val="bottom"/>
            <w:gridSpan w:val="4"/>
          </w:tcPr>
          <w:p>
            <w:pPr>
              <w:jc w:val="right"/>
              <w:ind w:right="644"/>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38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Significant Other</w:t>
            </w: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08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CCEEFF"/>
            </w:tcBorders>
          </w:tcPr>
          <w:p>
            <w:pPr>
              <w:spacing w:after="0"/>
              <w:rPr>
                <w:sz w:val="16"/>
                <w:szCs w:val="16"/>
                <w:color w:val="auto"/>
              </w:rPr>
            </w:pPr>
          </w:p>
        </w:tc>
        <w:tc>
          <w:tcPr>
            <w:tcW w:w="2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5"/>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28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650,577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650,577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8"/>
                <w:szCs w:val="18"/>
                <w:color w:val="auto"/>
              </w:rPr>
              <w:t>713,840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713,840</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As of June 30, 2016, our available-for-sale securities included time deposits which were measured at fair value using Level 2 inputs and their carrying values were approximately equal to their fair values. Level 2 inputs, obtained from various third party data providers, represent quoted prices for similar assets in active markets, or these inputs were derived from observable market data, or if not directly observable, were derived from or corroborated by other observable market data.</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transfers between the different levels of the fair value hierarchy in 2016 or in 2015.</w:t>
      </w:r>
    </w:p>
    <w:p>
      <w:pPr>
        <w:spacing w:after="0" w:line="17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As of June 30, 2016, the estimated fair value of our 2021 Notes was approximately $618 million. The fair value of the 2021 Notes was estimated using quoted market prices obtained from brokers (Level 2). The estimated fair value of our borrowings under our term loan were approximately equal to their respective book values based on the borrowing rates currently available for variable rate loans (Level 2).</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3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19,341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11,836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11,215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33,291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19,451</w:t>
            </w:r>
          </w:p>
        </w:tc>
        <w:tc>
          <w:tcPr>
            <w:tcW w:w="0" w:type="dxa"/>
            <w:vAlign w:val="bottom"/>
          </w:tcPr>
          <w:p>
            <w:pPr>
              <w:spacing w:after="0"/>
              <w:rPr>
                <w:sz w:val="1"/>
                <w:szCs w:val="1"/>
                <w:color w:val="auto"/>
              </w:rPr>
            </w:pPr>
          </w:p>
        </w:tc>
      </w:tr>
      <w:tr>
        <w:trPr>
          <w:trHeight w:val="27"/>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5. Goodwill and Intangible Assets</w:t>
            </w: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9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00" w:type="dxa"/>
            <w:vAlign w:val="bottom"/>
          </w:tcPr>
          <w:p>
            <w:pPr>
              <w:ind w:left="440"/>
              <w:spacing w:after="0"/>
              <w:rPr>
                <w:sz w:val="20"/>
                <w:szCs w:val="20"/>
                <w:color w:val="auto"/>
              </w:rPr>
            </w:pPr>
            <w:r>
              <w:rPr>
                <w:rFonts w:ascii="Arial" w:cs="Arial" w:eastAsia="Arial" w:hAnsi="Arial"/>
                <w:sz w:val="18"/>
                <w:szCs w:val="18"/>
                <w:color w:val="auto"/>
              </w:rPr>
              <w:t>The gross carrying amount of goodwill was as follows (in thousands):</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657,139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2016</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661,845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gross carrying amounts and net book values of our intangible assets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June 30, 2016</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2015</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2"/>
                <w:szCs w:val="12"/>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Average Useful</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Net Book</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9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Acquired developed technologies</w:t>
            </w:r>
          </w:p>
        </w:tc>
        <w:tc>
          <w:tcPr>
            <w:tcW w:w="1260" w:type="dxa"/>
            <w:vAlign w:val="bottom"/>
            <w:tcBorders>
              <w:top w:val="single" w:sz="8" w:color="auto"/>
              <w:bottom w:val="single" w:sz="8" w:color="CCEEFF"/>
            </w:tcBorders>
            <w:shd w:val="clear" w:color="auto" w:fill="CCEEFF"/>
          </w:tcPr>
          <w:p>
            <w:pPr>
              <w:jc w:val="right"/>
              <w:ind w:right="281"/>
              <w:spacing w:after="0"/>
              <w:rPr>
                <w:sz w:val="20"/>
                <w:szCs w:val="20"/>
                <w:color w:val="auto"/>
              </w:rPr>
            </w:pPr>
            <w:r>
              <w:rPr>
                <w:rFonts w:ascii="Arial" w:cs="Arial" w:eastAsia="Arial" w:hAnsi="Arial"/>
                <w:sz w:val="18"/>
                <w:szCs w:val="18"/>
                <w:color w:val="auto"/>
              </w:rPr>
              <w:t>11.8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1,530,546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1,158,670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1,321,324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997,280</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Manufacturing contracts</w:t>
            </w:r>
          </w:p>
        </w:tc>
        <w:tc>
          <w:tcPr>
            <w:tcW w:w="1260" w:type="dxa"/>
            <w:vAlign w:val="bottom"/>
          </w:tcPr>
          <w:p>
            <w:pPr>
              <w:ind w:left="7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11,865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11,697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6,021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3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8"/>
                <w:szCs w:val="18"/>
                <w:color w:val="auto"/>
                <w:w w:val="92"/>
              </w:rPr>
              <w:t>Total finite-lived intangible assets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1,545,297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(382,002)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9"/>
              </w:rPr>
              <w:t>1,163,295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1,335,903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(332,602)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1,003,301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IPR&amp;D assets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137,466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137,466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182,305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182,305</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1,682,763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(382,002)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9"/>
              </w:rPr>
              <w:t>1,300,761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1,518,208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(332,602)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1,185,606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increase in the gross carrying amount of intangible assets as of June 30, 2016 compared to December 31, 2015 is primarily due to the capitalization of a $150.0 million milestone payment to Sigma-Tau Pharmaceuticals Inc., or Sigma-Tau, that was triggered by the FDA approval of Defitelio on March 30, 2016. Additionally, after receiving FDA approval of Defitelio, we reclassified $48.4 million of acquired IPR&amp;D from an indefinite-lived intangible asset to an acquired developed technology finite-lived intangible asset. The Defitelio acquired developed technology asset will be amortized over its estimated useful life of 14 years. The increase in the gross carrying amount was also due to the positive impact of foreign currency translation adjustments due to the strengthening of the euro against the U.S. dollar.</w:t>
      </w:r>
    </w:p>
    <w:p>
      <w:pPr>
        <w:spacing w:after="0" w:line="13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industry and economic trends, and internal factors such as changes in our business strategy and our forecasts for specific product lines.</w:t>
      </w:r>
    </w:p>
    <w:p>
      <w:pPr>
        <w:spacing w:after="0" w:line="171"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Based on finite-lived intangible assets recorded as of June 30, 2016, and assuming the underlying assets will not be impaired and that we will not change the expected lives of the assets, future amortization expenses were estimated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7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ind w:right="394"/>
              <w:spacing w:after="0" w:line="149"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58"/>
        </w:trPr>
        <w:tc>
          <w:tcPr>
            <w:tcW w:w="790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center"/>
              <w:ind w:right="174"/>
              <w:spacing w:after="0" w:line="158"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2016 (remaining)</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52,909</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6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105,818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102,972</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6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102,752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101,565</w:t>
            </w: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697,279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1,163,295</w:t>
            </w:r>
          </w:p>
        </w:tc>
        <w:tc>
          <w:tcPr>
            <w:tcW w:w="0" w:type="dxa"/>
            <w:vAlign w:val="bottom"/>
          </w:tcPr>
          <w:p>
            <w:pPr>
              <w:spacing w:after="0"/>
              <w:rPr>
                <w:sz w:val="1"/>
                <w:szCs w:val="1"/>
                <w:color w:val="auto"/>
              </w:rPr>
            </w:pPr>
          </w:p>
        </w:tc>
      </w:tr>
      <w:tr>
        <w:trPr>
          <w:trHeight w:val="20"/>
        </w:trPr>
        <w:tc>
          <w:tcPr>
            <w:tcW w:w="7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Certain Balance Sheet Items</w:t>
            </w: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79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860" w:type="dxa"/>
            <w:vAlign w:val="bottom"/>
            <w:gridSpan w:val="2"/>
          </w:tcPr>
          <w:p>
            <w:pPr>
              <w:ind w:left="400"/>
              <w:spacing w:after="0"/>
              <w:rPr>
                <w:sz w:val="20"/>
                <w:szCs w:val="20"/>
                <w:color w:val="auto"/>
              </w:rPr>
            </w:pPr>
            <w:r>
              <w:rPr>
                <w:rFonts w:ascii="Arial" w:cs="Arial" w:eastAsia="Arial" w:hAnsi="Arial"/>
                <w:sz w:val="18"/>
                <w:szCs w:val="18"/>
                <w:color w:val="auto"/>
              </w:rPr>
              <w:t>Property and equipment consisted of the following (in thousands):</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4"/>
                <w:szCs w:val="24"/>
                <w:color w:val="auto"/>
              </w:rPr>
            </w:pPr>
          </w:p>
        </w:tc>
        <w:tc>
          <w:tcPr>
            <w:tcW w:w="1440" w:type="dxa"/>
            <w:vAlign w:val="bottom"/>
          </w:tcPr>
          <w:p>
            <w:pPr>
              <w:jc w:val="center"/>
              <w:ind w:right="214"/>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6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42,275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Manufacturing equipment and machinery</w:t>
            </w:r>
          </w:p>
        </w:tc>
        <w:tc>
          <w:tcPr>
            <w:tcW w:w="3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21,045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63,008</w:t>
            </w: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Computer software</w:t>
            </w:r>
          </w:p>
        </w:tc>
        <w:tc>
          <w:tcPr>
            <w:tcW w:w="3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16,007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15,797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10,963</w:t>
            </w: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9,184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9,301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Subtotal</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120,154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109,252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(23,680)</w:t>
            </w:r>
          </w:p>
        </w:tc>
        <w:tc>
          <w:tcPr>
            <w:tcW w:w="0" w:type="dxa"/>
            <w:vAlign w:val="bottom"/>
          </w:tcPr>
          <w:p>
            <w:pPr>
              <w:spacing w:after="0"/>
              <w:rPr>
                <w:sz w:val="1"/>
                <w:szCs w:val="1"/>
                <w:color w:val="auto"/>
              </w:rPr>
            </w:pPr>
          </w:p>
        </w:tc>
      </w:tr>
      <w:tr>
        <w:trPr>
          <w:trHeight w:val="237"/>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93,476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85,572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decrease in construction-in-progress, or CIP, from December 31, 2015 to June 30, 2016 is primarily due to the reclassification of building and equipment costs related to the Ireland manufacturing and development facility from CIP to the appropriate property and equipment category on the balance sheet following FDA approval of the facility in June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60" w:type="dxa"/>
            <w:vAlign w:val="bottom"/>
            <w:tcBorders>
              <w:bottom w:val="single" w:sz="8" w:color="CCEEFF"/>
            </w:tcBorders>
          </w:tcPr>
          <w:p>
            <w:pPr>
              <w:spacing w:after="0"/>
              <w:rPr>
                <w:sz w:val="16"/>
                <w:szCs w:val="16"/>
                <w:color w:val="auto"/>
              </w:rPr>
            </w:pPr>
          </w:p>
        </w:tc>
        <w:tc>
          <w:tcPr>
            <w:tcW w:w="78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2016</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Rebates and other sales deductions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70,264</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Employee compensation and benefits</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32,873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35,595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Sales returns reserve</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Royalties</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5,396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Inventory-related accruals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Clinical trial accruals</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4,449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3,475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construction-in-progress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Contract claim settlement</w:t>
            </w:r>
          </w:p>
        </w:tc>
        <w:tc>
          <w:tcPr>
            <w:tcW w:w="34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21,364</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Total accrued liabilities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157,622</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164,070</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Debt</w:t>
            </w: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gridSpan w:val="3"/>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7840" w:type="dxa"/>
            <w:vAlign w:val="bottom"/>
            <w:gridSpan w:val="2"/>
          </w:tcPr>
          <w:p>
            <w:pPr>
              <w:ind w:left="380"/>
              <w:spacing w:after="0"/>
              <w:rPr>
                <w:sz w:val="20"/>
                <w:szCs w:val="20"/>
                <w:color w:val="auto"/>
              </w:rPr>
            </w:pPr>
            <w:r>
              <w:rPr>
                <w:rFonts w:ascii="Arial" w:cs="Arial" w:eastAsia="Arial" w:hAnsi="Arial"/>
                <w:sz w:val="18"/>
                <w:szCs w:val="18"/>
                <w:color w:val="auto"/>
              </w:rPr>
              <w:t>The following table summarizes the carrying amount of our indebtedness (in thousands):</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78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1.875% exchangeable senior notes due 2021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575,000</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575,000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840" w:type="dxa"/>
            <w:vAlign w:val="bottom"/>
            <w:gridSpan w:val="2"/>
          </w:tcPr>
          <w:p>
            <w:pPr>
              <w:ind w:left="160"/>
              <w:spacing w:after="0"/>
              <w:rPr>
                <w:sz w:val="20"/>
                <w:szCs w:val="20"/>
                <w:color w:val="auto"/>
              </w:rPr>
            </w:pPr>
            <w:r>
              <w:rPr>
                <w:rFonts w:ascii="Arial" w:cs="Arial" w:eastAsia="Arial" w:hAnsi="Arial"/>
                <w:sz w:val="18"/>
                <w:szCs w:val="18"/>
                <w:color w:val="auto"/>
              </w:rPr>
              <w:t>Unamortized discount on 1.875% exchangeable senior notes due 2021</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(110,504)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(119,467)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1.875% exchangeable senior notes due 2021, net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464,496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455,533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840" w:type="dxa"/>
            <w:vAlign w:val="bottom"/>
            <w:gridSpan w:val="2"/>
          </w:tcPr>
          <w:p>
            <w:pPr>
              <w:ind w:left="20"/>
              <w:spacing w:after="0"/>
              <w:rPr>
                <w:sz w:val="20"/>
                <w:szCs w:val="20"/>
                <w:color w:val="auto"/>
              </w:rPr>
            </w:pPr>
            <w:r>
              <w:rPr>
                <w:rFonts w:ascii="Arial" w:cs="Arial" w:eastAsia="Arial" w:hAnsi="Arial"/>
                <w:sz w:val="18"/>
                <w:szCs w:val="18"/>
                <w:color w:val="auto"/>
              </w:rPr>
              <w:t>Term loan</w:t>
            </w:r>
          </w:p>
        </w:tc>
        <w:tc>
          <w:tcPr>
            <w:tcW w:w="3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714,656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732,398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borrowings</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1,179,152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1,188,444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37,500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37,587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1,141,652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1,150,857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Amendment of Credit Facility</w:t>
      </w:r>
    </w:p>
    <w:p>
      <w:pPr>
        <w:spacing w:after="0" w:line="171"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On June 18, 2015, Jazz Pharmaceuticals plc, as guarantor, and certain of our wholly owned subsidiaries, as borrowers, entered into a credit agreement, which we refer to in this report as the 2015 credit agreement, that provided for a $750.0 million principal amount term loan, which was drawn in full at closing, and a $750.0 million revolving credit facility, of which $160.0 million was drawn at closing and subsequently repaid. We used the proceeds from initial borrowings under the 2015 credit agreement to repay in full the $893.1 million principal amount of term loans outstanding under the credit agreement that we entered into in June 2012, as subsequently amended, which we refer to as the previous credit agreement, and to pay related fees and expenses. The previous credit agreement was terminated upon repayment of the term loans outstanding thereunder.</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July 12, 2016, Jazz Pharmaceuticals plc, as guarantor, and certain of our wholly owned subsidiaries, as borrowers, entered into Amendment No. 1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2015 credit agreement. We refer to the 2015 credit agreement, as amended, in this report as the amended credit agreement. The amended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provides for a revolving credit facility of $1.25 billion, which replaces the revolving credit facility of $750.0 million provided for under the 2015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and a $750.0 million term loan facility, of which $721.9 million principal amount was outstanding as of July 12, 2016. We used the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billion of loans under the revolving credit facility, together with cash on hand, to fund the Celator Acquisition and expect to use the proceeds from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under the revolving credit facility, if any, for general corporate purposes, including corporate development activities. Please see Note 14 for additional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Celator Acquisition.</w:t>
      </w:r>
    </w:p>
    <w:p>
      <w:pPr>
        <w:spacing w:after="0" w:line="15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Under the amended credit agreement, the term loan matures on July 12, 2021 and the revolving credit facility terminates, and any loans outstanding thereunder become due and payable, on July 12, 2021.</w:t>
      </w:r>
    </w:p>
    <w:p>
      <w:pPr>
        <w:spacing w:after="0" w:line="11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Borrowings under the amended credit agreement bear interest, at our option, at a rate equal to either (a) the LIBOR rate, plus an applicable margin ranging from 1.50% to 2.25% per annum, based upon our secured leverage ratio, or (b) the prime lending rate, plus an applicable margin ranging from 0.50% to 1.25% per annum, based upon our secured leverage ratio. The</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revolving credit facility has a commitment fee payable on the undrawn amount ranging from 0.25% to 0.35% per annum based upon our secured leverage ratio.</w:t>
      </w:r>
    </w:p>
    <w:p>
      <w:pPr>
        <w:spacing w:after="0" w:line="116"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Jazz Pharmaceuticals plc and certain of our wholly owned subsidiaries are borrowers under the amended credit agreement. The borrowers’ obligations under the amended credit agreement and any hedging or cash management obligations entered into with a lender are guaranteed on a senior secured basis by Jazz Pharmaceuticals plc and certain of our subsidiaries (including the issuer of the 2021 Notes as described below) and are secured by substantially all of Jazz Pharmaceuticals plc’s, the borrowers’ and the guarantor subsidiaries’ assets.</w:t>
      </w:r>
    </w:p>
    <w:p>
      <w:pPr>
        <w:spacing w:after="0" w:line="13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may make voluntary prepayments of principal at any time without payment of a premium. We are required to make mandatory prepayments of the term loan (without payment of a premium) with (1) net cash proceeds from certain non-ordinary course asset sales (subject to reinvestment rights and other exceptions), (2) net cash proceeds from issuances of debt (other than certain permitted debt), and (3) casualty proceeds and condemnation awards (subject to reinvestment rights and other exceptions).</w:t>
      </w:r>
    </w:p>
    <w:p>
      <w:pPr>
        <w:spacing w:after="0" w:line="133"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Principal repayments of the term loan, which are due quarterly, are equal to 5.0% per annum of the principal amount outstanding on July 12, 2016 of $721.9 million during the first two years, 7.5% per annum during the third year, 10.0% per annum during the fourth year and 12.5% per annum during the fifth year, with any remaining balance payable on the maturity date.</w:t>
      </w:r>
    </w:p>
    <w:p>
      <w:pPr>
        <w:spacing w:after="0" w:line="4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amended credit agreement contains financial covenants that require Jazz Pharmaceuticals plc and our restricted subsidiaries to not (a) exceed a maximum secured net leverage ratio or (b) fall below a cash interest coverage ratio. We were, as of June 30, 2016, and are currently, in compliance with these financial covenants.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w:t>
      </w:r>
    </w:p>
    <w:p>
      <w:pPr>
        <w:spacing w:after="0" w:line="90"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The 2021 Notes were issued by Jazz Investments I Limited, or the Issuer, a 100%-owned finance subsidiary of Jazz Pharmaceuticals plc. The Issuer’s obligations under the 2021 Notes are fully and unconditionally guaranteed on a senior unsecured basis by Jazz Pharmaceuticals plc. No subsidiary of Jazz Pharmaceuticals plc guaranteed the 2021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2016, the carrying value of the equity component of the 2021 Notes, net of equity issuance costs, was $126.9 million.</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Maturities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Scheduled maturities with respect to our long-term debt principal balances outstanding as of June 30, 2016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14"/>
                <w:szCs w:val="14"/>
                <w:color w:val="auto"/>
              </w:rPr>
            </w:pPr>
          </w:p>
        </w:tc>
        <w:tc>
          <w:tcPr>
            <w:tcW w:w="156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Scheduled Long-Term</w:t>
            </w:r>
          </w:p>
        </w:tc>
        <w:tc>
          <w:tcPr>
            <w:tcW w:w="0" w:type="dxa"/>
            <w:vAlign w:val="bottom"/>
          </w:tcPr>
          <w:p>
            <w:pPr>
              <w:spacing w:after="0"/>
              <w:rPr>
                <w:sz w:val="1"/>
                <w:szCs w:val="1"/>
                <w:color w:val="auto"/>
              </w:rPr>
            </w:pPr>
          </w:p>
        </w:tc>
      </w:tr>
      <w:tr>
        <w:trPr>
          <w:trHeight w:val="158"/>
        </w:trPr>
        <w:tc>
          <w:tcPr>
            <w:tcW w:w="97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274"/>
              <w:spacing w:after="0" w:line="158" w:lineRule="exact"/>
              <w:rPr>
                <w:sz w:val="20"/>
                <w:szCs w:val="20"/>
                <w:color w:val="auto"/>
              </w:rPr>
            </w:pPr>
            <w:r>
              <w:rPr>
                <w:rFonts w:ascii="Arial" w:cs="Arial" w:eastAsia="Arial" w:hAnsi="Arial"/>
                <w:sz w:val="14"/>
                <w:szCs w:val="14"/>
                <w:b w:val="1"/>
                <w:bCs w:val="1"/>
                <w:color w:val="auto"/>
              </w:rPr>
              <w:t>Debt Maturities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8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2016 (remainder)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8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42,188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60,937</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79,687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520,313</w:t>
            </w:r>
          </w:p>
        </w:tc>
        <w:tc>
          <w:tcPr>
            <w:tcW w:w="0" w:type="dxa"/>
            <w:vAlign w:val="bottom"/>
          </w:tcPr>
          <w:p>
            <w:pPr>
              <w:spacing w:after="0"/>
              <w:rPr>
                <w:sz w:val="1"/>
                <w:szCs w:val="1"/>
                <w:color w:val="auto"/>
              </w:rPr>
            </w:pP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1,296,875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720" w:firstLine="432"/>
        <w:spacing w:after="0" w:line="264"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not yet been made against us. To date, we have not paid any claims or been required to defend any action related to these indemnification obligations.</w:t>
      </w:r>
    </w:p>
    <w:p>
      <w:pPr>
        <w:spacing w:after="0" w:line="18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and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June 30, 2016 and December 31, 2015.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 and Other Commitments</w:t>
      </w:r>
    </w:p>
    <w:p>
      <w:pPr>
        <w:spacing w:after="0" w:line="90" w:lineRule="exact"/>
        <w:rPr>
          <w:sz w:val="20"/>
          <w:szCs w:val="20"/>
          <w:color w:val="auto"/>
        </w:rPr>
      </w:pPr>
    </w:p>
    <w:p>
      <w:pPr>
        <w:jc w:val="both"/>
        <w:ind w:right="500" w:firstLine="432"/>
        <w:spacing w:after="0" w:line="264" w:lineRule="auto"/>
        <w:rPr>
          <w:sz w:val="20"/>
          <w:szCs w:val="20"/>
          <w:color w:val="auto"/>
        </w:rPr>
      </w:pPr>
      <w:r>
        <w:rPr>
          <w:rFonts w:ascii="Arial" w:cs="Arial" w:eastAsia="Arial" w:hAnsi="Arial"/>
          <w:sz w:val="18"/>
          <w:szCs w:val="18"/>
          <w:color w:val="auto"/>
        </w:rPr>
        <w:t>We have noncancelable operating leases for our office buildings and we are obligated to make payments under noncancelable operating leases for automobiles used by our sales force. Future minimum lease payments under our noncancelable operating and facility leases as of June 30, 2016 were as follows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340" w:type="dxa"/>
            <w:vAlign w:val="bottom"/>
          </w:tcPr>
          <w:p>
            <w:pPr>
              <w:spacing w:after="0"/>
              <w:rPr>
                <w:sz w:val="14"/>
                <w:szCs w:val="14"/>
                <w:color w:val="auto"/>
              </w:rPr>
            </w:pPr>
          </w:p>
        </w:tc>
        <w:tc>
          <w:tcPr>
            <w:tcW w:w="1360" w:type="dxa"/>
            <w:vAlign w:val="bottom"/>
          </w:tcPr>
          <w:p>
            <w:pPr>
              <w:jc w:val="right"/>
              <w:ind w:right="594"/>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158"/>
        </w:trPr>
        <w:tc>
          <w:tcPr>
            <w:tcW w:w="972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jc w:val="right"/>
              <w:ind w:right="474"/>
              <w:spacing w:after="0" w:line="158" w:lineRule="exact"/>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8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2016 (remainder)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6,358</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8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13,437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8,613</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6,682</w:t>
            </w:r>
          </w:p>
        </w:tc>
        <w:tc>
          <w:tcPr>
            <w:tcW w:w="0" w:type="dxa"/>
            <w:vAlign w:val="bottom"/>
          </w:tcPr>
          <w:p>
            <w:pPr>
              <w:spacing w:after="0"/>
              <w:rPr>
                <w:sz w:val="1"/>
                <w:szCs w:val="1"/>
                <w:color w:val="auto"/>
              </w:rPr>
            </w:pP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66,579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108,919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In January 2015, we entered into an agreement to lease office space located in Palo Alto, California in a building to be constructed by the landlord. We expect to occupy this office space by the end of 2017. In connection with this lease, the landlord is providing a tenant improvement allowance for the costs associated with the design, development and construction of tenant improvements for the leased facility. We are obligated to fund all costs incurred in excess of the tenant improvement allowance. The scope of the planned tenant improvements do not qualify as “normal tenant improvements” under the lease accounting guidance. Accordingly, for accounting purposes, we have concluded we are the deemed owner of the building during the construction period. As of June 30, 2016, we recorded project construction costs of $12.8 million incurred by the landlord as construction-in-progress in property and equipment, net and a corresponding financing obligation in other non-current liabilities in our condensed consolidated balance sheets. We will increase the asset and financing obligation as additional building costs are incurred by the landlord during the construction period. In the three and six months ended June 30, 2016, we recorded rent expense associated with the ground lease of $0.5 million and $0.9 million, respectively, in our condensed consolidated statements of income.</w:t>
      </w:r>
    </w:p>
    <w:p>
      <w:pPr>
        <w:spacing w:after="0" w:line="32"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As of June 30, 2016, we had $27.0 million of noncancelable purchase commitments due within one year, primarily related to agreements with third party manufacturers.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involved in legal proceedings, including the following matters:</w:t>
      </w:r>
    </w:p>
    <w:p>
      <w:pPr>
        <w:spacing w:after="0" w:line="90"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i w:val="1"/>
          <w:iCs w:val="1"/>
          <w:color w:val="auto"/>
        </w:rPr>
        <w:t xml:space="preserve">Xyrem ANDA Matters. </w:t>
      </w:r>
      <w:r>
        <w:rPr>
          <w:rFonts w:ascii="Arial" w:cs="Arial" w:eastAsia="Arial" w:hAnsi="Arial"/>
          <w:sz w:val="16"/>
          <w:szCs w:val="16"/>
          <w:color w:val="auto"/>
        </w:rPr>
        <w:t>On October 18, 2010, we received a notice of Paragraph IV Patent Certification, or Paragraph IV Certification, from Roxane that</w:t>
      </w:r>
      <w:r>
        <w:rPr>
          <w:rFonts w:ascii="Arial" w:cs="Arial" w:eastAsia="Arial" w:hAnsi="Arial"/>
          <w:sz w:val="16"/>
          <w:szCs w:val="16"/>
          <w:i w:val="1"/>
          <w:iCs w:val="1"/>
          <w:color w:val="auto"/>
        </w:rPr>
        <w:t xml:space="preserve"> </w:t>
      </w:r>
      <w:r>
        <w:rPr>
          <w:rFonts w:ascii="Arial" w:cs="Arial" w:eastAsia="Arial" w:hAnsi="Arial"/>
          <w:sz w:val="16"/>
          <w:szCs w:val="16"/>
          <w:color w:val="auto"/>
        </w:rPr>
        <w:t>it had submitted an ANDA to the FDA requesting approval to market a generic version of Xyrem. Roxane’s initial notice alleged that all five patents then listed for Xyrem in the FDA’s publication “Approved Drug Products with Therapeutic Equivalence Evaluations,” or Orange Book, on the date of the notice are invalid, unenforceable or not infringed by Roxane’s proposed generic product. On November 22, 2010, we filed a lawsuit against Roxane in response to Roxane’s initial notice in the U.S. District Court for the District of New Jersey, or the District Court, seeking a permanent injunction to prevent Roxane from introducing a generic version of Xyrem that would infringe our patents. In accordance with the Drug Price Competition and Patent Term Restoration Act of 1984, or Hatch-Waxman Act, as a result of our having filed a timely lawsuit against Roxane, FDA approval of Roxane’s ANDA was stayed for 30 months, or until April 2013. That stay has expired. Additional patents covering Xyrem have been issued since December 2010, and after receiving Paragraph IV Certification notices from Roxane with respect to those patents, we have filed additional lawsuits against Roxane to include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additional patents in the litigation. All of the lawsuits filed against Roxane between 2010 and 2012 were consolidated by the District Court into a single case, which we refer to as the first Roxane consolidated case. In the first Roxane consolidated case, we allege that 10 of our patents covering Xyrem are or will be infringed by Roxane’s ANDA and seek a permanent injunction to prevent Roxane from launching a generic version of Xyrem that would infringe these patents.</w:t>
      </w:r>
    </w:p>
    <w:p>
      <w:pPr>
        <w:spacing w:after="0" w:line="52"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After receiving additional Paragraph IV Certification notices from Roxane, we filed three actions against Roxane in the District Court on February 20, 2015, June 1, 2015 and January 27, 2016 that were consolidated by the District Court into a second case, which we refer to as the second Roxane consolidated case. In the second Roxane consolidated case, we allege that five of our patents covering Xyrem are or will be infringed by Roxane’s ANDA and seek a permanent injunction to prevent Roxane from introducing a generic version of Xyrem that would infringe those patents.</w:t>
      </w:r>
    </w:p>
    <w:p>
      <w:pPr>
        <w:spacing w:after="0" w:line="63"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In December 2013, the District Court permitted Roxane to amend its answer in the first Roxane consolidated case to allege certain equitable defenses, and the parties were given additional time for discovery on those new defenses. In addition, in March 2014, the District Court granted our motion to bifurcate and stay the portion of the first Roxane consolidated case regarding patents related to the distribution system for Xyrem.</w:t>
      </w:r>
    </w:p>
    <w:p>
      <w:pPr>
        <w:spacing w:after="0" w:line="166"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In April 2015, Roxane moved in the second Roxane consolidated case to dismiss claims involving our patent covering a part of the Xyrem label that instructs prescribers on adjusting the dose of Xyrem when it is being co-administered with divalproex sodium (also known as valproate or valproic acid) on the grounds that this patent does not cover patentable subject matter. In October 2015, the District Court administratively terminated this motion to dismiss (without prejudice) pending the outcome of IPR proceedings before the PTAB, relating to the patent that was the subject of Roxane’s motion. Such IPR proceedings were filed by Par, Ranbaxy and Amneal and are discussed below.</w:t>
      </w:r>
    </w:p>
    <w:p>
      <w:pPr>
        <w:spacing w:after="0" w:line="188" w:lineRule="exact"/>
        <w:rPr>
          <w:sz w:val="20"/>
          <w:szCs w:val="20"/>
          <w:color w:val="auto"/>
        </w:rPr>
      </w:pPr>
    </w:p>
    <w:p>
      <w:pPr>
        <w:ind w:right="580" w:firstLine="432"/>
        <w:spacing w:after="0" w:line="308" w:lineRule="auto"/>
        <w:rPr>
          <w:sz w:val="20"/>
          <w:szCs w:val="20"/>
          <w:color w:val="auto"/>
        </w:rPr>
      </w:pPr>
      <w:r>
        <w:rPr>
          <w:rFonts w:ascii="Arial" w:cs="Arial" w:eastAsia="Arial" w:hAnsi="Arial"/>
          <w:sz w:val="17"/>
          <w:szCs w:val="17"/>
          <w:color w:val="auto"/>
        </w:rPr>
        <w:t>In July 2016, the District Court determined that it would try all of the patents at issue in the first and second Roxane consolidated cases together, including patents that were previously bifurcated and stayed, and set trial in this consolidated case for the second quarter of 2017.</w:t>
      </w:r>
    </w:p>
    <w:p>
      <w:pPr>
        <w:spacing w:after="0" w:line="14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actual timing of events in our litigation with Roxane may be earlier or later than we currently anticipate. We cannot predict the specific timing or outcome of events in these matters or the impact of these matters on other ongoing proceedings with any ANDA filer.</w:t>
      </w:r>
    </w:p>
    <w:p>
      <w:pPr>
        <w:spacing w:after="0" w:line="170"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On December 10, 2012, we received notice of Paragraph IV Certification from Amneal Pharmaceuticals, LLC, or Amneal, that it had submitted an ANDA to the FDA requesting approval to market a generic version of Xyrem. On January 18, 2013, we filed a lawsuit against Amneal in the District Court alleging that our patents covering Xyrem are infringed or will be infringed by Amneal’s ANDA and seeking a permanent injunction to prevent Amneal from introducing a generic version of Xyrem that would infringe these patents. On November 21, 2013, we received notice of Paragraph IV Certification from Par Pharmaceutical, Inc., or Par, that it had submitted an ANDA to the FDA requesting approval to market a generic version of Xyrem. On December 27, 2013, we filed a lawsuit against Par in the District Court alleging that our patents covering Xyrem are infringed or will be infringed by Par’s ANDA and seeking a permanent injunction to prevent Par from introducing a generic version of Xyrem that would infringe these patents.</w:t>
      </w:r>
    </w:p>
    <w:p>
      <w:pPr>
        <w:spacing w:after="0" w:line="14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April 2014, Amneal asked the District Court to consolidate its case with the Par case, stating that both cases would proceed on the schedule for the Par case. The District Court granted this request in May 2014. The order consolidating the cases provides that Amneal’s 30-month stay period will be extended to coincide with the date of Par’s 30-month stay period. The stay expired on May 20, 2016.</w:t>
      </w:r>
    </w:p>
    <w:p>
      <w:pPr>
        <w:spacing w:after="0" w:line="46"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Additional patents covering Xyrem have issued since April 2014 and have been listed in the Orange Book for Xyrem. Amneal and Par have given us additional notices of Paragraph IV Certifications regarding such patents, and we have filed additional lawsuits against Amneal and Par in the District Court alleging that our patents covering Xyrem are infringed or will be infringed by Amneal’s and Par’s ANDAs and seeking a permanent injunction to prevent Amneal and Par from introducing a generic version of Xyrem that will infringe these patents. In March 2016, Par moved to dismiss claims involving our patents covering a part of the Xyrem label that instructs prescribers on adjusting the dose of Xyrem when it is being co-administered with divalproex sodium (also known as valproate or valproic acid).</w:t>
      </w:r>
    </w:p>
    <w:p>
      <w:pPr>
        <w:spacing w:after="0" w:line="85"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On June 4, 2014, we received a notice of Paragraph IV Certification from Ranbaxy Laboratories Limited, or Ranbaxy, that it had submitted an ANDA to the FDA requesting approval to market a generic version of Xyrem. On July 15, 2014, we filed a lawsuit against Ranbaxy in the District Court alleging that our patents covering Xyrem are infringed or will be infringed by Ranbaxy’s ANDA and seeking a permanent injunction to prevent Ranbaxy from introducing a generic version of Xyrem that will infringe these patents. Since June 2014, we have received additional notices of Paragraph IV Certification from Ranbaxy regarding newly issued patents for Xyrem listed in the Orange Book, and we have filed additional lawsuits against Ranbaxy in the District Court alleging that our patents covering Xyrem are infringed or will be infringed by Ranbaxy’s ANDA and seeking a permanent injunction to prevent Ranbaxy from introducing a generic version of Xyrem that will infringe these patents. In May 2016, the Ranbaxy litigation was settled as described below.</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October 30, 2014, we received a notice of Paragraph IV Certification from Watson Laboratories, Inc., or Watson, that it had submitted an ANDA to the FDA requesting approval to market a generic version of Xyrem. On December 11, 2014, we filed a lawsuit against Watson in the District Court alleging that our patents covering Xyrem are or will be infringed by Watson’s ANDA and seeking a permanent injunction to prevent Watson from introducing a generic version of Xyrem that would infringe these patents. In March 2015, Watson moved to dismiss the portion of the case based on our Orange Book-listed patents covering the distribution system for Xyrem on the grounds that these patents do not cover patentable subject matter. In November 2015, the District Court administratively terminated this motion to dismiss (without prejudice) pending the outcome of IPR proceedings before the PTAB relating to the patents that were the subject of Watson’s motion. Since March 2015, we have received an additional notice of Paragraph IV Certification from Watson regarding newly issued patents for Xyrem listed in the Orange Book, and we have filed an additional lawsuit against Watson in the District Court alleging that our patents covering Xyrem are or will be infringed by Watson’s ANDA and seeking a permanent injunction to prevent Watson from introducing a generic version of Xyrem that would infringe these patents.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April 2015, the District Court issued an order that consolidated all then-pending lawsuits against Amneal, Par, Ranbaxy and Watson into one case.</w:t>
      </w:r>
    </w:p>
    <w:p>
      <w:pPr>
        <w:spacing w:after="0" w:line="248"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On June 8, 2015, we received a Paragraph IV Certification from Wockhardt Bio AG, or Wockhardt, that it had submitted an ANDA to the FDA requesting approval to market a generic version of Xyrem. On July 17, 2015, we filed a lawsuit in the District Court alleging that our patents covering Xyrem were or would be infringed by Wockhardt’s ANDA and seeking a permanent injunction to prevent Wockhardt from introducing a generic version of Xyrem that would infringe our patents. On November 26, 2015, we received an additional notice of Paragraph IV Certification from Wockhardt regarding newly issued patents listed in the Orange Book, and we filed an additional lawsuit against Wockhardt in the District Court alleging that our patents covering Xyrem were or would be infringed by Wockhardt’s ANDA and seeking a permanent injunction to prevent Wockhardt from introducing a generic version of Xyrem that would infringe these patents. In April 2016, the Wockhardt litigation was settled as set forth below.</w:t>
      </w:r>
    </w:p>
    <w:p>
      <w:pPr>
        <w:spacing w:after="0" w:line="178"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On July 23, 2015, we received a Paragraph IV Certification from Lupin Inc., or Lupin, that it has submitted an ANDA to the FDA requesting approval to market a generic version of Xyrem. On September 2, 2015, we filed a lawsuit in the District Court alleging that our patents covering Xyrem are or will be infringed by Lupin’s ANDA and seeking a permanent injunction to prevent Lupin from introducing a generic version of Xyrem that would infringe our patents.</w:t>
      </w:r>
    </w:p>
    <w:p>
      <w:pPr>
        <w:spacing w:after="0" w:line="18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In January 2016, the District Court issued an order consolidating all of the cases then pending against Amneal, Par, Ranbaxy, Watson, Wockhardt and Lupin into a single case for all purposes. In April 2016, the District Court issued orders consolidating two cases against Amneal and Ranbaxy relating to later-issued patents with the previously consolidated case against Amneal, Par, Ranbaxy, Watson and Lupin. In June 2016, the District Court issued an order consolidating a case against Watson relating to a later-issued patent with the previously consolidated case against Amneal, Par, Watson and Lupin.</w:t>
      </w:r>
    </w:p>
    <w:p>
      <w:pPr>
        <w:spacing w:after="0" w:line="4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entered into settlement agreements with Wockhardt and Ranbaxy on April 18, 2016 and May 9, 2016, respectively, that resolved our patent litigation against Wockhardt and Ranbaxy. Under the settlement agreements, we granted each of Wockhardt and Ranbaxy a license to manufacture, market, and sell its generic version of Xyrem on or after December 31, 2025, or earlier depending on the occurrence of certain events. The specific terms of the settlement agreements are confidential.</w:t>
      </w:r>
    </w:p>
    <w:p>
      <w:pPr>
        <w:spacing w:after="0" w:line="7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settlements with Wockhardt and Ranbaxy do not resolve the litigation against Amneal, Par, Watson and Lupin, which is ongoing. We cannot predict the specific timing or outcome of events in this matter with respect to the remaining defendants or the impact of developments involving any specific parties or patents on other ongoing proceedings with any ANDA filer.</w:t>
      </w:r>
    </w:p>
    <w:p>
      <w:pPr>
        <w:spacing w:after="0" w:line="181"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i w:val="1"/>
          <w:iCs w:val="1"/>
          <w:color w:val="auto"/>
        </w:rPr>
        <w:t>Xyrem Post-Grant Patent Review Matters</w:t>
      </w:r>
      <w:r>
        <w:rPr>
          <w:rFonts w:ascii="Arial" w:cs="Arial" w:eastAsia="Arial" w:hAnsi="Arial"/>
          <w:sz w:val="18"/>
          <w:szCs w:val="18"/>
          <w:color w:val="auto"/>
        </w:rPr>
        <w:t>. In January 2015, certain of the ANDA filers filed petitions for IPR with respect to the validity of six patents</w:t>
      </w:r>
      <w:r>
        <w:rPr>
          <w:rFonts w:ascii="Arial" w:cs="Arial" w:eastAsia="Arial" w:hAnsi="Arial"/>
          <w:sz w:val="18"/>
          <w:szCs w:val="18"/>
          <w:i w:val="1"/>
          <w:iCs w:val="1"/>
          <w:color w:val="auto"/>
        </w:rPr>
        <w:t xml:space="preserve"> </w:t>
      </w:r>
      <w:r>
        <w:rPr>
          <w:rFonts w:ascii="Arial" w:cs="Arial" w:eastAsia="Arial" w:hAnsi="Arial"/>
          <w:sz w:val="18"/>
          <w:szCs w:val="18"/>
          <w:color w:val="auto"/>
        </w:rPr>
        <w:t>covering the distribution system for Xyrem. In July 2015, the PTAB issued decisions instituting IPR trials with respect to these petitions. In July 2016, the PTAB issued final decisions that the claims of these six patents are unpatentable; if the United States Court of Appeals for the Federal Circuit upholds those decisions or if the time for appeal expires, these claims will be canceled. We expect to appeal these decisions to the United States Court of Appeals for the Federal Circuit. In September 2015, certain of the ANDA filers filed a petition for IPR with respect to the validity of an additional patent covering the distribution system for Xyrem. In March 2016, the PTAB issued a decision instituting an IPR trial with respect to three claims of the patent subject to this petition, and we expect the PTAB to issue a final decision on the validity of these claims in March 2017. The PTAB denied the petition with respect to the other 25 claims of the patent.</w:t>
      </w:r>
    </w:p>
    <w:p>
      <w:pPr>
        <w:spacing w:after="0" w:line="165"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In October 2015, Ranbaxy and Par filed petitions for IPR with respect to the validity of one of our patents covering a method for prescribing Xyrem when it is being co-administered with divalproex sodium, and Amneal filed an IPR petition on the same patent in February 2016. In April 2016, the PTAB denied Par’s petition in its entirety and issued a decision on Ranbaxy’s petition, instituting an IPR trial with respect to 16 of the claims under the patent subject to this petition and denying the petition with respect to the other 18 claims. In July 2016, the PTAB denied Amneal’s petition in its entirety. In March 2016, Ranbaxy filed a petition for IPR with respect to the validity of the second of our patents covering a method for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prescribing Xyrem when it is being co-administered with divalproex sodium. In connection with settlement of our litigation with Ranbaxy, both of the IPR petitions filed by Ranbaxy were terminated.</w:t>
      </w:r>
    </w:p>
    <w:p>
      <w:pPr>
        <w:spacing w:after="0" w:line="35"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In December 2015, Wockhardt filed a petition for IPR with respect to the validity of one of our patents covering the formulation of Xyrem. In connection with settlement of our patent litigation with Wockhardt, this IPR petition was terminated.</w:t>
      </w:r>
    </w:p>
    <w:p>
      <w:pPr>
        <w:spacing w:after="0" w:line="35" w:lineRule="exact"/>
        <w:rPr>
          <w:sz w:val="20"/>
          <w:szCs w:val="20"/>
          <w:color w:val="auto"/>
        </w:rPr>
      </w:pPr>
    </w:p>
    <w:p>
      <w:pPr>
        <w:jc w:val="both"/>
        <w:ind w:right="200" w:firstLine="405"/>
        <w:spacing w:after="0" w:line="259" w:lineRule="auto"/>
        <w:rPr>
          <w:sz w:val="20"/>
          <w:szCs w:val="20"/>
          <w:color w:val="auto"/>
        </w:rPr>
      </w:pPr>
      <w:r>
        <w:rPr>
          <w:rFonts w:ascii="Arial" w:cs="Arial" w:eastAsia="Arial" w:hAnsi="Arial"/>
          <w:sz w:val="18"/>
          <w:szCs w:val="18"/>
          <w:color w:val="auto"/>
        </w:rPr>
        <w:t>We cannot predict whether additional post-grant patent review challenges will be filed by any of the ANDA filers or any other entity, the outcome of any pending IPR or other proceeding, the outcome of any appeal of the July 2016 IPR decisions with respect to six patents covering the distribution system for Xyrem, whether the PTAB will institute any petitioned IPR proceeding that has not yet been instituted, or the impact any IPR or other proceeding might have on ongoing ANDA litigation proceedings or other aspects of our Xyrem business.</w:t>
      </w:r>
    </w:p>
    <w:p>
      <w:pPr>
        <w:spacing w:after="0" w:line="52"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i w:val="1"/>
          <w:iCs w:val="1"/>
          <w:color w:val="auto"/>
        </w:rPr>
        <w:t xml:space="preserve">Shareholder Litigation Matters Relating to Celator Acquisition. </w:t>
      </w:r>
      <w:r>
        <w:rPr>
          <w:rFonts w:ascii="Arial" w:cs="Arial" w:eastAsia="Arial" w:hAnsi="Arial"/>
          <w:sz w:val="16"/>
          <w:szCs w:val="16"/>
          <w:color w:val="auto"/>
        </w:rPr>
        <w:t>On June 21, 2016, a putative class-action lawsuit challenging the Celator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captioned </w:t>
      </w:r>
      <w:r>
        <w:rPr>
          <w:rFonts w:ascii="Arial" w:cs="Arial" w:eastAsia="Arial" w:hAnsi="Arial"/>
          <w:sz w:val="16"/>
          <w:szCs w:val="16"/>
          <w:i w:val="1"/>
          <w:iCs w:val="1"/>
          <w:color w:val="auto"/>
        </w:rPr>
        <w:t>Dunbar v. Celator Pharmaceuticals, Inc.,</w:t>
      </w:r>
      <w:r>
        <w:rPr>
          <w:rFonts w:ascii="Arial" w:cs="Arial" w:eastAsia="Arial" w:hAnsi="Arial"/>
          <w:sz w:val="16"/>
          <w:szCs w:val="16"/>
          <w:color w:val="auto"/>
        </w:rPr>
        <w:t xml:space="preserve"> or the Dunbar action, was filed in the Superior Court of New Jersey. The complaint was filed against Celator, each member of the Celator board of directors, Jazz Pharmaceuticals plc and our wholly owned subsidiary Plex Merger Sub, Inc., or Plex. The complaint generally alleges that the Celator directors breached their fiduciary duties in connection with the Celator Acquisition, and that Jazz Pharmaceuticals plc and Plex aided and abetted these alleged breaches of fiduciary duty. The complaint also generally asserts that the Celator directors breached their fiduciary duties to Celator’s public stockholders by, among other things, (i) agreeing to sell Celator to us at an inadequate price, (ii) implementing an unfair process,</w:t>
      </w:r>
    </w:p>
    <w:p>
      <w:pPr>
        <w:spacing w:after="0" w:line="5" w:lineRule="exact"/>
        <w:rPr>
          <w:sz w:val="20"/>
          <w:szCs w:val="20"/>
          <w:color w:val="auto"/>
        </w:rPr>
      </w:pPr>
    </w:p>
    <w:p>
      <w:pPr>
        <w:jc w:val="both"/>
        <w:ind w:right="80" w:firstLine="8"/>
        <w:spacing w:after="0" w:line="302" w:lineRule="auto"/>
        <w:tabs>
          <w:tab w:leader="none" w:pos="315" w:val="left"/>
        </w:tabs>
        <w:numPr>
          <w:ilvl w:val="0"/>
          <w:numId w:val="9"/>
        </w:numPr>
        <w:rPr>
          <w:rFonts w:ascii="Arial" w:cs="Arial" w:eastAsia="Arial" w:hAnsi="Arial"/>
          <w:sz w:val="16"/>
          <w:szCs w:val="16"/>
          <w:color w:val="auto"/>
        </w:rPr>
      </w:pPr>
      <w:r>
        <w:rPr>
          <w:rFonts w:ascii="Arial" w:cs="Arial" w:eastAsia="Arial" w:hAnsi="Arial"/>
          <w:sz w:val="16"/>
          <w:szCs w:val="16"/>
          <w:color w:val="auto"/>
        </w:rPr>
        <w:t>agreeing to certain provisions of the merger agreement for the Celator Acquisition that allegedly favored us and deterred alternative bids, and (iv) failing to disclose purportedly material information in Celator’s Schedule 14D-9 filing with the SEC. The plaintiff sought, among other things, an injunction against the consummation of the Celator Acquisition and an award of costs and expenses, including a reasonable allowance for attorneys’ and experts’ fees.</w:t>
      </w:r>
    </w:p>
    <w:p>
      <w:pPr>
        <w:spacing w:after="0" w:line="2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 xml:space="preserve">Between June 27, 2016 and June 29, 2016, two putative class-action lawsuits challenging the Celator Acquisition, captioned </w:t>
      </w:r>
      <w:r>
        <w:rPr>
          <w:rFonts w:ascii="Arial" w:cs="Arial" w:eastAsia="Arial" w:hAnsi="Arial"/>
          <w:sz w:val="18"/>
          <w:szCs w:val="18"/>
          <w:i w:val="1"/>
          <w:iCs w:val="1"/>
          <w:color w:val="auto"/>
        </w:rPr>
        <w:t>Palmisciano v. Celator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Pharmaceuticals, Inc., </w:t>
      </w:r>
      <w:r>
        <w:rPr>
          <w:rFonts w:ascii="Arial" w:cs="Arial" w:eastAsia="Arial" w:hAnsi="Arial"/>
          <w:sz w:val="18"/>
          <w:szCs w:val="18"/>
          <w:color w:val="auto"/>
        </w:rPr>
        <w:t>or the Palmisciano action, and</w:t>
      </w:r>
      <w:r>
        <w:rPr>
          <w:rFonts w:ascii="Arial" w:cs="Arial" w:eastAsia="Arial" w:hAnsi="Arial"/>
          <w:sz w:val="18"/>
          <w:szCs w:val="18"/>
          <w:i w:val="1"/>
          <w:iCs w:val="1"/>
          <w:color w:val="auto"/>
        </w:rPr>
        <w:t xml:space="preserve"> Barreto v. Celator Pharmaceuticals, Inc.</w:t>
      </w:r>
      <w:r>
        <w:rPr>
          <w:rFonts w:ascii="Arial" w:cs="Arial" w:eastAsia="Arial" w:hAnsi="Arial"/>
          <w:sz w:val="18"/>
          <w:szCs w:val="18"/>
          <w:color w:val="auto"/>
        </w:rPr>
        <w:t>, or the Barreto action</w:t>
      </w:r>
      <w:r>
        <w:rPr>
          <w:rFonts w:ascii="Arial" w:cs="Arial" w:eastAsia="Arial" w:hAnsi="Arial"/>
          <w:sz w:val="18"/>
          <w:szCs w:val="18"/>
          <w:i w:val="1"/>
          <w:iCs w:val="1"/>
          <w:color w:val="auto"/>
        </w:rPr>
        <w:t xml:space="preserve">, </w:t>
      </w:r>
      <w:r>
        <w:rPr>
          <w:rFonts w:ascii="Arial" w:cs="Arial" w:eastAsia="Arial" w:hAnsi="Arial"/>
          <w:sz w:val="18"/>
          <w:szCs w:val="18"/>
          <w:color w:val="auto"/>
        </w:rPr>
        <w:t>were filed in the District Court.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complaints were filed against Celator and each member of the Celator board of directors. The complaints assert causes of action under sections 14 and 20 of the Securities Exchange Act of 1934, as amended, or the Exchange Act, predicated on Celator’s and the Celator directors’ alleged failure to disclose purportedly material information in Celator’s Schedule 14D-9 filing with the SEC. The plaintiffs sought, among other things, an injunction against the consummation of the Celator Acquisition and an award of costs and expenses, including a reasonable allowance for attorneys’ and experts’ fees. Neither Jazz Pharmaceuticals plc nor Plex were named defendants in these actions.</w:t>
      </w:r>
    </w:p>
    <w:p>
      <w:pPr>
        <w:spacing w:after="0" w:line="5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July 6, 2016, the defendants to the Dunbar action, the Palmisciano action and the Barreto action entered into a memorandum of understanding regarding settlement of these actions. The memorandum of understanding outlines the terms of the parties’ agreement in principle to settle and release all claims which were or could have been asserted in these actions. In consideration for such settlement and release, the parties to these actions agreed, among other things, that Celator would amend its Schedule 14D-9 to include certain supplemental disclosures. The Schedule 14D-9 was amended by Celator on July 6, 2016, and the Celator Acquisition was completed on July 12, 2016. The settlement remains subject to, among other items, the execution of a stipulation of settlement by the parties, final approval of the settlement by the District Court in the Barreto action and dismissal with prejudice of the Dunbar action and the Palmisciano action.</w:t>
      </w:r>
    </w:p>
    <w:p>
      <w:pPr>
        <w:spacing w:after="0" w:line="5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90" w:lineRule="exact"/>
        <w:rPr>
          <w:sz w:val="20"/>
          <w:szCs w:val="20"/>
          <w:color w:val="auto"/>
        </w:rPr>
      </w:pPr>
    </w:p>
    <w:p>
      <w:pPr>
        <w:ind w:right="80" w:firstLine="432"/>
        <w:spacing w:after="0" w:line="249" w:lineRule="auto"/>
        <w:rPr>
          <w:sz w:val="20"/>
          <w:szCs w:val="20"/>
          <w:color w:val="auto"/>
        </w:rPr>
      </w:pPr>
      <w:r>
        <w:rPr>
          <w:rFonts w:ascii="Arial" w:cs="Arial" w:eastAsia="Arial" w:hAnsi="Arial"/>
          <w:sz w:val="17"/>
          <w:szCs w:val="17"/>
          <w:color w:val="auto"/>
        </w:rPr>
        <w:t>We have not previously submitted pricing data for two radiopharmaceutical products, Quadramet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(samarium sm 153 lexidronam injection) and ProstaScint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(capromab pendetide), for Medicaid and the Public Health Service’s 340B drug pricing discount program, or 340B program. We engaged in interactions with the Centers for Medicare and Medicaid Services, or CMS, and a trade group, the Council on Radionuclides and Radiopharmaceuticals, or CORAR, regarding the reporting of Medicaid pricing data and paying Medicaid rebates for radiopharmaceutical products. In addition to the discussions with CMS as part of CORAR, we have had separate discussions with CMS directly regarding Quadramet. We sold Quadramet to a third party in December 2013, but we retained any liabilities related to sales of the product during prior periods. Similarly, we sold ProstaScint to a third party in May 2015, but we retained any liabilities related to sales of the product during prior periods. We are currently unable to predict whether price reporting and rebates will be required for Quadramet and ProstaScint for some or all of the period during which we were responsible for sales of these products. The initiation of any reporting of Medicaid pricing data for Quadramet or ProstaScint could result in retroactive 340B ceiling price liability for these two products. We are currently unable to reasonably estimate an amount or range of a potential contingent loss. Any material liability resulting from radiopharmaceutical price reporting would negatively impact our financial results.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In May 2016, we received a subpoena from the U.S. Attorney’s Office for the District of Massachusetts requesting documents related to our support of 501(c)(3) organizations that provide financial assistance to Medicare patients, and, for Xyrem, documents concerning our provision of financial assistance to Medicare patients. Other companies have disclosed similar inquiries. We are cooperating with this subpoena. We are unable to predict how long this investigation will continue or its outcome, but we expect that we will incur significant costs in connection with the investigation, regardless of the outcome.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Shareholders’ Equity</w:t>
      </w:r>
    </w:p>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tables present a reconciliation of our beginning and ending balances in shareholders’ equity for the six months ended June 30, 2016 and 2015, respectively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3"/>
              <w:spacing w:after="0"/>
              <w:rPr>
                <w:sz w:val="20"/>
                <w:szCs w:val="20"/>
                <w:color w:val="auto"/>
              </w:rPr>
            </w:pPr>
            <w:r>
              <w:rPr>
                <w:rFonts w:ascii="Arial" w:cs="Arial" w:eastAsia="Arial" w:hAnsi="Arial"/>
                <w:sz w:val="14"/>
                <w:szCs w:val="14"/>
                <w:b w:val="1"/>
                <w:bCs w:val="1"/>
                <w:color w:val="auto"/>
                <w:w w:val="92"/>
              </w:rPr>
              <w:t>Total Shareholders'</w:t>
            </w:r>
          </w:p>
        </w:tc>
        <w:tc>
          <w:tcPr>
            <w:tcW w:w="0" w:type="dxa"/>
            <w:vAlign w:val="bottom"/>
          </w:tcPr>
          <w:p>
            <w:pPr>
              <w:spacing w:after="0"/>
              <w:rPr>
                <w:sz w:val="1"/>
                <w:szCs w:val="1"/>
                <w:color w:val="auto"/>
              </w:rPr>
            </w:pPr>
          </w:p>
        </w:tc>
      </w:tr>
      <w:tr>
        <w:trPr>
          <w:trHeight w:val="192"/>
        </w:trPr>
        <w:tc>
          <w:tcPr>
            <w:tcW w:w="60" w:type="dxa"/>
            <w:vAlign w:val="bottom"/>
            <w:tcBorders>
              <w:bottom w:val="single" w:sz="8" w:color="CCEEFF"/>
            </w:tcBorders>
          </w:tcPr>
          <w:p>
            <w:pPr>
              <w:spacing w:after="0"/>
              <w:rPr>
                <w:sz w:val="16"/>
                <w:szCs w:val="16"/>
                <w:color w:val="auto"/>
              </w:rPr>
            </w:pPr>
          </w:p>
        </w:tc>
        <w:tc>
          <w:tcPr>
            <w:tcW w:w="67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6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Shareholders' equity at January 1, 2016</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1,598,646</w:t>
            </w:r>
          </w:p>
        </w:tc>
        <w:tc>
          <w:tcPr>
            <w:tcW w:w="0" w:type="dxa"/>
            <w:vAlign w:val="bottom"/>
          </w:tcPr>
          <w:p>
            <w:pPr>
              <w:spacing w:after="0"/>
              <w:rPr>
                <w:sz w:val="1"/>
                <w:szCs w:val="1"/>
                <w:color w:val="auto"/>
              </w:rPr>
            </w:pPr>
          </w:p>
        </w:tc>
      </w:tr>
      <w:tr>
        <w:trPr>
          <w:trHeight w:val="243"/>
        </w:trPr>
        <w:tc>
          <w:tcPr>
            <w:tcW w:w="6800" w:type="dxa"/>
            <w:vAlign w:val="bottom"/>
            <w:gridSpan w:val="3"/>
          </w:tcPr>
          <w:p>
            <w:pPr>
              <w:ind w:left="40"/>
              <w:spacing w:after="0"/>
              <w:rPr>
                <w:sz w:val="20"/>
                <w:szCs w:val="20"/>
                <w:color w:val="auto"/>
              </w:rPr>
            </w:pPr>
            <w:r>
              <w:rPr>
                <w:rFonts w:ascii="Arial" w:cs="Arial" w:eastAsia="Arial" w:hAnsi="Arial"/>
                <w:sz w:val="18"/>
                <w:szCs w:val="18"/>
                <w:color w:val="auto"/>
                <w:w w:val="90"/>
              </w:rPr>
              <w:t>Issuance of ordinary shares in conjunction with employee equity incentive and purchase plans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14,611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Employee withholding taxes related to share-based awards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(14,278)</w:t>
            </w:r>
          </w:p>
        </w:tc>
        <w:tc>
          <w:tcPr>
            <w:tcW w:w="0" w:type="dxa"/>
            <w:vAlign w:val="bottom"/>
          </w:tcPr>
          <w:p>
            <w:pPr>
              <w:spacing w:after="0"/>
              <w:rPr>
                <w:sz w:val="1"/>
                <w:szCs w:val="1"/>
                <w:color w:val="auto"/>
              </w:rPr>
            </w:pPr>
          </w:p>
        </w:tc>
      </w:tr>
      <w:tr>
        <w:trPr>
          <w:trHeight w:val="243"/>
        </w:trPr>
        <w:tc>
          <w:tcPr>
            <w:tcW w:w="6800" w:type="dxa"/>
            <w:vAlign w:val="bottom"/>
            <w:gridSpan w:val="3"/>
          </w:tcPr>
          <w:p>
            <w:pPr>
              <w:ind w:left="4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50,333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from employee share options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43"/>
        </w:trPr>
        <w:tc>
          <w:tcPr>
            <w:tcW w:w="6800" w:type="dxa"/>
            <w:vAlign w:val="bottom"/>
            <w:gridSpan w:val="3"/>
          </w:tcPr>
          <w:p>
            <w:pPr>
              <w:ind w:left="40"/>
              <w:spacing w:after="0"/>
              <w:rPr>
                <w:sz w:val="20"/>
                <w:szCs w:val="20"/>
                <w:color w:val="auto"/>
              </w:rPr>
            </w:pPr>
            <w:r>
              <w:rPr>
                <w:rFonts w:ascii="Arial" w:cs="Arial" w:eastAsia="Arial" w:hAnsi="Arial"/>
                <w:sz w:val="18"/>
                <w:szCs w:val="18"/>
                <w:color w:val="auto"/>
              </w:rPr>
              <w:t>Shares repurchased</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(163,244)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17,484</w:t>
            </w:r>
          </w:p>
        </w:tc>
        <w:tc>
          <w:tcPr>
            <w:tcW w:w="0" w:type="dxa"/>
            <w:vAlign w:val="bottom"/>
          </w:tcPr>
          <w:p>
            <w:pPr>
              <w:spacing w:after="0"/>
              <w:rPr>
                <w:sz w:val="1"/>
                <w:szCs w:val="1"/>
                <w:color w:val="auto"/>
              </w:rPr>
            </w:pPr>
          </w:p>
        </w:tc>
      </w:tr>
      <w:tr>
        <w:trPr>
          <w:trHeight w:val="243"/>
        </w:trPr>
        <w:tc>
          <w:tcPr>
            <w:tcW w:w="680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185,403</w:t>
            </w: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Shareholders' equity at June 30, 2016</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1,692,458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Attributable to:</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Jazz Pharmaceuticals</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3"/>
                <w:szCs w:val="13"/>
                <w:color w:val="auto"/>
              </w:rPr>
            </w:pPr>
          </w:p>
        </w:tc>
        <w:tc>
          <w:tcPr>
            <w:tcW w:w="1340" w:type="dxa"/>
            <w:vAlign w:val="bottom"/>
          </w:tcPr>
          <w:p>
            <w:pPr>
              <w:jc w:val="center"/>
              <w:ind w:right="53"/>
              <w:spacing w:after="0" w:line="153" w:lineRule="exact"/>
              <w:rPr>
                <w:sz w:val="20"/>
                <w:szCs w:val="20"/>
                <w:color w:val="auto"/>
              </w:rPr>
            </w:pPr>
            <w:r>
              <w:rPr>
                <w:rFonts w:ascii="Arial" w:cs="Arial" w:eastAsia="Arial" w:hAnsi="Arial"/>
                <w:sz w:val="14"/>
                <w:szCs w:val="14"/>
                <w:b w:val="1"/>
                <w:bCs w:val="1"/>
                <w:color w:val="auto"/>
                <w:w w:val="92"/>
              </w:rPr>
              <w:t>Total Shareholders'</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67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plc</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Shareholders' equity at January 1, 2015</w:t>
            </w: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1,371,144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1,371,208</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40" w:type="dxa"/>
            <w:vAlign w:val="bottom"/>
            <w:gridSpan w:val="2"/>
          </w:tcPr>
          <w:p>
            <w:pPr>
              <w:ind w:left="20"/>
              <w:spacing w:after="0"/>
              <w:rPr>
                <w:sz w:val="20"/>
                <w:szCs w:val="20"/>
                <w:color w:val="auto"/>
              </w:rPr>
            </w:pPr>
            <w:r>
              <w:rPr>
                <w:rFonts w:ascii="Arial" w:cs="Arial" w:eastAsia="Arial" w:hAnsi="Arial"/>
                <w:sz w:val="18"/>
                <w:szCs w:val="18"/>
                <w:color w:val="auto"/>
                <w:w w:val="95"/>
              </w:rPr>
              <w:t>Issuance of ordinary shares in conjunction with employee equity incentive and purchase</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740" w:type="dxa"/>
            <w:vAlign w:val="bottom"/>
            <w:gridSpan w:val="2"/>
          </w:tcPr>
          <w:p>
            <w:pPr>
              <w:ind w:left="20"/>
              <w:spacing w:after="0"/>
              <w:rPr>
                <w:sz w:val="20"/>
                <w:szCs w:val="20"/>
                <w:color w:val="auto"/>
              </w:rPr>
            </w:pPr>
            <w:r>
              <w:rPr>
                <w:rFonts w:ascii="Arial" w:cs="Arial" w:eastAsia="Arial" w:hAnsi="Arial"/>
                <w:sz w:val="18"/>
                <w:szCs w:val="18"/>
                <w:color w:val="auto"/>
              </w:rPr>
              <w:t>plans</w:t>
            </w:r>
          </w:p>
        </w:tc>
        <w:tc>
          <w:tcPr>
            <w:tcW w:w="3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26,730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26,730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Employee withholding taxes related to share-based awards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(16,679)</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740" w:type="dxa"/>
            <w:vAlign w:val="bottom"/>
            <w:gridSpan w:val="2"/>
          </w:tcPr>
          <w:p>
            <w:pPr>
              <w:ind w:left="2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44,394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44,394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(11,690)</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74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(125,945)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(125,953)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158,814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158,813</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Shareholders' equity at June 30, 2015</w:t>
            </w: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1,446,768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1,446,823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In November 2015, our board of directors authorized a share repurchase program pursuant to which we are authorized to repurchase a number of ordinary shares having an aggregate purchase price of up to $300 million, exclusive of any brokerage commissions. Under this share repurchase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our credit agreement, corporate and regulatory requirements and market conditions. In the six months ended June 30, 2016, we spent a total of $163.2 million to purchase 1.3 million of our ordinary shares under the share repurchase program at an average total purchase price, including commissions, of $126.74 per share. All ordinary shares repurchased by us were canceled. In June 2016, we temporarily suspended our share repurchase program in connection with the Celator Acquisition. The share repurchase program may be modified, suspended, otherwise discontinued or resumed at any time without prior notice. As of June 30, 2016, the remaining amount authorized under the share repurchase program was approximately $96.6 million.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accumulated other comprehensive loss as of June 30, 2016 and December 31, 2015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46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Currency</w:t>
            </w:r>
          </w:p>
        </w:tc>
        <w:tc>
          <w:tcPr>
            <w:tcW w:w="240" w:type="dxa"/>
            <w:vAlign w:val="bottom"/>
          </w:tcPr>
          <w:p>
            <w:pPr>
              <w:spacing w:after="0"/>
              <w:rPr>
                <w:sz w:val="12"/>
                <w:szCs w:val="12"/>
                <w:color w:val="auto"/>
              </w:rPr>
            </w:pPr>
          </w:p>
        </w:tc>
        <w:tc>
          <w:tcPr>
            <w:tcW w:w="146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2"/>
                <w:szCs w:val="12"/>
                <w:color w:val="auto"/>
              </w:rPr>
            </w:pPr>
          </w:p>
        </w:tc>
        <w:tc>
          <w:tcPr>
            <w:tcW w:w="146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240" w:type="dxa"/>
            <w:vAlign w:val="bottom"/>
          </w:tcPr>
          <w:p>
            <w:pPr>
              <w:spacing w:after="0"/>
              <w:rPr>
                <w:sz w:val="16"/>
                <w:szCs w:val="16"/>
                <w:color w:val="auto"/>
              </w:rPr>
            </w:pPr>
          </w:p>
        </w:tc>
        <w:tc>
          <w:tcPr>
            <w:tcW w:w="1460" w:type="dxa"/>
            <w:vAlign w:val="bottom"/>
          </w:tcPr>
          <w:p>
            <w:pPr>
              <w:jc w:val="center"/>
              <w:ind w:right="181"/>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(267,472)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21"/>
                <w:szCs w:val="21"/>
                <w:color w:val="auto"/>
              </w:rPr>
            </w:pPr>
          </w:p>
        </w:tc>
        <w:tc>
          <w:tcPr>
            <w:tcW w:w="1440" w:type="dxa"/>
            <w:vAlign w:val="bottom"/>
          </w:tcPr>
          <w:p>
            <w:pPr>
              <w:jc w:val="right"/>
              <w:ind w:right="40"/>
              <w:spacing w:after="0"/>
              <w:rPr>
                <w:sz w:val="20"/>
                <w:szCs w:val="20"/>
                <w:color w:val="auto"/>
              </w:rPr>
            </w:pPr>
            <w:r>
              <w:rPr>
                <w:rFonts w:ascii="Arial" w:cs="Arial" w:eastAsia="Arial" w:hAnsi="Arial"/>
                <w:sz w:val="18"/>
                <w:szCs w:val="18"/>
                <w:color w:val="auto"/>
              </w:rPr>
              <w:t>17,484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21"/>
              <w:spacing w:after="0"/>
              <w:rPr>
                <w:sz w:val="20"/>
                <w:szCs w:val="20"/>
                <w:color w:val="auto"/>
              </w:rPr>
            </w:pPr>
            <w:r>
              <w:rPr>
                <w:rFonts w:ascii="Arial" w:cs="Arial" w:eastAsia="Arial" w:hAnsi="Arial"/>
                <w:sz w:val="18"/>
                <w:szCs w:val="18"/>
                <w:color w:val="auto"/>
              </w:rPr>
              <w:t>17,484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(249,988)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During the six months ended June 30, 2016, other comprehensive income reflects foreign currency translation adjustments, primarily due to the strengthening of the euro against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and Other Information</w:t>
      </w:r>
    </w:p>
    <w:p>
      <w:pPr>
        <w:spacing w:after="0" w:line="94"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 The following table presents a summary of total revenues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280,968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530,505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460,536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Erwinaze/Erwinase</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49,748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46,151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100,921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96,504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Defitelio/defibrotide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33,246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51,143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32,620</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Prialt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(ziconotide) intrathecal infusion</w:t>
            </w:r>
          </w:p>
        </w:tc>
        <w:tc>
          <w:tcPr>
            <w:tcW w:w="36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8,073</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7,138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14,282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13,902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Psychiatry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18,465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3,208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6,342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17,114</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379,110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713,026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639,141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4,145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3,909</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381,161</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333,747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717,171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643,050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total revenues attributed to geographic sources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345,853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302,564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651,732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571,811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28,749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24,125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53,769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56,760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6,559</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11,670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14,479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381,161</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333,747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717,171</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643,050</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presents a summary of the percentage of total revenues from customers that represented more than 10% of our total revenues: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240" w:type="dxa"/>
            <w:vAlign w:val="bottom"/>
            <w:gridSpan w:val="3"/>
          </w:tcPr>
          <w:p>
            <w:pPr>
              <w:jc w:val="center"/>
              <w:ind w:left="819"/>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3"/>
          </w:tcPr>
          <w:p>
            <w:pPr>
              <w:jc w:val="center"/>
              <w:ind w:left="859"/>
              <w:spacing w:after="0"/>
              <w:rPr>
                <w:sz w:val="20"/>
                <w:szCs w:val="20"/>
                <w:color w:val="auto"/>
              </w:rPr>
            </w:pPr>
            <w:r>
              <w:rPr>
                <w:rFonts w:ascii="Arial" w:cs="Arial" w:eastAsia="Arial" w:hAnsi="Arial"/>
                <w:sz w:val="14"/>
                <w:szCs w:val="14"/>
                <w:b w:val="1"/>
                <w:bCs w:val="1"/>
                <w:color w:val="auto"/>
                <w:w w:val="93"/>
              </w:rPr>
              <w:t>Six Months Ended</w:t>
            </w:r>
          </w:p>
        </w:tc>
        <w:tc>
          <w:tcPr>
            <w:tcW w:w="960" w:type="dxa"/>
            <w:vAlign w:val="bottom"/>
          </w:tcPr>
          <w:p>
            <w:pPr>
              <w:spacing w:after="0"/>
              <w:rPr>
                <w:sz w:val="14"/>
                <w:szCs w:val="14"/>
                <w:color w:val="auto"/>
              </w:rPr>
            </w:pPr>
          </w:p>
        </w:tc>
      </w:tr>
      <w:tr>
        <w:trPr>
          <w:trHeight w:val="192"/>
        </w:trPr>
        <w:tc>
          <w:tcPr>
            <w:tcW w:w="5000" w:type="dxa"/>
            <w:vAlign w:val="bottom"/>
          </w:tcPr>
          <w:p>
            <w:pPr>
              <w:spacing w:after="0"/>
              <w:rPr>
                <w:sz w:val="16"/>
                <w:szCs w:val="16"/>
                <w:color w:val="auto"/>
              </w:rPr>
            </w:pPr>
          </w:p>
        </w:tc>
        <w:tc>
          <w:tcPr>
            <w:tcW w:w="224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Express Scripts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McKesson</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Accredo Health Group, Inc.</w:t>
            </w:r>
          </w:p>
        </w:tc>
        <w:tc>
          <w:tcPr>
            <w:tcW w:w="22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22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0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end of the second quarter of 2015, we transitioned the U.S. distribution of Erwinaze from Accredo Health Group, Inc. to McKesson.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total long-lived assets, consisting of property and equipment, by location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63,943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62,795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20,342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12,794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Italy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2,055</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long-lived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93,476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85,572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Share-based compensation expense related to share options, RSUs and grants under our ESPP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20,949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41,153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35,301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3,521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3,866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6,811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7,351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963</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1,467</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share-based compensation expense, pre-tax</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25,433</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23,300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49,616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44,119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from share-based compensation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share-based compensation expense, net of tax</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18,238</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16,390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35,458</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31,055</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Options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shows the number of shares underlying options granted to purchase our ordinary shares, the weighted-average assumptions used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 and the resulting weighted-average grant date fair value of share options granted: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3"/>
              </w:rPr>
              <w:t>Six Months Ended</w:t>
            </w:r>
          </w:p>
        </w:tc>
        <w:tc>
          <w:tcPr>
            <w:tcW w:w="960" w:type="dxa"/>
            <w:vAlign w:val="bottom"/>
          </w:tcPr>
          <w:p>
            <w:pPr>
              <w:spacing w:after="0"/>
              <w:rPr>
                <w:sz w:val="14"/>
                <w:szCs w:val="14"/>
                <w:color w:val="auto"/>
              </w:rPr>
            </w:pPr>
          </w:p>
        </w:tc>
      </w:tr>
      <w:tr>
        <w:trPr>
          <w:trHeight w:val="192"/>
        </w:trPr>
        <w:tc>
          <w:tcPr>
            <w:tcW w:w="5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underlying options granted (in thousands)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950</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Grant date fair value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58.57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40.58</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57.57</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Black-Scholes option pricing model assumption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Volatility</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term (years)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w:t>
            </w: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Range of risk-free rates</w:t>
            </w:r>
          </w:p>
        </w:tc>
        <w:tc>
          <w:tcPr>
            <w:tcW w:w="360" w:type="dxa"/>
            <w:vAlign w:val="bottom"/>
          </w:tcPr>
          <w:p>
            <w:pPr>
              <w:spacing w:after="0"/>
              <w:rPr>
                <w:sz w:val="21"/>
                <w:szCs w:val="21"/>
                <w:color w:val="auto"/>
              </w:rPr>
            </w:pP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w w:val="97"/>
              </w:rPr>
              <w:t>1.1-1.4%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1.1-1.4%</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dividend yield</w:t>
            </w:r>
          </w:p>
        </w:tc>
        <w:tc>
          <w:tcPr>
            <w:tcW w:w="3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shows the number of RSUs granted covering an equal number of our ordinary shares and the weighted-average grant date fair value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RSUs granted: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center"/>
              <w:ind w:left="441"/>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granted (in thousands)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 date fair value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145.07</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177.71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125.22</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174.79</w:t>
            </w:r>
          </w:p>
        </w:tc>
      </w:tr>
    </w:tbl>
    <w:p>
      <w:pPr>
        <w:spacing w:after="0" w:line="94"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fair value of RSUs is determined on the date of grant based on the market price of our ordinary shares on that date. The fair value of RSUs is expensed ratably over the vesting period of four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60" w:firstLine="432"/>
        <w:spacing w:after="0" w:line="308" w:lineRule="auto"/>
        <w:rPr>
          <w:sz w:val="20"/>
          <w:szCs w:val="20"/>
          <w:color w:val="auto"/>
        </w:rPr>
      </w:pPr>
      <w:r>
        <w:rPr>
          <w:rFonts w:ascii="Arial" w:cs="Arial" w:eastAsia="Arial" w:hAnsi="Arial"/>
          <w:sz w:val="17"/>
          <w:szCs w:val="17"/>
          <w:color w:val="auto"/>
        </w:rPr>
        <w:t>As of June 30, 2016, compensation cost not yet recognized related to unvested share options and RSUs was $85.4 million and $99.1 million, respectively, which is expected to be recognized over a weighted-average period of 2.7 years and 2.5 years, respectively.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94"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In the six months ended June 30, 2016, we recorded severance costs of $1.5 million for terminated employees in connection with the reorganization of our operations primarily in France and Italy. These one-time termination benefits were recorded over the remaining service period where employees were required to stay through their termination date to receive the benefits and included within cost of product sales and selling, general and administrative expenses in our condensed consolidated statements of income. As of June 30, 2016, we had incurred total termination benefit costs of $2.6 million in connection with this reorganization. We do not expect to incur any additional material one-time termination benefit costs relating to these restructuring activities in 2016.</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amounts related to restructuring through June 30, 2016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Termination Benefits</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Expense</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1,520</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Balance at June 30, 2016</w:t>
            </w:r>
          </w:p>
        </w:tc>
        <w:tc>
          <w:tcPr>
            <w:tcW w:w="5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802</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balances as of June 30, 2016 and December 31, 2015 were included within accrued liabilities in our condensed consolidated balance sheets.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income tax provision was $45.3 million and $79.4 million in the three and six months ended June 30, 2016, respectively, compared to $30.6 million and $62.7 million for the same periods in 2015. The effective tax rates were 28.9% and 30.0% in the three and six months ended June 30, 2016, respectively, compared to 25.8% and 28.3% for the same periods in 2015. The increase in the effective tax rates for the three and six months ended June 30, 2016 compared to the same periods in 2015 was primarily due to a decrease in originating tax credits and the impact of changes in tax rates in certain jurisdictions in which we operate, partially offset by changes in income mix among the various jurisdictions in which we operate. The effective tax rates for the three and six months ended June 30, 2016 were higher than the Irish statutory rate of 12.5% primarily due to income taxable at a rate higher than the Irish statutory rate, uncertain tax positions, and various expenses not deductible for tax purposes, partially offset by originating tax credits and deductions available in relation to subsidiary equity. We do not provide for Irish income taxes on undistributed earnings of our foreign operations that are intended to be indefinitely reinvested in our foreign subsidiaries.</w:t>
      </w:r>
    </w:p>
    <w:p>
      <w:pPr>
        <w:spacing w:after="0" w:line="12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Our deferred tax assets are comprised primarily of U.S. federal and state net operating loss carryforwards and tax credit carryforwards, foreign net operating loss carryforwards and other temporary differences. We maintain a valuation allowance against certain U.S. state and foreign deferred tax assets. Each reporting period, we evaluate the need for a valuation allowance on our deferred tax assets by jurisdiction and adjust our estimates as more information becomes available.</w:t>
      </w:r>
    </w:p>
    <w:p>
      <w:pPr>
        <w:spacing w:after="0" w:line="133"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We are required to recognize the financial statement effects of a tax position when it is more likely than not, based on the technical merits, that the position will be sustained upon examination. As a result, we have established a liability for certain tax benefits which we judge may not be sustained upon examination. Our most significant tax jurisdictions are Ireland, the United States (both at the federal level and in various state jurisdictions), Italy and France. Because of our net operating loss carryforwards and tax credit carryforwards, substantially all of our tax years remain open to federal, state, and foreign tax examination. Certain of our subsidiaries are currently under examination by the French tax authorities for fiscal years 2012 and 2013 and by the Italian tax authorities for fiscal year 2014. These examinations may lead to ordinary course adjustments or proposed adjustments to our taxes. In December 2015, we received proposed tax assessment notices from the French tax authorities for 2012 and 2013 relating to certain transfer pricing adjustments. The notices propose additional French tax of approximately $42.4 million, including interest and penalties through the date of the assessment, translated at the foreign exchange rate at June 30, 2016. We disagree with the proposed assessment and intend to contest it vigorously.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7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May 31, 2016, we entered into a definitive merger agreement with Celator pursuant to which we made a cash tender offer of $30.25 per share for all of the outstanding shares of Celator’s common stock. As of the expiration of the offer period on July 12, 2016, 36,516,173 shares, which represented approximately 81% of Celator’s then outstanding common stock, were properly tendered and not withdrawn in the tender offer. In addition, notices of guaranteed delivery were delivered with respect to 2,016,237 additional shares representing approximately 4% of Celator’s outstanding common stock as of the expiration of the tender offer. The condition to the tender offer that more than 50% of Celator’s outstanding common stock be validly tendered and not withdrawn prior to the expiration of the tender offer was satisfied. On July 12, 2016, we completed the Celator Acquisition under the terms of the merger agreement, pursuant to which Celator became an indirect wholly owned subsidiary of Jazz Pharmaceuticals plc and each share of Celator common stock then outstanding (other than shares owned by us or Celator) was converted into the right to receive $30.25, the same price per share offered in the tender offer. The aggregate consideration for the Celator Acquisition was approximately $1.5 billion.</w:t>
      </w:r>
    </w:p>
    <w:p>
      <w:pPr>
        <w:spacing w:after="0" w:line="12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On July 12, 2016, we entered into an amendment to the 2015 credit agreement that provides for a revolving credit facility of $1.25 billion, which replaced our prior revolving credit facility of $750.0 million, and a $750.0 million term loan facility, of which $721.9 million remained outstanding as of July 12, 2016. Please see Note 7 for further information regarding the 2015 credit agreement and the July 2016 amendments thereto. We used the proceeds of $1.0 billion of loans under the revolving credit facility, together with cash on hand, to fund the Celator Acquisition. As of July 12, 2016, the interest rate on the outstanding term loan was 2.63% and on revolving loan borrowings was 2.48%.</w:t>
      </w:r>
    </w:p>
    <w:p>
      <w:pPr>
        <w:spacing w:after="0" w:line="13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Celator is an oncology-focused biopharmaceutical company that is transforming the science of combination therapy and developing products to improve patient outcomes in cancer. The Celator Acquisition broadened our hematology/oncology portfolio with the acquisition of worldwide development and commercialization rights to Vyxeos, an investigational product in development as a treatment for AML. In addition, the Celator Acquisition provides us with Celator’s proprietary technology platform, CombiPlex, which enables the rational design and rapid evaluation of optimized combinations of anti-cancer drugs.</w:t>
      </w:r>
    </w:p>
    <w:p>
      <w:pPr>
        <w:spacing w:after="0" w:line="134"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acquisition of Celator will be accounted for as a business combination using the acquisition method. We are in the process of determining fair values of the assets acquired and liabilities assumed in the business combination, and completing the required supplemental pro forma revenue and earnings information for this acquisition. We expect to include a preliminary determination of the acquisition consideration and detail of the assets acquired and liabilities assumed in our condensed consolidated financial statements for the quarter ending September 30, 2016.</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Part II, Item 1A “Risk Factors” included elsewhere in this Quarterly Report on Form 10-Q.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Jazz Pharmaceuticals plc is an international biopharmaceutical company focused on improving patients’ lives by identifying, developing and commercializing meaningful products that address unmet medical needs.</w:t>
      </w:r>
    </w:p>
    <w:p>
      <w:pPr>
        <w:spacing w:after="0" w:line="35"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We have a diverse portfolio of products and product candidates, with a focus in the areas of sleep and hematology/oncology. Our lead marketed products are:</w:t>
      </w:r>
    </w:p>
    <w:p>
      <w:pPr>
        <w:spacing w:after="0" w:line="31" w:lineRule="exact"/>
        <w:rPr>
          <w:sz w:val="20"/>
          <w:szCs w:val="20"/>
          <w:color w:val="auto"/>
        </w:rPr>
      </w:pPr>
    </w:p>
    <w:p>
      <w:pPr>
        <w:ind w:left="740" w:right="80" w:hanging="327"/>
        <w:spacing w:after="0" w:line="218"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Xyrem</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(sodium oxybate) oral solution</w:t>
      </w:r>
      <w:r>
        <w:rPr>
          <w:rFonts w:ascii="Arial" w:cs="Arial" w:eastAsia="Arial" w:hAnsi="Arial"/>
          <w:sz w:val="18"/>
          <w:szCs w:val="18"/>
          <w:color w:val="auto"/>
        </w:rPr>
        <w:t>, the only product approved by the U.S. Food and Drug Administration, or FDA, for the treatment of both</w:t>
      </w:r>
      <w:r>
        <w:rPr>
          <w:rFonts w:ascii="Arial" w:cs="Arial" w:eastAsia="Arial" w:hAnsi="Arial"/>
          <w:sz w:val="18"/>
          <w:szCs w:val="18"/>
          <w:b w:val="1"/>
          <w:bCs w:val="1"/>
          <w:color w:val="auto"/>
        </w:rPr>
        <w:t xml:space="preserve"> </w:t>
      </w:r>
      <w:r>
        <w:rPr>
          <w:rFonts w:ascii="Arial" w:cs="Arial" w:eastAsia="Arial" w:hAnsi="Arial"/>
          <w:sz w:val="18"/>
          <w:szCs w:val="18"/>
          <w:color w:val="auto"/>
        </w:rPr>
        <w:t>cataplexy and excessive daytime sleepiness, or EDS, in patients with narcolepsy;</w:t>
      </w:r>
    </w:p>
    <w:p>
      <w:pPr>
        <w:spacing w:after="0" w:line="64" w:lineRule="exact"/>
        <w:rPr>
          <w:rFonts w:ascii="Arial" w:cs="Arial" w:eastAsia="Arial" w:hAnsi="Arial"/>
          <w:sz w:val="18"/>
          <w:szCs w:val="18"/>
          <w:color w:val="auto"/>
        </w:rPr>
      </w:pPr>
    </w:p>
    <w:p>
      <w:pPr>
        <w:jc w:val="both"/>
        <w:ind w:left="740" w:right="420" w:hanging="327"/>
        <w:spacing w:after="0" w:line="252"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Erwinaze</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treatment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patients with acute lymphoblastic leukemia, or ALL,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and</w:t>
      </w:r>
    </w:p>
    <w:p>
      <w:pPr>
        <w:spacing w:after="0" w:line="1" w:lineRule="exact"/>
        <w:rPr>
          <w:rFonts w:ascii="Arial" w:cs="Arial" w:eastAsia="Arial" w:hAnsi="Arial"/>
          <w:sz w:val="16"/>
          <w:szCs w:val="16"/>
          <w:color w:val="auto"/>
        </w:rPr>
      </w:pPr>
    </w:p>
    <w:p>
      <w:pPr>
        <w:ind w:left="740" w:right="140" w:hanging="327"/>
        <w:spacing w:after="0" w:line="209"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Defitelio</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or SOS, with renal or pulmonary dysfunction following hematopoietic stem cell transplantation, or HSCT, and in Europe (where it is marketed as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is to create shareholder value by:</w:t>
      </w:r>
    </w:p>
    <w:p>
      <w:pPr>
        <w:spacing w:after="0" w:line="117" w:lineRule="exact"/>
        <w:rPr>
          <w:sz w:val="20"/>
          <w:szCs w:val="20"/>
          <w:color w:val="auto"/>
        </w:rPr>
      </w:pPr>
    </w:p>
    <w:p>
      <w:pPr>
        <w:ind w:left="740" w:right="540" w:hanging="327"/>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Growing sales of the existing products in our portfolio, including by identifying and investing in growth opportunities such as new treatment indications;</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Acquiring clinically meaningful and differentiated products that are on the market or product candidates that are in late-stage development; and</w:t>
      </w:r>
    </w:p>
    <w:p>
      <w:pPr>
        <w:spacing w:after="0" w:line="140" w:lineRule="exact"/>
        <w:rPr>
          <w:rFonts w:ascii="Arial" w:cs="Arial" w:eastAsia="Arial" w:hAnsi="Arial"/>
          <w:sz w:val="16"/>
          <w:szCs w:val="16"/>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Pursuing targeted development of post-discovery differentiated product candidates.</w:t>
      </w:r>
    </w:p>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apply a disciplined approach to allocating our resources between investments in our current commercial and development portfolio and acquisitions or in-licensing of new assets.</w:t>
      </w:r>
    </w:p>
    <w:p>
      <w:pPr>
        <w:spacing w:after="0" w:line="35"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In the three and six months ended June 30, 2016, our total net product sales increased by 14% and 12%, respectively, compared to the same period in 2015, primarily due to an increase in Xyrem product sales. We expect total net product sales to increase in 2016 over 2015, primarily due to anticipated growth in sales of Xyrem and Defitelio. For additional information regarding our net product sales, see “—Results of Operations.”</w:t>
      </w:r>
    </w:p>
    <w:p>
      <w:pPr>
        <w:spacing w:after="0" w:line="3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On March 30, 2016, the FDA granted marketing approval for Defitelio for the treatment of adult and pediatric patients with VOD, also known as SOS, with renal or pulmonary dysfunction following HSCT. We launched Defitelio in the U.S. shortly after FDA approval.</w:t>
      </w:r>
    </w:p>
    <w:p>
      <w:pPr>
        <w:spacing w:after="0" w:line="35" w:lineRule="exact"/>
        <w:rPr>
          <w:sz w:val="20"/>
          <w:szCs w:val="20"/>
          <w:color w:val="auto"/>
        </w:rPr>
      </w:pPr>
    </w:p>
    <w:p>
      <w:pPr>
        <w:ind w:right="180" w:firstLine="432"/>
        <w:spacing w:after="0" w:line="250" w:lineRule="auto"/>
        <w:rPr>
          <w:sz w:val="20"/>
          <w:szCs w:val="20"/>
          <w:color w:val="auto"/>
        </w:rPr>
      </w:pPr>
      <w:r>
        <w:rPr>
          <w:rFonts w:ascii="Arial" w:cs="Arial" w:eastAsia="Arial" w:hAnsi="Arial"/>
          <w:sz w:val="17"/>
          <w:szCs w:val="17"/>
          <w:color w:val="auto"/>
        </w:rPr>
        <w:t>On July 12, 2016, we completed the acquisition of Celator Pharmaceuticals, Inc., or Celator, which acquisition we refer to in this report as the Celator Acquisition. The aggregate consideration for the Celator Acquisition was approximately $1.5 billion. The Celator Acquisition broadened our hematology/oncology portfolio with the acquisition of worldwide development and commercialization rights to Vyxeos</w:t>
      </w:r>
      <w:r>
        <w:rPr>
          <w:rFonts w:ascii="Arial" w:cs="Arial" w:eastAsia="Arial" w:hAnsi="Arial"/>
          <w:sz w:val="24"/>
          <w:szCs w:val="24"/>
          <w:color w:val="auto"/>
          <w:vertAlign w:val="superscript"/>
        </w:rPr>
        <w:t>TM</w:t>
      </w:r>
      <w:r>
        <w:rPr>
          <w:rFonts w:ascii="Arial" w:cs="Arial" w:eastAsia="Arial" w:hAnsi="Arial"/>
          <w:sz w:val="17"/>
          <w:szCs w:val="17"/>
          <w:color w:val="auto"/>
        </w:rPr>
        <w:t>, an investigational product in development as a treatment for acute myeloid leukemia, or AML. In addition, the Celator Acquisition provides us with Celator’s proprietary technology platform, CombiPlex®, which is designed to enable the rational design and rapid evaluation of optimized combinations of anti-cancer drugs.</w:t>
      </w:r>
    </w:p>
    <w:p>
      <w:pPr>
        <w:spacing w:after="0" w:line="6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On July 12, 2016, we entered into an amendment to our existing 2015 credit agreement, or the amended credit agreement, that provides for a revolving credit facility of approximately $1.25 billion, which replaced our prior revolving credit facility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$750.0 million, and a $750.0 million term loan facility, of which $721.9 million remained outstanding as of the effective date of the amended credit agreement. We used the proceeds of $1.0 billion of loans under the revolving credit facility, together with cash on hand, to fund the Celator Acquisition. The maturity date of both our revolving credit facility and term loan facility was extended from June 2020 to July 2021.</w:t>
      </w:r>
    </w:p>
    <w:p>
      <w:pPr>
        <w:spacing w:after="0" w:line="4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In June 2016, we received FDA approval of our manufacturing and development facility in Ireland. We plan to use this facility for the manufacture of Xyrem and development-stage products.</w:t>
      </w:r>
    </w:p>
    <w:p>
      <w:pPr>
        <w:spacing w:after="0" w:line="3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During the six months ended June 30, 2016, we continued our focus on research and development activities, which currently include clinical development of new product candidates, activities related to line extensions and new indications for existing products and the generation of additional clinical data for existing products, all in our sleep and hematology/oncology therapeutic areas.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ongoing development activities is provided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Project</w:t>
            </w:r>
          </w:p>
        </w:tc>
        <w:tc>
          <w:tcPr>
            <w:tcW w:w="980" w:type="dxa"/>
            <w:vAlign w:val="bottom"/>
          </w:tcPr>
          <w:p>
            <w:pPr>
              <w:spacing w:after="0"/>
              <w:rPr>
                <w:sz w:val="17"/>
                <w:szCs w:val="17"/>
                <w:color w:val="auto"/>
              </w:rPr>
            </w:pPr>
          </w:p>
        </w:tc>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Disease Area</w:t>
            </w:r>
          </w:p>
        </w:tc>
        <w:tc>
          <w:tcPr>
            <w:tcW w:w="6960" w:type="dxa"/>
            <w:vAlign w:val="bottom"/>
            <w:gridSpan w:val="3"/>
          </w:tcPr>
          <w:p>
            <w:pPr>
              <w:ind w:left="3240"/>
              <w:spacing w:after="0"/>
              <w:rPr>
                <w:sz w:val="20"/>
                <w:szCs w:val="20"/>
                <w:color w:val="auto"/>
              </w:rPr>
            </w:pPr>
            <w:r>
              <w:rPr>
                <w:rFonts w:ascii="Arial" w:cs="Arial" w:eastAsia="Arial" w:hAnsi="Arial"/>
                <w:sz w:val="18"/>
                <w:szCs w:val="18"/>
                <w:b w:val="1"/>
                <w:bCs w:val="1"/>
                <w:color w:val="auto"/>
              </w:rPr>
              <w:t>Status</w:t>
            </w:r>
          </w:p>
        </w:tc>
      </w:tr>
      <w:tr>
        <w:trPr>
          <w:trHeight w:val="291"/>
        </w:trPr>
        <w:tc>
          <w:tcPr>
            <w:tcW w:w="480" w:type="dxa"/>
            <w:vAlign w:val="bottom"/>
          </w:tcPr>
          <w:p>
            <w:pPr>
              <w:ind w:left="40"/>
              <w:spacing w:after="0"/>
              <w:rPr>
                <w:sz w:val="20"/>
                <w:szCs w:val="20"/>
                <w:color w:val="auto"/>
              </w:rPr>
            </w:pPr>
            <w:r>
              <w:rPr>
                <w:rFonts w:ascii="Arial" w:cs="Arial" w:eastAsia="Arial" w:hAnsi="Arial"/>
                <w:sz w:val="18"/>
                <w:szCs w:val="18"/>
                <w:b w:val="1"/>
                <w:bCs w:val="1"/>
                <w:color w:val="auto"/>
                <w:w w:val="87"/>
              </w:rPr>
              <w:t>Sleep</w:t>
            </w:r>
          </w:p>
        </w:tc>
        <w:tc>
          <w:tcPr>
            <w:tcW w:w="5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240" w:type="dxa"/>
            <w:vAlign w:val="bottom"/>
          </w:tcPr>
          <w:p>
            <w:pPr>
              <w:spacing w:after="0"/>
              <w:rPr>
                <w:sz w:val="24"/>
                <w:szCs w:val="24"/>
                <w:color w:val="auto"/>
              </w:rPr>
            </w:pPr>
          </w:p>
        </w:tc>
      </w:tr>
      <w:tr>
        <w:trPr>
          <w:trHeight w:val="27"/>
        </w:trPr>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4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JZP-110</w:t>
            </w: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Excessive sleepiness in narcolepsy</w:t>
            </w:r>
          </w:p>
        </w:tc>
        <w:tc>
          <w:tcPr>
            <w:tcW w:w="6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4"/>
              </w:rPr>
              <w:t>Phase 3 clinical trial initiated in second quarter of 2015; expect preliminary data in mid-2017</w:t>
            </w:r>
          </w:p>
        </w:tc>
      </w:tr>
      <w:tr>
        <w:trPr>
          <w:trHeight w:val="256"/>
        </w:trPr>
        <w:tc>
          <w:tcPr>
            <w:tcW w:w="4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Excessive sleepiness in obstructive</w:t>
            </w:r>
          </w:p>
        </w:tc>
        <w:tc>
          <w:tcPr>
            <w:tcW w:w="6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4"/>
              </w:rPr>
              <w:t>Two Phase 3 clinical trials initiated in second quarter of 2015; expect preliminary data in the</w:t>
            </w:r>
          </w:p>
        </w:tc>
      </w:tr>
      <w:tr>
        <w:trPr>
          <w:trHeight w:val="237"/>
        </w:trPr>
        <w:tc>
          <w:tcPr>
            <w:tcW w:w="4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sleep apnea, or OSA</w:t>
            </w:r>
          </w:p>
        </w:tc>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first quarter of 2017</w:t>
            </w:r>
          </w:p>
        </w:tc>
      </w:tr>
      <w:tr>
        <w:trPr>
          <w:trHeight w:val="243"/>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JZP-386</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EDS in narcolepsy</w:t>
            </w:r>
          </w:p>
        </w:tc>
        <w:tc>
          <w:tcPr>
            <w:tcW w:w="6960" w:type="dxa"/>
            <w:vAlign w:val="bottom"/>
            <w:gridSpan w:val="3"/>
          </w:tcPr>
          <w:p>
            <w:pPr>
              <w:ind w:left="40"/>
              <w:spacing w:after="0"/>
              <w:rPr>
                <w:sz w:val="20"/>
                <w:szCs w:val="20"/>
                <w:color w:val="auto"/>
              </w:rPr>
            </w:pPr>
            <w:r>
              <w:rPr>
                <w:rFonts w:ascii="Arial" w:cs="Arial" w:eastAsia="Arial" w:hAnsi="Arial"/>
                <w:sz w:val="18"/>
                <w:szCs w:val="18"/>
                <w:color w:val="auto"/>
              </w:rPr>
              <w:t>Phase 1 clinical trials completed; further evaluation ongoing</w:t>
            </w:r>
          </w:p>
        </w:tc>
      </w:tr>
      <w:tr>
        <w:trPr>
          <w:trHeight w:val="27"/>
        </w:trPr>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2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8"/>
              </w:rPr>
              <w:t>Cataplexy with narcolepsy in children</w:t>
            </w:r>
          </w:p>
        </w:tc>
        <w:tc>
          <w:tcPr>
            <w:tcW w:w="6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2"/>
              </w:rPr>
              <w:t>Phase 3 clinical trial ongoing; enrollment completion expected by the end of the fourth quarter</w:t>
            </w:r>
          </w:p>
        </w:tc>
      </w:tr>
      <w:tr>
        <w:trPr>
          <w:trHeight w:val="237"/>
        </w:trPr>
        <w:tc>
          <w:tcPr>
            <w:tcW w:w="4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and adolescents</w:t>
            </w:r>
          </w:p>
        </w:tc>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of 2016</w:t>
            </w:r>
          </w:p>
        </w:tc>
      </w:tr>
      <w:tr>
        <w:trPr>
          <w:trHeight w:val="243"/>
        </w:trPr>
        <w:tc>
          <w:tcPr>
            <w:tcW w:w="4460" w:type="dxa"/>
            <w:vAlign w:val="bottom"/>
            <w:gridSpan w:val="6"/>
          </w:tcPr>
          <w:p>
            <w:pPr>
              <w:ind w:left="40"/>
              <w:spacing w:after="0"/>
              <w:rPr>
                <w:sz w:val="20"/>
                <w:szCs w:val="20"/>
                <w:color w:val="auto"/>
              </w:rPr>
            </w:pPr>
            <w:r>
              <w:rPr>
                <w:rFonts w:ascii="Arial" w:cs="Arial" w:eastAsia="Arial" w:hAnsi="Arial"/>
                <w:sz w:val="18"/>
                <w:szCs w:val="18"/>
                <w:b w:val="1"/>
                <w:bCs w:val="1"/>
                <w:color w:val="auto"/>
              </w:rPr>
              <w:t>Hematology/Oncology</w:t>
            </w:r>
          </w:p>
        </w:tc>
        <w:tc>
          <w:tcPr>
            <w:tcW w:w="3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2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Defibrotide</w:t>
            </w: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4"/>
              </w:rPr>
              <w:t>Prevention of VOD in high-risk patients</w:t>
            </w:r>
          </w:p>
        </w:tc>
        <w:tc>
          <w:tcPr>
            <w:tcW w:w="6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3"/>
              </w:rPr>
              <w:t>Preparing to initiate Phase 3 clinical trial; initiation of patient enrollment expected in the fourth</w:t>
            </w:r>
          </w:p>
        </w:tc>
      </w:tr>
      <w:tr>
        <w:trPr>
          <w:trHeight w:val="237"/>
        </w:trPr>
        <w:tc>
          <w:tcPr>
            <w:tcW w:w="4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quarter of 2016</w:t>
            </w:r>
          </w:p>
        </w:tc>
      </w:tr>
      <w:tr>
        <w:trPr>
          <w:trHeight w:val="229"/>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Vyxeos</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High-risk (secondary) AML</w:t>
            </w:r>
          </w:p>
        </w:tc>
        <w:tc>
          <w:tcPr>
            <w:tcW w:w="6960" w:type="dxa"/>
            <w:vAlign w:val="bottom"/>
            <w:gridSpan w:val="3"/>
          </w:tcPr>
          <w:p>
            <w:pPr>
              <w:ind w:left="40"/>
              <w:spacing w:after="0"/>
              <w:rPr>
                <w:sz w:val="20"/>
                <w:szCs w:val="20"/>
                <w:color w:val="auto"/>
              </w:rPr>
            </w:pPr>
            <w:r>
              <w:rPr>
                <w:rFonts w:ascii="Arial" w:cs="Arial" w:eastAsia="Arial" w:hAnsi="Arial"/>
                <w:sz w:val="18"/>
                <w:szCs w:val="18"/>
                <w:color w:val="auto"/>
              </w:rPr>
              <w:t>Phase 3 clinical trial completed; expect to initiate a rolling submission of a new drug</w:t>
            </w:r>
          </w:p>
        </w:tc>
      </w:tr>
      <w:tr>
        <w:trPr>
          <w:trHeight w:val="216"/>
        </w:trPr>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960" w:type="dxa"/>
            <w:vAlign w:val="bottom"/>
            <w:gridSpan w:val="3"/>
          </w:tcPr>
          <w:p>
            <w:pPr>
              <w:ind w:left="40"/>
              <w:spacing w:after="0"/>
              <w:rPr>
                <w:sz w:val="20"/>
                <w:szCs w:val="20"/>
                <w:color w:val="auto"/>
              </w:rPr>
            </w:pPr>
            <w:r>
              <w:rPr>
                <w:rFonts w:ascii="Arial" w:cs="Arial" w:eastAsia="Arial" w:hAnsi="Arial"/>
                <w:sz w:val="18"/>
                <w:szCs w:val="18"/>
                <w:color w:val="auto"/>
                <w:w w:val="95"/>
              </w:rPr>
              <w:t>application, or NDA, to the FDA by the end of the third quarter of 2016 and to complete the</w:t>
            </w:r>
          </w:p>
        </w:tc>
      </w:tr>
      <w:tr>
        <w:trPr>
          <w:trHeight w:val="230"/>
        </w:trPr>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960" w:type="dxa"/>
            <w:vAlign w:val="bottom"/>
            <w:gridSpan w:val="3"/>
          </w:tcPr>
          <w:p>
            <w:pPr>
              <w:ind w:left="40"/>
              <w:spacing w:after="0"/>
              <w:rPr>
                <w:sz w:val="20"/>
                <w:szCs w:val="20"/>
                <w:color w:val="auto"/>
              </w:rPr>
            </w:pPr>
            <w:r>
              <w:rPr>
                <w:rFonts w:ascii="Arial" w:cs="Arial" w:eastAsia="Arial" w:hAnsi="Arial"/>
                <w:sz w:val="18"/>
                <w:szCs w:val="18"/>
                <w:color w:val="auto"/>
              </w:rPr>
              <w:t>submission in late 2016 or early 2017</w:t>
            </w: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sleep area, we have ongoing and planned development programs for Xyrem and certain other product candidates.</w:t>
      </w:r>
    </w:p>
    <w:p>
      <w:pPr>
        <w:spacing w:after="0" w:line="63" w:lineRule="exact"/>
        <w:rPr>
          <w:sz w:val="20"/>
          <w:szCs w:val="20"/>
          <w:color w:val="auto"/>
        </w:rPr>
      </w:pPr>
    </w:p>
    <w:p>
      <w:pPr>
        <w:ind w:left="740" w:hanging="327"/>
        <w:spacing w:after="0"/>
        <w:tabs>
          <w:tab w:leader="none" w:pos="7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JZP-110.</w:t>
      </w:r>
    </w:p>
    <w:p>
      <w:pPr>
        <w:spacing w:after="0" w:line="117" w:lineRule="exact"/>
        <w:rPr>
          <w:rFonts w:ascii="Arial" w:cs="Arial" w:eastAsia="Arial" w:hAnsi="Arial"/>
          <w:sz w:val="18"/>
          <w:szCs w:val="18"/>
          <w:i w:val="1"/>
          <w:iCs w:val="1"/>
          <w:color w:val="auto"/>
        </w:rPr>
      </w:pPr>
    </w:p>
    <w:p>
      <w:pPr>
        <w:ind w:left="740" w:right="20"/>
        <w:spacing w:after="0" w:line="270" w:lineRule="auto"/>
        <w:rPr>
          <w:rFonts w:ascii="Arial" w:cs="Arial" w:eastAsia="Arial" w:hAnsi="Arial"/>
          <w:sz w:val="18"/>
          <w:szCs w:val="18"/>
          <w:i w:val="1"/>
          <w:iCs w:val="1"/>
          <w:color w:val="auto"/>
        </w:rPr>
      </w:pPr>
      <w:r>
        <w:rPr>
          <w:rFonts w:ascii="Arial" w:cs="Arial" w:eastAsia="Arial" w:hAnsi="Arial"/>
          <w:sz w:val="17"/>
          <w:szCs w:val="17"/>
          <w:i w:val="1"/>
          <w:iCs w:val="1"/>
          <w:color w:val="auto"/>
        </w:rPr>
        <w:t xml:space="preserve">Phase 3 Clinical Trials. </w:t>
      </w:r>
      <w:r>
        <w:rPr>
          <w:rFonts w:ascii="Arial" w:cs="Arial" w:eastAsia="Arial" w:hAnsi="Arial"/>
          <w:sz w:val="17"/>
          <w:szCs w:val="17"/>
          <w:color w:val="auto"/>
        </w:rPr>
        <w:t>JZP-110 is a late-stage investigational compound being developed for potential treatment of excessive sleepiness in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 narcolepsy and excessive sleepiness in patients with OSA. We acquired worldwide development, manufacturing and commercial rights to JZP-110 from Aerial BioPharma LLC, or Aerial, in January 2014, other than in certain jurisdictions in Asia where SK Biopharmaceuticals Co., Ltd, or SK, retains rights. We initiated patient enrollment in our Phase 3 clinical program in the second quarter of 2015. We are conducting one Phase 3 clinical trial in patients with excessive sleepiness associated with narcolepsy and two Phase 3 clinical trials in patients with excessive sleepiness associated with OSA. Approximately 800 patients are expected to be enrolled in these three trials in the aggregate. We are expecting preliminary data from the trials in patients with excessive sleepiness associated with OSA in the first quarter of 2017 and from the trial in patients with excessive sleepiness associated with narcolepsy in mid-2017. Subject to the results of these trials, we anticipate submitting an NDA to the FDA in late 2017. In addition, we expect to enroll up to 600 patients from certain of our Phase 2 and Phase 3 clinical trials in an open label extension trial evaluating the long-term safety and maintenance of efficacy of JZP-110.</w:t>
      </w:r>
    </w:p>
    <w:p>
      <w:pPr>
        <w:spacing w:after="0" w:line="69" w:lineRule="exact"/>
        <w:rPr>
          <w:rFonts w:ascii="Arial" w:cs="Arial" w:eastAsia="Arial" w:hAnsi="Arial"/>
          <w:sz w:val="18"/>
          <w:szCs w:val="18"/>
          <w:i w:val="1"/>
          <w:iCs w:val="1"/>
          <w:color w:val="auto"/>
        </w:rPr>
      </w:pPr>
    </w:p>
    <w:p>
      <w:pPr>
        <w:ind w:left="74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Activities. </w:t>
      </w:r>
      <w:r>
        <w:rPr>
          <w:rFonts w:ascii="Arial" w:cs="Arial" w:eastAsia="Arial" w:hAnsi="Arial"/>
          <w:sz w:val="18"/>
          <w:szCs w:val="18"/>
          <w:color w:val="auto"/>
        </w:rPr>
        <w:t>We are also exploring additional potential indications for JZP-110.</w:t>
      </w:r>
    </w:p>
    <w:p>
      <w:pPr>
        <w:spacing w:after="0" w:line="117" w:lineRule="exact"/>
        <w:rPr>
          <w:rFonts w:ascii="Arial" w:cs="Arial" w:eastAsia="Arial" w:hAnsi="Arial"/>
          <w:sz w:val="18"/>
          <w:szCs w:val="18"/>
          <w:i w:val="1"/>
          <w:iCs w:val="1"/>
          <w:color w:val="auto"/>
        </w:rPr>
      </w:pPr>
    </w:p>
    <w:p>
      <w:pPr>
        <w:ind w:left="740" w:hanging="327"/>
        <w:spacing w:after="0"/>
        <w:tabs>
          <w:tab w:leader="none" w:pos="7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Xyrem</w:t>
      </w:r>
      <w:r>
        <w:rPr>
          <w:rFonts w:ascii="Arial" w:cs="Arial" w:eastAsia="Arial" w:hAnsi="Arial"/>
          <w:sz w:val="18"/>
          <w:szCs w:val="18"/>
          <w:color w:val="auto"/>
        </w:rPr>
        <w:t>.</w:t>
      </w:r>
    </w:p>
    <w:p>
      <w:pPr>
        <w:spacing w:after="0" w:line="60" w:lineRule="exact"/>
        <w:rPr>
          <w:rFonts w:ascii="Arial" w:cs="Arial" w:eastAsia="Arial" w:hAnsi="Arial"/>
          <w:sz w:val="18"/>
          <w:szCs w:val="18"/>
          <w:i w:val="1"/>
          <w:iCs w:val="1"/>
          <w:color w:val="auto"/>
        </w:rPr>
      </w:pPr>
    </w:p>
    <w:p>
      <w:pPr>
        <w:ind w:left="740" w:right="20"/>
        <w:spacing w:after="0" w:line="280" w:lineRule="auto"/>
        <w:rPr>
          <w:rFonts w:ascii="Arial" w:cs="Arial" w:eastAsia="Arial" w:hAnsi="Arial"/>
          <w:sz w:val="18"/>
          <w:szCs w:val="18"/>
          <w:i w:val="1"/>
          <w:iCs w:val="1"/>
          <w:color w:val="auto"/>
        </w:rPr>
      </w:pPr>
      <w:r>
        <w:rPr>
          <w:rFonts w:ascii="Arial" w:cs="Arial" w:eastAsia="Arial" w:hAnsi="Arial"/>
          <w:sz w:val="19"/>
          <w:szCs w:val="19"/>
          <w:i w:val="1"/>
          <w:iCs w:val="1"/>
          <w:color w:val="auto"/>
        </w:rPr>
        <w:t>P</w:t>
      </w:r>
      <w:r>
        <w:rPr>
          <w:rFonts w:ascii="Arial" w:cs="Arial" w:eastAsia="Arial" w:hAnsi="Arial"/>
          <w:sz w:val="17"/>
          <w:szCs w:val="17"/>
          <w:i w:val="1"/>
          <w:iCs w:val="1"/>
          <w:color w:val="auto"/>
        </w:rPr>
        <w:t>hase 3 Clinical Trial of Xyrem in Children and Adolescents</w:t>
      </w:r>
      <w:r>
        <w:rPr>
          <w:rFonts w:ascii="Arial" w:cs="Arial" w:eastAsia="Arial" w:hAnsi="Arial"/>
          <w:sz w:val="17"/>
          <w:szCs w:val="17"/>
          <w:color w:val="auto"/>
        </w:rPr>
        <w:t>. While in many patients narcolepsy can begin during childhood and adolescence, there</w:t>
      </w:r>
      <w:r>
        <w:rPr>
          <w:rFonts w:ascii="Arial" w:cs="Arial" w:eastAsia="Arial" w:hAnsi="Arial"/>
          <w:sz w:val="19"/>
          <w:szCs w:val="19"/>
          <w:i w:val="1"/>
          <w:iCs w:val="1"/>
          <w:color w:val="auto"/>
        </w:rPr>
        <w:t xml:space="preserve"> </w:t>
      </w:r>
      <w:r>
        <w:rPr>
          <w:rFonts w:ascii="Arial" w:cs="Arial" w:eastAsia="Arial" w:hAnsi="Arial"/>
          <w:sz w:val="17"/>
          <w:szCs w:val="17"/>
          <w:color w:val="auto"/>
        </w:rPr>
        <w:t>is limited information on the treatment of pediatric narcolepsy patients with Xyrem. We have worked with the FDA and several leading specialists to design a clinical trial to generate additional data on the treatment of pediatric narcolepsy patients with Xyrem. In the fourth quarter of 2014, we initiated a Phase 3 clinical trial to assess the safety and efficacy of Xyrem in children and adolescents aged seven to 17 who have narcolepsy with cataplexy. We expect to complete enrollment in this trial by the end of the fourth quarter of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740" w:right="40"/>
        <w:spacing w:after="0" w:line="255" w:lineRule="auto"/>
        <w:rPr>
          <w:sz w:val="20"/>
          <w:szCs w:val="20"/>
          <w:color w:val="auto"/>
        </w:rPr>
      </w:pPr>
      <w:r>
        <w:rPr>
          <w:rFonts w:ascii="Arial" w:cs="Arial" w:eastAsia="Arial" w:hAnsi="Arial"/>
          <w:sz w:val="18"/>
          <w:szCs w:val="18"/>
          <w:i w:val="1"/>
          <w:iCs w:val="1"/>
          <w:color w:val="auto"/>
        </w:rPr>
        <w:t xml:space="preserve">Other Activities. </w:t>
      </w:r>
      <w:r>
        <w:rPr>
          <w:rFonts w:ascii="Arial" w:cs="Arial" w:eastAsia="Arial" w:hAnsi="Arial"/>
          <w:sz w:val="18"/>
          <w:szCs w:val="18"/>
          <w:color w:val="auto"/>
        </w:rPr>
        <w:t>We are also pursuing other activities related to the potential development of options for narcolepsy patients that would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clinically meaningful improvements compared to Xyrem, including once-nightly dosing. Although results from our Phase 1 trial of JZP-386, a deuterium-modified analog of sodium oxybate, which we licensed from Concert Pharmaceuticals, Inc., or Concert, in February 2013, did not support advancing JZP-386 into a later-stage clinical trial, the clinical data demonstrated that JZP-386 provided favorable deuterium-related effects, including higher serum concentrations and correspondingly increased pharmacodynamics effects at clinically relevant time points compared to Xyrem, and a safety profile similar to that observed with Xyrem. We are exploring formulation options designed to leverage the positive effects observed in the studies.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hematology and oncology area, we also have ongoing and planned development activities.</w:t>
      </w:r>
    </w:p>
    <w:p>
      <w:pPr>
        <w:spacing w:after="0" w:line="117" w:lineRule="exact"/>
        <w:rPr>
          <w:sz w:val="20"/>
          <w:szCs w:val="20"/>
          <w:color w:val="auto"/>
        </w:rPr>
      </w:pPr>
    </w:p>
    <w:p>
      <w:pPr>
        <w:ind w:left="740" w:hanging="327"/>
        <w:spacing w:after="0"/>
        <w:tabs>
          <w:tab w:leader="none" w:pos="7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Defibrotide.</w:t>
      </w:r>
    </w:p>
    <w:p>
      <w:pPr>
        <w:spacing w:after="0" w:line="114" w:lineRule="exact"/>
        <w:rPr>
          <w:rFonts w:ascii="Arial" w:cs="Arial" w:eastAsia="Arial" w:hAnsi="Arial"/>
          <w:sz w:val="18"/>
          <w:szCs w:val="18"/>
          <w:i w:val="1"/>
          <w:iCs w:val="1"/>
          <w:color w:val="auto"/>
        </w:rPr>
      </w:pPr>
    </w:p>
    <w:p>
      <w:pPr>
        <w:ind w:left="740" w:right="420"/>
        <w:spacing w:after="0" w:line="256" w:lineRule="auto"/>
        <w:rPr>
          <w:rFonts w:ascii="Arial" w:cs="Arial" w:eastAsia="Arial" w:hAnsi="Arial"/>
          <w:sz w:val="18"/>
          <w:szCs w:val="18"/>
          <w:i w:val="1"/>
          <w:iCs w:val="1"/>
          <w:color w:val="auto"/>
        </w:rPr>
      </w:pPr>
      <w:r>
        <w:rPr>
          <w:rFonts w:ascii="Arial" w:cs="Arial" w:eastAsia="Arial" w:hAnsi="Arial"/>
          <w:sz w:val="20"/>
          <w:szCs w:val="20"/>
          <w:i w:val="1"/>
          <w:iCs w:val="1"/>
          <w:color w:val="auto"/>
        </w:rPr>
        <w:t>Pl</w:t>
      </w:r>
      <w:r>
        <w:rPr>
          <w:rFonts w:ascii="Arial" w:cs="Arial" w:eastAsia="Arial" w:hAnsi="Arial"/>
          <w:sz w:val="18"/>
          <w:szCs w:val="18"/>
          <w:i w:val="1"/>
          <w:iCs w:val="1"/>
          <w:color w:val="auto"/>
        </w:rPr>
        <w:t>anned Phase 3 Clinical Trial</w:t>
      </w:r>
      <w:r>
        <w:rPr>
          <w:rFonts w:ascii="Arial" w:cs="Arial" w:eastAsia="Arial" w:hAnsi="Arial"/>
          <w:sz w:val="18"/>
          <w:szCs w:val="18"/>
          <w:color w:val="auto"/>
        </w:rPr>
        <w:t>. We are preparing to commence a Phase 3 clinical trial to evaluate the safety and efficacy of defibrotide for the</w:t>
      </w:r>
      <w:r>
        <w:rPr>
          <w:rFonts w:ascii="Arial" w:cs="Arial" w:eastAsia="Arial" w:hAnsi="Arial"/>
          <w:sz w:val="20"/>
          <w:szCs w:val="20"/>
          <w:i w:val="1"/>
          <w:iCs w:val="1"/>
          <w:color w:val="auto"/>
        </w:rPr>
        <w:t xml:space="preserve"> </w:t>
      </w:r>
      <w:r>
        <w:rPr>
          <w:rFonts w:ascii="Arial" w:cs="Arial" w:eastAsia="Arial" w:hAnsi="Arial"/>
          <w:sz w:val="18"/>
          <w:szCs w:val="18"/>
          <w:color w:val="auto"/>
        </w:rPr>
        <w:t>prevention of VOD in high-risk patients. We expect to initiate patient enrollment in the fourth quarter of 2016.</w:t>
      </w:r>
    </w:p>
    <w:p>
      <w:pPr>
        <w:spacing w:after="0" w:line="79" w:lineRule="exact"/>
        <w:rPr>
          <w:rFonts w:ascii="Arial" w:cs="Arial" w:eastAsia="Arial" w:hAnsi="Arial"/>
          <w:sz w:val="18"/>
          <w:szCs w:val="18"/>
          <w:i w:val="1"/>
          <w:iCs w:val="1"/>
          <w:color w:val="auto"/>
        </w:rPr>
      </w:pPr>
    </w:p>
    <w:p>
      <w:pPr>
        <w:ind w:left="740" w:right="200"/>
        <w:spacing w:after="0" w:line="277"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Activities. </w:t>
      </w:r>
      <w:r>
        <w:rPr>
          <w:rFonts w:ascii="Arial" w:cs="Arial" w:eastAsia="Arial" w:hAnsi="Arial"/>
          <w:sz w:val="18"/>
          <w:szCs w:val="18"/>
          <w:color w:val="auto"/>
        </w:rPr>
        <w:t>We are also exploring additional potential indications for defibrotide and assessing the potential to pursue regulatory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defibrotide in additional countries.</w:t>
      </w:r>
    </w:p>
    <w:p>
      <w:pPr>
        <w:spacing w:after="0" w:line="62" w:lineRule="exact"/>
        <w:rPr>
          <w:rFonts w:ascii="Arial" w:cs="Arial" w:eastAsia="Arial" w:hAnsi="Arial"/>
          <w:sz w:val="18"/>
          <w:szCs w:val="18"/>
          <w:i w:val="1"/>
          <w:iCs w:val="1"/>
          <w:color w:val="auto"/>
        </w:rPr>
      </w:pPr>
    </w:p>
    <w:p>
      <w:pPr>
        <w:ind w:left="740" w:right="180" w:hanging="327"/>
        <w:spacing w:after="0" w:line="26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Erwinaze. </w:t>
      </w:r>
      <w:r>
        <w:rPr>
          <w:rFonts w:ascii="Arial" w:cs="Arial" w:eastAsia="Arial" w:hAnsi="Arial"/>
          <w:sz w:val="18"/>
          <w:szCs w:val="18"/>
          <w:color w:val="auto"/>
        </w:rPr>
        <w:t>We are pursuing activities related to the potential development of an effective and well-tolerated long-acting recombinant crisantaspase</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offer benefits compared to Erwinaze. We are also assessing the potential to pursue regulatory approval of Erwinaze in additional countries.</w:t>
      </w:r>
    </w:p>
    <w:p>
      <w:pPr>
        <w:spacing w:after="0" w:line="73" w:lineRule="exact"/>
        <w:rPr>
          <w:rFonts w:ascii="Arial" w:cs="Arial" w:eastAsia="Arial" w:hAnsi="Arial"/>
          <w:sz w:val="18"/>
          <w:szCs w:val="18"/>
          <w:color w:val="auto"/>
        </w:rPr>
      </w:pPr>
    </w:p>
    <w:p>
      <w:pPr>
        <w:ind w:left="740" w:hanging="327"/>
        <w:spacing w:after="0" w:line="290"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Vyxeos. </w:t>
      </w:r>
      <w:r>
        <w:rPr>
          <w:rFonts w:ascii="Arial" w:cs="Arial" w:eastAsia="Arial" w:hAnsi="Arial"/>
          <w:sz w:val="16"/>
          <w:szCs w:val="16"/>
          <w:color w:val="auto"/>
        </w:rPr>
        <w:t>Celator completed a Phase 3 clinical trial in high-risk (secondary) AML. Vyxeos is currently not approved as a marketed product in any</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We expect to initiate a rolling submission of an NDA for Vyxeos to the FDA by the end of the third quarter of 2016 and to complete the submission in late 2016 or early 2017. FDA Breakthrough Therapy designation has been granted for Vyxeos for the treatment of adults with therapy-related AML or AML with myelodysplasia-related changes. Breakthrough Therapy designation is a process designed to expedite the development and review of a drug that is intended to treat a serious or life-threatening disease or condition when preliminary clinical evidence indicates that the drug may demonstrate substantial improvement over available therapy on one or more clinically significant endpoints. In addition, we are currently evaluating the timing of filing for regulatory approval of Vyxeos in Europe. We are also assessing the potential for approval of Vyxeos in other countries and for development of Vyxeos in indications in addition to the treatment of high risk (secondary) AML.</w:t>
      </w:r>
    </w:p>
    <w:p>
      <w:pPr>
        <w:spacing w:after="0" w:line="5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For 2016 and beyond, we expect that our research and development expenses will increase from historical levels, particularly as we initiate and undertake additional clinical trials and related development work and potentially acquire rights to additional product candidates. We anticipate that we will continue to face a number of challenges and risks to our business and our ability to execute our strategy for the remainder of 2016 and beyond. Some of these challenges and risks are specific to our business, and others are common to companies in the pharmaceutical industry with development and commercial operations.</w:t>
      </w:r>
    </w:p>
    <w:p>
      <w:pPr>
        <w:spacing w:after="0" w:line="80"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i w:val="1"/>
          <w:iCs w:val="1"/>
          <w:color w:val="auto"/>
        </w:rPr>
        <w:t xml:space="preserve">Xyrem. </w:t>
      </w:r>
      <w:r>
        <w:rPr>
          <w:rFonts w:ascii="Arial" w:cs="Arial" w:eastAsia="Arial" w:hAnsi="Arial"/>
          <w:sz w:val="18"/>
          <w:szCs w:val="18"/>
          <w:color w:val="auto"/>
        </w:rPr>
        <w:t>Our financial results remain significantly influenced by sales of Xyrem, which accounted for 74% of our net product sales in the three and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2016 and 73% of our net product sales in the year ended December 31, 2015. As a result, we continue to place a high priority on seeking to maintain and increase sales of Xyrem in its approved indications, while remaining focused on ensuring the safe and effective use of the product. We are also focusing on the lifecycle management of Xyrem, including seeking to enhance and enforce our intellectual property rights and to develop product, service and safety improvements for patients.</w:t>
      </w:r>
    </w:p>
    <w:p>
      <w:pPr>
        <w:spacing w:after="0" w:line="80"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 xml:space="preserve">Our ability to maintain or increase Xyrem product sales is subject to risks and uncertainties, including those discussed in “Risk Factors” in Part II, Item 1A of this Quarterly Report on Form 10-Q. In particular, seven companies have sent us notices that they have filed abbreviated new drug applications, or ANDAs, with the FDA seeking approval to market a generic version of Xyrem. We have filed lawsuits against each of these companies seeking to prevent the introduction of a generic version of Xyrem that would infringe our patents. In the second quarter of 2016, we settled two of these lawsuits, granting the settling ANDA applicants a license to manufacture, market and sell their generic versions of Xyrem on or after December 31, 2025, or earlier depending on the occurrence of certain events. The court in which our ANDA litigation is ongoing has determined that all of our pending patent litigation against the first ANDA filer, Roxane Laboratories, Inc., or Roxane, will be consolidated for trial and set trial in this consolidated case for the second quarter of 2017. We cannot predict the timing or outcome of this or the other ANDA litigation proceedings. Certain ANDA filers have also filed petitions for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IPR, by the Patent Trial and Appeal Board, or the PTAB, of the U.S. Patent and Trademark Office, or USPTO, with respect to the validity of certain distribution, method of use and formulation patents covering Xyrem. The PTAB instituted IPR trials with respect to patents and patent claims that are the subject of certain of these petitions. In July 2016, the PTAB issued final decisions that the claims of six distribution system patents that were the subject of certain IPR trials are unpatentable; as a result, if the Court of Appeals for the Federal Circuit upholds those decisions or if the time for appeal expires, these claims will be canceled. For a description of these matters, see “Legal Proceedings” in Part II, Item 1 of this Quarterly Report on Form 10-Q. We cannot predict whether additional post-grant patent review challenges will be filed by any of the ANDA filers or any other entity, the</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outcome of any pending IPR or other proceeding, the outcome of any appeal of the July 2016 IPR decisions with respect to six patents covering the distribution system for Xyrem, whether the PTAB will institute any petitioned IPR proceeding that has not yet been instituted, or the impact any IPR or other proceeding might have on ongoing ANDA litigation proceedings or other aspects of our Xyrem business. We expect that the approval of an ANDA that results in the launch of a generic version of Xyrem, or the approval and launch of other sodium oxybate products that compete with Xyrem, would have a material adverse effect on our business, financial condition, results of operations and growth prospects.</w:t>
      </w:r>
    </w:p>
    <w:p>
      <w:pPr>
        <w:spacing w:after="0" w:line="10"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Approval of an ANDA with respect to a generic version of Xyrem will require a risk evaluation and mitigation strategy, or REMS, which may be either a single shared REMS with Xyrem or a separate REMS with differing but comparable aspects of elements to assure safe use, or ETASU, in the approved Xyrem REMS. We and the ANDA applicants had interactions with respect to developing a single shared REMS for several years. The ANDA applicants are not currently engaging in single shared REMS discussions with us, but we are seeking to continue the interactions with the goal of developing a single shared REMS. However, we cannot predict whether, or to what extent, our interactions with the ANDA applicants will resume or whether we will develop a single shared REMS with the ANDA applicants. We are aware that, separate from the discussions with us, the FDA and ANDA applicants have exchanged communications regarding a REMS for sodium oxybate. If we and the ANDA applicants do not develop a single shared REMS, or we do not license or share intellectual property pertinent to our Xyrem REMS with generic competitors within a time frame or on terms that the FDA considers acceptable, the FDA may assert that its waiver authority permits it to approve the ANDA of one or more generic competitors with a separate REMS that differs in some aspects from our approved Xyrem REMS. We also may face pressure to develop a single shared REMS with potential generic competitors for Xyrem that is different from the approved Xyrem REMS or to license or share intellectual property pertinent to the Xyrem REMS, or elements of the Xyrem REMS, including proprietary data required for safe distribution of sodium oxybate, with generic competitors. We cannot predict the outcome or impact on our business of any future action that we may take with respect to the development of a single shared REMS for sodium oxybate, licensing or sharing intellectual property pertinent to our Xyrem REMS or elements of the Xyrem REMS, or the FDA’s response to a request by one or more ANDA applicants for a waiver of the requirement for a single shared REMS, including in connection with a certification that the applicant had been unable to obtain a license. The FDA’s response to any such request could include approval of one or more ANDAs. In addition, the Federal Trade Commission, or FTC, other governmental authorities or others could claim or determine that we are using the Xyrem REMS in an anticompetitive manner (including in light of the FDA’s statement in the Xyrem REMS approval letter that the Xyrem REMS could be used in an anticompetitive manner inconsistent with applicable provisions of the Federal Food, Drug and Cosmetic Act, or FDCA) or have engaged in other anticompetitive practices.</w:t>
      </w:r>
    </w:p>
    <w:p>
      <w:pPr>
        <w:spacing w:after="0" w:line="62"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In August 2015, we implemented the final Xyrem REMS, which was approved by the FDA in February 2015, and we have submitted and expect to continue to submit ongoing assessments as set forth in the FDA’s Xyrem REMS approval letter. The process under which enrolled patients receive Xyrem is complex, and we have transitioned most prescribers and patients to the final Xyrem REMS process and documentation requirements. We have notified the FDA regarding our anticipated timing for completing the transition of the remaining prescribers and patients and that we will continue to work with the remaining prescribers and patients to complete the transition. However, we cannot guarantee that we will be able to transition the remaining prescribers and patients to the final Xyrem REMS, that our notification and ongoing assessments will be satisfactory to the FDA or that the Xyrem REMS will satisfy the FDA’s expectations in its evaluation of the Xyrem REMS on an ongoing basis. Any failure to comply with the REMS obligations could result in enforcement action by the FDA; lead to changes in our Xyrem REMS obligations; negatively affect sales of Xyrem; result in additional costs and expenses for us; and/or take a significant amount of time, any of which could materially and adversely affect our business, financial condition, results of operations and growth prospects. Further, we cannot predict whether the FDA will seek to require or ultimately require modifications to the Xyrem REMS, including with respect to the distribution system, or seek to otherwise impose or ultimately impose additional requirements to the Xyrem REMS, or the potential timing, terms or propriety thereof. Any such modifications or additional requirements could potentially make it easier for ANDA applicants to obtain FDA approval of their ANDAs, make it more difficult or expensive for us to distribute Xyrem, make distribution easier for future generic competitors, impair the safety profile of Xyrem and/or negatively affect sales of Xyrem.</w:t>
      </w:r>
    </w:p>
    <w:p>
      <w:pPr>
        <w:spacing w:after="0" w:line="13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Obtaining and maintaining appropriate reimbursement for Xyrem in the U.S. is increasingly challenging due to, among other things, the attention being paid to healthcare cost containment and prescription drug pricing, pricing pressure from third party payors and increasingly restrictive reimbursement conditions being imposed by third party payors. In this regard, we have experienced and expect to continue to experience increasing pressure from third party payors to agree to discounts, rebates or other pricing terms for Xyrem. Any such restrictive pricing terms or additional reimbursement conditions could have a material adverse effect on our Xyrem revenues. In addition, drug pricing by pharmaceutical companies has recently come under close scrutiny, particularly with respect to companies that have increased the price of products after acquiring those products from other companies. We expect that healthcare policies and reforms intended to curb healthcare costs will continue to be proposed, which could limit the prices that we charge for our products, including Xyrem, limit our commercial opportunity and/or negatively impact revenues from sales of our products. Also, price increases on Xyrem and our other products, and negative publicity regarding pricing and price increases generally, whether with respect to our products or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products distributed by other pharmaceutical companies, could negatively affect market acceptance of Xyrem and our other products.</w:t>
      </w:r>
    </w:p>
    <w:p>
      <w:pPr>
        <w:spacing w:after="0" w:line="117"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i w:val="1"/>
          <w:iCs w:val="1"/>
          <w:color w:val="auto"/>
        </w:rPr>
        <w:t xml:space="preserve">Erwinaze/Erwinase. </w:t>
      </w:r>
      <w:r>
        <w:rPr>
          <w:rFonts w:ascii="Arial" w:cs="Arial" w:eastAsia="Arial" w:hAnsi="Arial"/>
          <w:sz w:val="16"/>
          <w:szCs w:val="16"/>
          <w:color w:val="auto"/>
        </w:rPr>
        <w:t>Sales of our second largest product, Erwinaze/Erwinase (which we refer to in this report as Erwinaze unless otherwise indicated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context otherwise requires), accounted for 13% and 14%, respectively, of our net product sales in the three and six months ended June 30, 2016 and 15% in the year ended December 31, 2015. We seek to maintain and increase sales of Erwinaze, as well as to make Erwinaze more widely available, through ongoing sales and marketing and research and development activities. However, a significant challenge to our ability to maintain current sales levels and to increase sales is our extremely limited inventory of Erwinaze and our need to avoid supply interruptions of Erwinaze due to capacity constraints, production delays, quality or regulatory challenges or other manufacturing difficulties. Erwinaze is licensed from and manufactured by a single source, Porton Biopharma Limited, or PBL. The current manufacturing capacity for Erwinaze is completely absorbed by demand for the product. We are working with PBL to evaluate potential expansion of its production capacity to increase the supply of Erwinaze over the longer term. As a consequence of constrained manufacturing capacity, we have had an extremely limited or no ability to build product inventory levels that can be used to absorb disruptions to supply resulting from quality, regulatory or other issues, and we have experienced product quality, manufacturing and inventory challenges that have resulted in disruptions in our ability to supply certain markets and caused us to implement batch-specific, modified product use instructions. We expect that we will continue to experience inventory and supply challenges, which may result in temporary disruptions in our ability to supply certain markets, including the U.S., from time to time. If capacity constraints or supply disruptions continue, whether as a result of continued quality or other manufacturing issues, regulatory issues or otherwise, we may be unable to build a desired excess level of product inventory, our ability to supply the market may continue to be compromised, physicians’ decisions to use Erwinaze in the future may be negatively impacted and our sales of and revenues from Erwinaze, our potential future maintenance and growth of the market for this product, and/or our business, financial condition, results of operations and growth prospects could be materially adversely affected. Our ability to successfully and sustainably maintain or grow sales of Erwinaze is also subject to a number of other risks and uncertainties, including the limited population of patients with acute lymphoblastic leukemia, or ALL, and the incidence of hypersensitivity reactions to </w:t>
      </w:r>
      <w:r>
        <w:rPr>
          <w:rFonts w:ascii="Arial" w:cs="Arial" w:eastAsia="Arial" w:hAnsi="Arial"/>
          <w:sz w:val="16"/>
          <w:szCs w:val="16"/>
          <w:i w:val="1"/>
          <w:iCs w:val="1"/>
          <w:color w:val="auto"/>
        </w:rPr>
        <w:t>E.</w:t>
      </w:r>
      <w:r>
        <w:rPr>
          <w:rFonts w:ascii="Arial" w:cs="Arial" w:eastAsia="Arial" w:hAnsi="Arial"/>
          <w:sz w:val="16"/>
          <w:szCs w:val="16"/>
          <w:color w:val="auto"/>
        </w:rPr>
        <w:t xml:space="preserve"> </w:t>
      </w:r>
      <w:r>
        <w:rPr>
          <w:rFonts w:ascii="Arial" w:cs="Arial" w:eastAsia="Arial" w:hAnsi="Arial"/>
          <w:sz w:val="16"/>
          <w:szCs w:val="16"/>
          <w:i w:val="1"/>
          <w:iCs w:val="1"/>
          <w:color w:val="auto"/>
        </w:rPr>
        <w:t>coli</w:t>
      </w:r>
      <w:r>
        <w:rPr>
          <w:rFonts w:ascii="Arial" w:cs="Arial" w:eastAsia="Arial" w:hAnsi="Arial"/>
          <w:sz w:val="16"/>
          <w:szCs w:val="16"/>
          <w:color w:val="auto"/>
        </w:rPr>
        <w:t>-derived asparaginase within that population, our need to apply for and receive marketing authorizations, through the European Union’s, or EU’s, mutual</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procedure or otherwise, in certain additional countries so we can launch promotional efforts in those countries, as well as those other risks and uncertainties discussed in “Risk Factors” in Part II, Item 1A of this Quarterly Report on Form 10-Q.</w:t>
      </w:r>
    </w:p>
    <w:p>
      <w:pPr>
        <w:spacing w:after="0" w:line="7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Defitelio. </w:t>
      </w:r>
      <w:r>
        <w:rPr>
          <w:rFonts w:ascii="Arial" w:cs="Arial" w:eastAsia="Arial" w:hAnsi="Arial"/>
          <w:sz w:val="18"/>
          <w:szCs w:val="18"/>
          <w:color w:val="auto"/>
        </w:rPr>
        <w:t>Sales of Defitelio accounted for 9% and 7%, respectively, of our net product sales in the three and six months ended June 30, 2016 and 5% in</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2015. We acquired this product in January 2014 in connection with our acquisition of Gentium S.r.l., or Gentium, which we refer to as the Gentium Acquisition, and secured worldwide rights to the product by acquiring rights to defibrotide in the Americas in August 2014. We launched Defitelio in certain European countries in 2014 and continue to launch in additional European countries on a rolling basis. On March 30, 2016, the FDA approved our NDA for Defitelio for the treatment of adult and pediatric patients with VOD, also known as SOS, with renal or pulmonary dysfunction following HSCT. We launched Defitelio in the U.S. shortly after FDA approval.</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ability to realize the anticipated benefits from our investment in Defitelio is subject to risks and uncertainties, including:</w:t>
      </w:r>
    </w:p>
    <w:p>
      <w:pPr>
        <w:spacing w:after="0" w:line="90" w:lineRule="exact"/>
        <w:rPr>
          <w:sz w:val="20"/>
          <w:szCs w:val="20"/>
          <w:color w:val="auto"/>
        </w:rPr>
      </w:pPr>
    </w:p>
    <w:p>
      <w:pPr>
        <w:ind w:left="740" w:right="860" w:hanging="327"/>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acceptance of Defitelio in the U.S. by hospital pharmacy and therapeutics committees and the availability of adequate coverage and reimbursement by government programs and third party payors;</w:t>
      </w:r>
    </w:p>
    <w:p>
      <w:pPr>
        <w:spacing w:after="0" w:line="35" w:lineRule="exact"/>
        <w:rPr>
          <w:rFonts w:ascii="Arial" w:cs="Arial" w:eastAsia="Arial" w:hAnsi="Arial"/>
          <w:sz w:val="18"/>
          <w:szCs w:val="18"/>
          <w:color w:val="auto"/>
        </w:rPr>
      </w:pPr>
    </w:p>
    <w:p>
      <w:pPr>
        <w:ind w:left="740" w:right="160" w:hanging="327"/>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market acceptance of Defitelio at its commercial price now that it is no longer available to new patients under an expanded access treatment protocol;</w:t>
      </w:r>
    </w:p>
    <w:p>
      <w:pPr>
        <w:spacing w:after="0" w:line="35" w:lineRule="exact"/>
        <w:rPr>
          <w:rFonts w:ascii="Arial" w:cs="Arial" w:eastAsia="Arial" w:hAnsi="Arial"/>
          <w:sz w:val="18"/>
          <w:szCs w:val="18"/>
          <w:color w:val="auto"/>
        </w:rPr>
      </w:pPr>
    </w:p>
    <w:p>
      <w:pPr>
        <w:ind w:left="740" w:right="400" w:hanging="327"/>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lack of experience of U.S. physicians in diagnosing and treating VOD, particularly in adults, and the possibility that physicians may delay initiation of treatment or terminate treatment before the end of the recommended dosing schedule;</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maintain or grow sales of Defitelio in Europe;</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problems in the supply or manufacture of the product;</w:t>
      </w:r>
    </w:p>
    <w:p>
      <w:pPr>
        <w:spacing w:after="0" w:line="90" w:lineRule="exact"/>
        <w:rPr>
          <w:rFonts w:ascii="Arial" w:cs="Arial" w:eastAsia="Arial" w:hAnsi="Arial"/>
          <w:sz w:val="18"/>
          <w:szCs w:val="18"/>
          <w:color w:val="auto"/>
        </w:rPr>
      </w:pPr>
    </w:p>
    <w:p>
      <w:pPr>
        <w:ind w:left="740" w:right="520" w:hanging="327"/>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limited size of the population of VOD patients who are indicated for treatment with Defitelio (particularly if changes in HSCT treatment protocols reduce the incidence of VOD);</w:t>
      </w:r>
    </w:p>
    <w:p>
      <w:pPr>
        <w:spacing w:after="0" w:line="35" w:lineRule="exact"/>
        <w:rPr>
          <w:rFonts w:ascii="Arial" w:cs="Arial" w:eastAsia="Arial" w:hAnsi="Arial"/>
          <w:sz w:val="18"/>
          <w:szCs w:val="18"/>
          <w:color w:val="auto"/>
        </w:rPr>
      </w:pPr>
    </w:p>
    <w:p>
      <w:pPr>
        <w:ind w:left="740" w:right="560" w:hanging="327"/>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meet the post-marketing commitments and requirements imposed by the FDA in connection with its approval of our NDA for Defitelio; and</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marketing approval in other countries and to develop the product for additional indications.</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If sales of Defitelio do not reach the levels we expect, our anticipated revenue from the product will be negatively affected, which could have a material adverse effect on our business, financial condition, results of operations and growth prospects.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125" w:right="3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i w:val="1"/>
          <w:iCs w:val="1"/>
          <w:color w:val="auto"/>
        </w:rPr>
        <w:t xml:space="preserve">Vyxeos. </w:t>
      </w:r>
      <w:r>
        <w:rPr>
          <w:rFonts w:ascii="Arial" w:cs="Arial" w:eastAsia="Arial" w:hAnsi="Arial"/>
          <w:sz w:val="18"/>
          <w:szCs w:val="18"/>
          <w:color w:val="auto"/>
        </w:rPr>
        <w:t>In furtherance of our growth strategy, we have made a significant investment in Vyxeos through the Celator Acquisition. Our ability to realize</w:t>
      </w:r>
      <w:r>
        <w:rPr>
          <w:rFonts w:ascii="Arial" w:cs="Arial" w:eastAsia="Arial" w:hAnsi="Arial"/>
          <w:sz w:val="18"/>
          <w:szCs w:val="18"/>
          <w:i w:val="1"/>
          <w:iCs w:val="1"/>
          <w:color w:val="auto"/>
        </w:rPr>
        <w:t xml:space="preserve"> </w:t>
      </w:r>
      <w:r>
        <w:rPr>
          <w:rFonts w:ascii="Arial" w:cs="Arial" w:eastAsia="Arial" w:hAnsi="Arial"/>
          <w:sz w:val="18"/>
          <w:szCs w:val="18"/>
          <w:color w:val="auto"/>
        </w:rPr>
        <w:t>the anticipated benefits from this investment is subject to a number of risks and uncertainties, including:</w:t>
      </w:r>
    </w:p>
    <w:p>
      <w:pPr>
        <w:spacing w:after="0" w:line="89" w:lineRule="exact"/>
        <w:rPr>
          <w:sz w:val="20"/>
          <w:szCs w:val="20"/>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obtain marketing approval for Vyxeos in the United States and Europe;</w:t>
      </w:r>
    </w:p>
    <w:p>
      <w:pPr>
        <w:spacing w:after="0" w:line="90" w:lineRule="exact"/>
        <w:rPr>
          <w:rFonts w:ascii="Arial" w:cs="Arial" w:eastAsia="Arial" w:hAnsi="Arial"/>
          <w:sz w:val="18"/>
          <w:szCs w:val="18"/>
          <w:color w:val="auto"/>
        </w:rPr>
      </w:pPr>
    </w:p>
    <w:p>
      <w:pPr>
        <w:ind w:left="740" w:right="280" w:hanging="327"/>
        <w:spacing w:after="0" w:line="334"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risks associated with developing products based on the CombiPlex technology platform that we acquired in the Celator Acquisition, such as Vyxeos, the first injectable fixed ratio, drug delivery combination oncology product that the FDA would potentially be considering for approval;</w:t>
      </w:r>
    </w:p>
    <w:p>
      <w:pPr>
        <w:spacing w:after="0" w:line="1" w:lineRule="exact"/>
        <w:rPr>
          <w:rFonts w:ascii="Arial" w:cs="Arial" w:eastAsia="Arial" w:hAnsi="Arial"/>
          <w:sz w:val="16"/>
          <w:szCs w:val="16"/>
          <w:color w:val="auto"/>
        </w:rPr>
      </w:pPr>
    </w:p>
    <w:p>
      <w:pPr>
        <w:ind w:left="740" w:right="100" w:hanging="327"/>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establish pricing and reimbursement support for Vyxeos in the event we are able to obtain marketing approval for Vyxeos in the United States or in other countries;</w:t>
      </w:r>
    </w:p>
    <w:p>
      <w:pPr>
        <w:spacing w:after="0" w:line="35" w:lineRule="exact"/>
        <w:rPr>
          <w:rFonts w:ascii="Arial" w:cs="Arial" w:eastAsia="Arial" w:hAnsi="Arial"/>
          <w:sz w:val="18"/>
          <w:szCs w:val="18"/>
          <w:color w:val="auto"/>
        </w:rPr>
      </w:pPr>
    </w:p>
    <w:p>
      <w:pPr>
        <w:ind w:left="740" w:right="640" w:hanging="327"/>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acceptance of Vyxeos in the United States and other countries by hospital pharmacy and therapeutics committees and the availability of adequate coverage and reimbursement by government programs and third party payors;</w:t>
      </w:r>
    </w:p>
    <w:p>
      <w:pPr>
        <w:spacing w:after="0" w:line="35" w:lineRule="exact"/>
        <w:rPr>
          <w:rFonts w:ascii="Arial" w:cs="Arial" w:eastAsia="Arial" w:hAnsi="Arial"/>
          <w:sz w:val="18"/>
          <w:szCs w:val="18"/>
          <w:color w:val="auto"/>
        </w:rPr>
      </w:pPr>
    </w:p>
    <w:p>
      <w:pPr>
        <w:ind w:left="740" w:right="40" w:hanging="327"/>
        <w:spacing w:after="0" w:line="26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or problems in the supply or manufacture of the product, including with respect to the requirement of the third parties upon which we rely to manufacture Vyxeos and its active pharmaceutical ingredients, or APIs, to obtain the approval of the FDA and/or other regulatory authorities to manufacture Vyxeos; and</w:t>
      </w:r>
    </w:p>
    <w:p>
      <w:pPr>
        <w:spacing w:after="0" w:line="46"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limited size of the population of AML patients who may potentially be indicated for treatment with Vyxeos.</w:t>
      </w:r>
    </w:p>
    <w:p>
      <w:pPr>
        <w:spacing w:after="0" w:line="11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If we are unable to obtain regulatory approval for Vyxeos in the United States or in Europe in a timely manner, or at all, or if sales of an approved Vyxeos product do not reach the levels we expect, our anticipated revenue from Vyxeos would be negatively affected, which could have a material adverse effect on our business, financial condition, results of operations and growth prospects.</w:t>
      </w:r>
    </w:p>
    <w:p>
      <w:pPr>
        <w:spacing w:after="0" w:line="12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For more information on risks and uncertainties relating to Erwinaze, Defitelio and Vyxeos, see the risk factor under the heading </w:t>
      </w:r>
      <w:r>
        <w:rPr>
          <w:rFonts w:ascii="Arial" w:cs="Arial" w:eastAsia="Arial" w:hAnsi="Arial"/>
          <w:sz w:val="18"/>
          <w:szCs w:val="18"/>
          <w:i w:val="1"/>
          <w:iCs w:val="1"/>
          <w:color w:val="auto"/>
        </w:rPr>
        <w:t>“While Xyrem remains</w:t>
      </w:r>
      <w:r>
        <w:rPr>
          <w:rFonts w:ascii="Arial" w:cs="Arial" w:eastAsia="Arial" w:hAnsi="Arial"/>
          <w:sz w:val="18"/>
          <w:szCs w:val="18"/>
          <w:color w:val="auto"/>
        </w:rPr>
        <w:t xml:space="preserve"> </w:t>
      </w:r>
      <w:r>
        <w:rPr>
          <w:rFonts w:ascii="Arial" w:cs="Arial" w:eastAsia="Arial" w:hAnsi="Arial"/>
          <w:sz w:val="18"/>
          <w:szCs w:val="18"/>
          <w:i w:val="1"/>
          <w:iCs w:val="1"/>
          <w:color w:val="auto"/>
        </w:rPr>
        <w:t>our largest product, our success also depends on our ability to effectively commercialize our other products and, in the case of our newly acquired product candidate, Vyxeos, our ability to obtain regulatory approval in the United States and Europe and, if approved, to successfully launch and commercialize Vyxeos. Our inability to do so could have a material adverse effect on our business, financial condition, results of operations and growth prospects</w:t>
      </w:r>
      <w:r>
        <w:rPr>
          <w:rFonts w:ascii="Arial" w:cs="Arial" w:eastAsia="Arial" w:hAnsi="Arial"/>
          <w:sz w:val="18"/>
          <w:szCs w:val="18"/>
          <w:color w:val="auto"/>
        </w:rPr>
        <w:t>” in Part II,</w:t>
      </w:r>
      <w:r>
        <w:rPr>
          <w:rFonts w:ascii="Arial" w:cs="Arial" w:eastAsia="Arial" w:hAnsi="Arial"/>
          <w:sz w:val="18"/>
          <w:szCs w:val="18"/>
          <w:i w:val="1"/>
          <w:iCs w:val="1"/>
          <w:color w:val="auto"/>
        </w:rPr>
        <w:t xml:space="preserve"> </w:t>
      </w:r>
      <w:r>
        <w:rPr>
          <w:rFonts w:ascii="Arial" w:cs="Arial" w:eastAsia="Arial" w:hAnsi="Arial"/>
          <w:sz w:val="18"/>
          <w:szCs w:val="18"/>
          <w:color w:val="auto"/>
        </w:rPr>
        <w:t>Item 1A of this Quarterly Report on Form 10-Q.</w:t>
      </w:r>
    </w:p>
    <w:p>
      <w:pPr>
        <w:spacing w:after="0" w:line="80"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In addition to risks specifically related to Xyrem, Erwinaze, Defitelio and Vyxeos, other key challenges and risks that we face include risks and uncertainties related to:</w:t>
      </w:r>
    </w:p>
    <w:p>
      <w:pPr>
        <w:spacing w:after="0" w:line="62" w:lineRule="exact"/>
        <w:rPr>
          <w:sz w:val="20"/>
          <w:szCs w:val="20"/>
          <w:color w:val="auto"/>
        </w:rPr>
      </w:pPr>
    </w:p>
    <w:p>
      <w:pPr>
        <w:ind w:left="740" w:hanging="327"/>
        <w:spacing w:after="0"/>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challenges of protecting and enhancing our intellectual property rights;</w:t>
      </w:r>
    </w:p>
    <w:p>
      <w:pPr>
        <w:spacing w:after="0" w:line="117"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challenges of achieving and maintaining commercial success of our products;</w:t>
      </w:r>
    </w:p>
    <w:p>
      <w:pPr>
        <w:spacing w:after="0" w:line="117" w:lineRule="exact"/>
        <w:rPr>
          <w:rFonts w:ascii="Arial" w:cs="Arial" w:eastAsia="Arial" w:hAnsi="Arial"/>
          <w:sz w:val="18"/>
          <w:szCs w:val="18"/>
          <w:color w:val="auto"/>
        </w:rPr>
      </w:pPr>
    </w:p>
    <w:p>
      <w:pPr>
        <w:ind w:left="720" w:right="280" w:hanging="320"/>
        <w:spacing w:after="0" w:line="26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problems in the supply or manufacture of our products, particularly with respect to certain products as to which we maintain limited inventories, and our dependence on single source suppliers to continue to meet our ongoing commercial demand or our requirements for clinical trial supplies;</w:t>
      </w:r>
    </w:p>
    <w:p>
      <w:pPr>
        <w:spacing w:after="0" w:line="73" w:lineRule="exact"/>
        <w:rPr>
          <w:rFonts w:ascii="Arial" w:cs="Arial" w:eastAsia="Arial" w:hAnsi="Arial"/>
          <w:sz w:val="18"/>
          <w:szCs w:val="18"/>
          <w:color w:val="auto"/>
        </w:rPr>
      </w:pPr>
    </w:p>
    <w:p>
      <w:pPr>
        <w:ind w:left="720" w:right="120" w:hanging="320"/>
        <w:spacing w:after="0" w:line="259"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 to obtain and maintain appropriate pricing and reimbursement for our products in an increasingly challenging environment due to, among other things, the attention being paid to healthcare cost containment and other austerity measures in the U.S. and worldwide, including the need to obtain and maintain reimbursement for Xyrem in the U.S. in an environment in which we are subject to increasingly restrictive conditions for reimbursement required by third party payors;</w:t>
      </w:r>
    </w:p>
    <w:p>
      <w:pPr>
        <w:spacing w:after="0" w:line="78"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identify and acquire, in-license or develop additional products or product candidates to grow our business;</w:t>
      </w:r>
    </w:p>
    <w:p>
      <w:pPr>
        <w:spacing w:after="0" w:line="117" w:lineRule="exact"/>
        <w:rPr>
          <w:rFonts w:ascii="Arial" w:cs="Arial" w:eastAsia="Arial" w:hAnsi="Arial"/>
          <w:sz w:val="18"/>
          <w:szCs w:val="18"/>
          <w:color w:val="auto"/>
        </w:rPr>
      </w:pPr>
    </w:p>
    <w:p>
      <w:pPr>
        <w:ind w:left="720" w:right="220" w:hanging="320"/>
        <w:spacing w:after="0" w:line="286"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challenges of compliance with the requirements of the FDA, the U.S. Drug Enforcement Administration, or DEA, and non-U.S. regulatory agencies, including with respect to product labeling, requirements for distribution, obtaining sufficient DEA quotas where needed, marketing and promotional activities, patient assistance programs, adverse event reporting and product recalls or withdrawals;</w:t>
      </w:r>
    </w:p>
    <w:p>
      <w:pPr>
        <w:spacing w:after="0" w:line="57" w:lineRule="exact"/>
        <w:rPr>
          <w:rFonts w:ascii="Arial" w:cs="Arial" w:eastAsia="Arial" w:hAnsi="Arial"/>
          <w:sz w:val="17"/>
          <w:szCs w:val="17"/>
          <w:color w:val="auto"/>
        </w:rPr>
      </w:pPr>
    </w:p>
    <w:p>
      <w:pPr>
        <w:ind w:left="720" w:right="140" w:hanging="320"/>
        <w:spacing w:after="0" w:line="26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difficulty and uncertainty of pharmaceutical product development, including the timing thereof, and the uncertainty of clinical success, such as the risk that results from preclinical studies and/or early clinical trials may not be predictive of results obtained in later and larger clinical trials planned or anticipated to be conducted for our product candidates;</w:t>
      </w:r>
    </w:p>
    <w:p>
      <w:pPr>
        <w:spacing w:after="0" w:line="73" w:lineRule="exact"/>
        <w:rPr>
          <w:rFonts w:ascii="Arial" w:cs="Arial" w:eastAsia="Arial" w:hAnsi="Arial"/>
          <w:sz w:val="18"/>
          <w:szCs w:val="18"/>
          <w:color w:val="auto"/>
        </w:rPr>
      </w:pPr>
    </w:p>
    <w:p>
      <w:pPr>
        <w:ind w:left="720" w:right="480" w:hanging="320"/>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inherent uncertainty associated with the regulatory approval process, especially as we continue to undertake increased activities and make growing investment in our product pipeline development projects;</w:t>
      </w:r>
    </w:p>
    <w:p>
      <w:pPr>
        <w:spacing w:after="0" w:line="62" w:lineRule="exact"/>
        <w:rPr>
          <w:rFonts w:ascii="Arial" w:cs="Arial" w:eastAsia="Arial" w:hAnsi="Arial"/>
          <w:sz w:val="18"/>
          <w:szCs w:val="18"/>
          <w:color w:val="auto"/>
        </w:rPr>
      </w:pPr>
    </w:p>
    <w:p>
      <w:pPr>
        <w:ind w:left="720" w:right="120" w:hanging="320"/>
        <w:spacing w:after="0" w:line="26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risks associated with business combination or product or product candidate acquisition transactions, including risks associated with the Celator Acquisition, such as the challenges inherent in the integration of acquired businesses with our historic business, the increase in geographic dispersion among our centers of operation and the risks that we</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720" w:right="200"/>
        <w:spacing w:after="0" w:line="324" w:lineRule="auto"/>
        <w:rPr>
          <w:sz w:val="20"/>
          <w:szCs w:val="20"/>
          <w:color w:val="auto"/>
        </w:rPr>
      </w:pPr>
      <w:r>
        <w:rPr>
          <w:rFonts w:ascii="Arial" w:cs="Arial" w:eastAsia="Arial" w:hAnsi="Arial"/>
          <w:sz w:val="18"/>
          <w:szCs w:val="18"/>
          <w:color w:val="auto"/>
        </w:rPr>
        <w:t>may acquire unanticipated liabilities along with acquired businesses or otherwise fail to realize the anticipated benefits (commercial or otherwise) from such transactions; and</w:t>
      </w:r>
    </w:p>
    <w:p>
      <w:pPr>
        <w:spacing w:after="0" w:line="35" w:lineRule="exact"/>
        <w:rPr>
          <w:sz w:val="20"/>
          <w:szCs w:val="20"/>
          <w:color w:val="auto"/>
        </w:rPr>
      </w:pPr>
    </w:p>
    <w:p>
      <w:pPr>
        <w:ind w:left="720" w:right="80" w:hanging="320"/>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possible restrictions on our ability and flexibility to pursue certain future opportunities as a result of our substantial outstanding debt obligations, as a result of, among other things, the Celator Acquisition.</w:t>
      </w:r>
    </w:p>
    <w:p>
      <w:pPr>
        <w:spacing w:after="0" w:line="6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Any of these risks and uncertainties could have a material adverse effect on our business, financial condition, results of operations and growth prospects. All of these risks and uncertainties are discussed in greater detail, along with other risks and uncertainties, in Part II, Item 1A of this Quarterly Report on Form 10-Q.</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revenues and expenses (in thousands, except percentages):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Increase/</w:t>
            </w:r>
          </w:p>
        </w:tc>
        <w:tc>
          <w:tcPr>
            <w:tcW w:w="280" w:type="dxa"/>
            <w:vAlign w:val="bottom"/>
          </w:tcPr>
          <w:p>
            <w:pPr>
              <w:spacing w:after="0"/>
              <w:rPr>
                <w:sz w:val="14"/>
                <w:szCs w:val="14"/>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Six Months Ended</w:t>
            </w:r>
          </w:p>
        </w:tc>
        <w:tc>
          <w:tcPr>
            <w:tcW w:w="11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280" w:type="dxa"/>
            <w:vAlign w:val="bottom"/>
          </w:tcPr>
          <w:p>
            <w:pPr>
              <w:spacing w:after="0"/>
              <w:rPr>
                <w:sz w:val="22"/>
                <w:szCs w:val="22"/>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140" w:type="dxa"/>
            <w:vAlign w:val="bottom"/>
          </w:tcPr>
          <w:p>
            <w:pPr>
              <w:jc w:val="right"/>
              <w:ind w:right="17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3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net</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713,026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639,141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4,145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3,909</w:t>
            </w: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Cost of product sales (excluding amortization of</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23,980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21,813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47,419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50,111</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122,618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107,132</w:t>
            </w:r>
          </w:p>
        </w:tc>
        <w:tc>
          <w:tcPr>
            <w:tcW w:w="1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251,383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219,520</w:t>
            </w: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27,833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55,014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w w:val="94"/>
              </w:rPr>
              <w:t>Acquired in-process research and development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N/A(1)</w:t>
            </w: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23,668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49,379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48,345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12,121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15,812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24,313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32,057</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(gain) loss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N/A(1)</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w w:val="92"/>
              </w:rPr>
              <w:t>Loss on extinguishment and modification of debt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16,815</w:t>
            </w:r>
          </w:p>
        </w:tc>
        <w:tc>
          <w:tcPr>
            <w:tcW w:w="10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N/A(1)</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16,815</w:t>
            </w:r>
          </w:p>
        </w:tc>
        <w:tc>
          <w:tcPr>
            <w:tcW w:w="120" w:type="dxa"/>
            <w:vAlign w:val="bottom"/>
          </w:tcPr>
          <w:p>
            <w:pPr>
              <w:spacing w:after="0"/>
              <w:rPr>
                <w:sz w:val="21"/>
                <w:szCs w:val="21"/>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30,647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79,362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62,706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620" w:type="dxa"/>
            <w:vAlign w:val="bottom"/>
          </w:tcPr>
          <w:p>
            <w:pPr>
              <w:ind w:left="40"/>
              <w:spacing w:after="0"/>
              <w:rPr>
                <w:sz w:val="20"/>
                <w:szCs w:val="20"/>
                <w:color w:val="auto"/>
              </w:rPr>
            </w:pPr>
            <w:r>
              <w:rPr>
                <w:rFonts w:ascii="Arial" w:cs="Arial" w:eastAsia="Arial" w:hAnsi="Arial"/>
                <w:sz w:val="18"/>
                <w:szCs w:val="18"/>
                <w:color w:val="auto"/>
                <w:w w:val="95"/>
              </w:rPr>
              <w:t>Net loss attributable to noncontrolling interests,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N/A(1)</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8"/>
          <w:szCs w:val="18"/>
          <w:color w:val="auto"/>
        </w:rPr>
        <w:t>(1) Comparison to prior period not meaningful.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product sales, royalties and contract revenues, and total revenues (in thousands, except percentages):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Increase/</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1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280,968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247,846</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530,505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460,536</w:t>
            </w:r>
          </w:p>
        </w:tc>
        <w:tc>
          <w:tcPr>
            <w:tcW w:w="1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Erwinaze/Erwinase</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49,748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46,151</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100,921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96,504</w:t>
            </w:r>
          </w:p>
        </w:tc>
        <w:tc>
          <w:tcPr>
            <w:tcW w:w="1260" w:type="dxa"/>
            <w:vAlign w:val="bottom"/>
            <w:gridSpan w:val="2"/>
          </w:tcPr>
          <w:p>
            <w:pPr>
              <w:jc w:val="right"/>
              <w:ind w:right="28"/>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Defitelio/defibrotide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15,257</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51,143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32,620</w:t>
            </w:r>
          </w:p>
        </w:tc>
        <w:tc>
          <w:tcPr>
            <w:tcW w:w="1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line="270" w:lineRule="exact"/>
              <w:rPr>
                <w:sz w:val="20"/>
                <w:szCs w:val="20"/>
                <w:color w:val="auto"/>
              </w:rPr>
            </w:pPr>
            <w:r>
              <w:rPr>
                <w:rFonts w:ascii="Arial" w:cs="Arial" w:eastAsia="Arial" w:hAnsi="Arial"/>
                <w:sz w:val="18"/>
                <w:szCs w:val="18"/>
                <w:color w:val="auto"/>
              </w:rPr>
              <w:t>Prialt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(ziconotide) intrathecal infusion</w:t>
            </w:r>
          </w:p>
        </w:tc>
        <w:tc>
          <w:tcPr>
            <w:tcW w:w="3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8,073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7,138</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14,282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13,902</w:t>
            </w:r>
          </w:p>
        </w:tc>
        <w:tc>
          <w:tcPr>
            <w:tcW w:w="1260" w:type="dxa"/>
            <w:vAlign w:val="bottom"/>
            <w:gridSpan w:val="2"/>
          </w:tcPr>
          <w:p>
            <w:pPr>
              <w:jc w:val="right"/>
              <w:ind w:right="28"/>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Psychiatry</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9,372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18,465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3,208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6,342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17,114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379,110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332,106</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713,026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639,141</w:t>
            </w:r>
          </w:p>
        </w:tc>
        <w:tc>
          <w:tcPr>
            <w:tcW w:w="1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1,641</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4,145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3,909</w:t>
            </w:r>
          </w:p>
        </w:tc>
        <w:tc>
          <w:tcPr>
            <w:tcW w:w="1260" w:type="dxa"/>
            <w:vAlign w:val="bottom"/>
            <w:gridSpan w:val="2"/>
          </w:tcPr>
          <w:p>
            <w:pPr>
              <w:jc w:val="right"/>
              <w:ind w:right="28"/>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381,161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333,747</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717,171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643,050</w:t>
            </w:r>
          </w:p>
        </w:tc>
        <w:tc>
          <w:tcPr>
            <w:tcW w:w="1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3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7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Xyrem product sales increased in the three and six months ended June 30, 2016 compared to the same periods in 2015, primarily due to a higher average net selling price and, to a lesser extent, an increase in sales volume. A price increase was instituted in February 2016. Xyrem product sales volume increased by 4% in each of the three and six months ended June 30, 2016 compared to the same periods in 2015. The sales volume increase was driven by an increase in the average number of patients on Xyrem, which includes new patients, patients who have restarted Xyrem therapy and active patients who remained on Xyrem therapy. Erwinaze product sales increased in the three and six months ended June 30, 2016 compared to the same periods in 2015, primarily due to price increases instituted in January 2016 and July 2015 and, to a lesser extent, an increase in sales volume, partially offset by higher chargebacks and rebates resulting from increased utilization under the 340B drug pricing discount and Medicaid programs. The Erwinaze sales volume increase was primarily driven by demand in existing treatment sites and, to a lesser extent, new treatment sites prescribing Erwinaze. In the three and six months ended June 30, 2016, Erwinaze sales volume was negatively impacted by supply challenges that temporarily disrupted our ability to supply certain markets. Defitelio/defibrotide product sales increased in the three and six months ended June 30, 2016 compared to the same periods in 2015, primarily due to the launch of Defitelio in the U.S. in April 2016 and higher net sales outside the U.S. Prialt product sales increased in the three and six months ended June 30, 2016 compared to the same periods in 2015, primarily due to an increase in sales volume. Psychiatry product sales decreased in the three and six months ended June 30, 2016 compared to the same periods in 2015, primarily due to generic competition. Other sales decreased in the six months ended June 30, 2016 compared to the same period in 2015, primarily due to our sale in March 2015 of certain products and the related business that we acquired as part of our acquisition of EUSA Pharma Inc., or EUSA Pharma, which we refer to as the EUSA Acquisition. We expect total product sales will increase in 2016 over 2015, primarily due to anticipated growth in sales of our lead marketed products, partially offset by decreases in sales of certain other products.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Contract Revenues</w:t>
      </w:r>
    </w:p>
    <w:p>
      <w:pPr>
        <w:spacing w:after="0" w:line="90"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Royalties and contract revenues increased in the three and six months ended June 30, 2016 compared to the same periods in 2015. We expect royalties and contract revenues in 2016 to increase slightly compared to 2015, primarily due to higher royalties on our out-licensed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Cost of product sales increased in the three months ended June 30, 2016 compared to the same period in 2015, primarily due to a change in product mix. Cost of product sales decreased in the six months ended June 30, 2016 compared to the same period in 2015, primarily due to a change in product mix, partially offset by an increase in net product sales. Gross margin as a percentage of net product sales was 93.7% and 93.3% in the three and six months ended June 30, 2016, respectively, compared to 93.4% and 92.2% for the same periods in 2015. The increase in our gross margin percentage in the three and six months ended June 30, 2016 was primarily due to a change in product mix. Cost of product sales is not expected to change materially in 2016 compared to 2015.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Selling, general and administrative expenses increased in the three months ended June 30, 2016 compared to the same period in 2015, primarily due to an increase in compensation-related expenses of $7.1 million driven by higher headcount and an increase in other expenses related to the expansion and support of our business. Selling, general and administrative expenses increased in the six months ended June 30, 2016 compared to the same periods in 2015, primarily due to an increase in compensation-related expenses of $15.2 million driven by higher headcount, an increase in legal fees and expenses, expenses related to the launch of Defitelio in the U.S., and an increase in other expenses related to the expansion and support of our business. We expect selling, general and administrative expenses in 2016 to increase compared to 2015, primarily due to an increase in compensation-related expenses driven by higher headcount, expenses related to the launch of Defitelio in the U.S., the preparation for the potential commercial launch of Vyxeos, increase in expenses related to Xyrem REMS and pharmacy services and other expenses related to the expansion and support of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0"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Research and development expenses consist primarily of costs related to clinical studies and outside services, personnel expenses, milestone payments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Clinical studies and outside services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25,302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43,858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31,313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Personnel expenses</w:t>
            </w:r>
          </w:p>
        </w:tc>
        <w:tc>
          <w:tcPr>
            <w:tcW w:w="36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10,999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9,746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21,227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19,854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2,790</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5,258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39,091</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27,833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70,343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55,014</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Research and development expenses increased by $11.3 million and $15.3 million in the three and six months ended June 30, 2016, respectively, compared to the same periods in 2015, primarily due to increased clinical studies and outside services costs driven primarily by costs related to three Phase 3 clinical trials for JZP-110.</w:t>
      </w:r>
    </w:p>
    <w:p>
      <w:pPr>
        <w:spacing w:after="0" w:line="46" w:lineRule="exact"/>
        <w:rPr>
          <w:sz w:val="20"/>
          <w:szCs w:val="20"/>
          <w:color w:val="auto"/>
        </w:rPr>
      </w:pPr>
    </w:p>
    <w:p>
      <w:pPr>
        <w:ind w:right="100" w:firstLine="432"/>
        <w:spacing w:after="0" w:line="220" w:lineRule="exact"/>
        <w:rPr>
          <w:sz w:val="20"/>
          <w:szCs w:val="20"/>
          <w:color w:val="auto"/>
        </w:rPr>
      </w:pPr>
      <w:r>
        <w:rPr>
          <w:rFonts w:ascii="Arial" w:cs="Arial" w:eastAsia="Arial" w:hAnsi="Arial"/>
          <w:sz w:val="16"/>
          <w:szCs w:val="16"/>
          <w:color w:val="auto"/>
        </w:rPr>
        <w:t>For 2016 and beyond, we expect that our research and development expenses will continue to increase from historical levels particularly as we initiate additional clinical trials and related development work and potentially acquire rights to additional product candidates. A discussion of the risks and uncertainties with respect to our research and development activities, including completing the development of our product candidates, and the consequences to our business, financial position and growth prospects can be found in “Risk Factors” in Part II, Item 1A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Acquired in-process research and development expense in the six months ended June 30, 2016 related to an upfront payment of $8.8 million we made in connection with the acquisition of intellectual property and know-how related to recombinant crisantaspase.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Intangible asset amortization increased in the three and six months ended June 30, 2016 compared to the same periods in 2015 primarily due to the commencement of amortization of the Defitelio U.S. intangible asset upon FDA approval in March 2016, partially offset by the cessation of amortization of certain intangible assets that were fully amortized in 2015 and the impact of foreign exchange rates on euro-denominated assets. Intangible asset amortization is not expected to change materially in 2016 compared to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In June 2015, we terminated the credit agreement that we entered into in June 2012, as subsequently amended, or the previous credit agreement, and entered into a new credit agreement, or the 2015 credit agreement. Interest expense, net decreased by $3.7 million and $7.7 million in the three and six months ended June 30, 2016 compared to the same period in 2015, primarily due to a reduction in interest rates on borrowings under the 2015 credit agreement as compared to the previous credit agreement and a lower average debt balance. On July 12, 2016, we entered into an amendment to our 2015 credit agreement that provides for a revolving credit facility of $1.25 billion, which replaced our prior revolving credit facility of $750.0 million, and a $750.0 million term loan facility, of which $721.9 million remained outstanding as of July 12, 2016. We used the proceeds of $1.0 billion of loans under the revolving credit facility, together with cash on hand, to fund the Celator Acquisition. We expect interest expense will be higher in 2016 compared to 2015 due to the increase in our average debt balance.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Gain (Loss)</w:t>
      </w:r>
    </w:p>
    <w:p>
      <w:pPr>
        <w:spacing w:after="0" w:line="90"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foreign currency loss in the six months ended June 30, 2016 primarily related to the translation of euro-denominated net monetary liabilities, including intercompany balances, held by subsidiaries with a U.S. dollar functional currency.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and Modification of Debt</w:t>
      </w:r>
    </w:p>
    <w:p>
      <w:pPr>
        <w:spacing w:after="0" w:line="90"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In the three and six months ended June 30, 2015, we recorded a loss of $16.8 million in connection with a refinancing of our term loan and revolving credit facilities in June 2015, which was comprised of $16.0 million related to the expensing of unamortized deferred financing costs and unamortized original issue discount associated with extinguished debt and $0.8 million related to new third party fees associated with the modification of existing debt.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Our income tax provision was $45.3 million and $79.4 million in the three and six months ended June 30, 2016, respectively, compared to $30.6 million and $62.7 million for the same periods in 2015. The effective tax rates were 28.9% and 30.0% for the three and six months ended June 30, 2016, respectively, compared to 25.8% and 28.3% in the same periods in 2015. The increase in the effective tax rates for the three and six months ended June 30, 2016, compared to the same periods in 2015, was primarily due to a decrease in originating tax credits and the impact of changes in tax rates in certain jurisdictions in which we operate, partially offset by changes in income mix among the various jurisdictions in which we operate. The effective tax rates for the three and six months ended June 30, 2016 were higher than the Irish statutory rate of 12.5% primarily due to income taxable at a rate higher than the Irish statutory rate, unrecognized tax benefits, and various expenses not deductible for tax purposes, partially offset by originating tax credits and deductions available in relation to subsidiary equity.</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June 30, 2016, we had cash, cash equivalents and investments of $916.4 million, borrowing availability under our revolving credit facility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$749.5 million and long-term debt of $1.3 billion. Our long-term debt included our $721.9 million aggregate principal amount term loan and $575.0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the 2021 Notes. We generated cash flows from operations of $273.3 million during the six months ended June 30, 2016 and we expect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continue to generate positive cash flows from operations during 2016.</w:t>
      </w:r>
    </w:p>
    <w:p>
      <w:pPr>
        <w:spacing w:after="0" w:line="76"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On July 12, 2016, we completed the Celator Acquisition. The aggregate cost to us of the Celator Acquisition was approximately $1.5 billion. On July 12, 2016, we entered into an amendment to our 2015 credit agreement that provides for a revolving credit facility of $1.25 billion, which replaced our prior revolving credit facility of $750.0 million, and a $750.0 million term loan facility, of which $721.9 million remained outstanding at close. We used the proceeds of $1.0 billion of loans under the revolving credit facility, together with cash on hand, to fund the Celator Acquisition and expect to use the proceeds from future loans under the revolving credit facility, if any, for general corporate purposes, including corporate development activities.</w:t>
      </w:r>
    </w:p>
    <w:p>
      <w:pPr>
        <w:spacing w:after="0" w:line="119"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 xml:space="preserve">We believe that our existing cash balances,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Part II, Item 1A “Risk Factors” of this Quarterly Report on Form 10-Q under the headings </w:t>
      </w:r>
      <w:r>
        <w:rPr>
          <w:rFonts w:ascii="Arial" w:cs="Arial" w:eastAsia="Arial" w:hAnsi="Arial"/>
          <w:sz w:val="16"/>
          <w:szCs w:val="16"/>
          <w:i w:val="1"/>
          <w:iCs w:val="1"/>
          <w:color w:val="auto"/>
        </w:rPr>
        <w:t>“Xyrem is our largest selling product, and our inability to maintain or increase sales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Xyrem would have a material adverse effect on our business, financial condition, results of operations and growth prospects,” “If generic versions of Xyrem or other sodium oxybate products that compete with Xyrem are approved and launched, sales of Xyrem would be adversely affected,” “The manufacture, distribution and sale of Xyrem are subject to significant regulatory oversight and restrictions and the requirements of a risk evaluation and mitigation strategy, and these restrictions and requirements, as well as the potential impact of changes to these restrictions and requirements, subject us to increased risks and uncertainties, any of which could negatively impact sales of Xyrem,” </w:t>
      </w:r>
      <w:r>
        <w:rPr>
          <w:rFonts w:ascii="Arial" w:cs="Arial" w:eastAsia="Arial" w:hAnsi="Arial"/>
          <w:sz w:val="16"/>
          <w:szCs w:val="16"/>
          <w:color w:val="auto"/>
        </w:rPr>
        <w:t>and</w:t>
      </w:r>
      <w:r>
        <w:rPr>
          <w:rFonts w:ascii="Arial" w:cs="Arial" w:eastAsia="Arial" w:hAnsi="Arial"/>
          <w:sz w:val="16"/>
          <w:szCs w:val="16"/>
          <w:i w:val="1"/>
          <w:iCs w:val="1"/>
          <w:color w:val="auto"/>
        </w:rPr>
        <w:t xml:space="preserve"> “To continue to grow our business, we will need to commit substantial resources, which could result in future losses or otherwise limit our opportunities or affect our ability to operate our business.” </w:t>
      </w:r>
      <w:r>
        <w:rPr>
          <w:rFonts w:ascii="Arial" w:cs="Arial" w:eastAsia="Arial" w:hAnsi="Arial"/>
          <w:sz w:val="16"/>
          <w:szCs w:val="16"/>
          <w:color w:val="auto"/>
        </w:rPr>
        <w:t>Our assumptions may prove</w:t>
      </w:r>
      <w:r>
        <w:rPr>
          <w:rFonts w:ascii="Arial" w:cs="Arial" w:eastAsia="Arial" w:hAnsi="Arial"/>
          <w:sz w:val="16"/>
          <w:szCs w:val="16"/>
          <w:i w:val="1"/>
          <w:iCs w:val="1"/>
          <w:color w:val="auto"/>
        </w:rPr>
        <w:t xml:space="preserve"> </w:t>
      </w:r>
      <w:r>
        <w:rPr>
          <w:rFonts w:ascii="Arial" w:cs="Arial" w:eastAsia="Arial" w:hAnsi="Arial"/>
          <w:sz w:val="16"/>
          <w:szCs w:val="16"/>
          <w:color w:val="auto"/>
        </w:rPr>
        <w:t>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121"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To continue to grow our business over the longer term, we plan to commit substantial resources to product acquisition and in-licensing, product development, clinical trials of product candidates and expansion of our commercial,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additional capital could be accomplished through one or more public or private debt or equity financings, collaborations or partnering arrangements. Any equity financing would be dilutive to our shareholders, and the consent of the lenders under the amended credit agreement could be required for certain financings.</w:t>
      </w:r>
    </w:p>
    <w:p>
      <w:pPr>
        <w:spacing w:after="0" w:line="46"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In November 2015, our board of directors authorized a share repurchase program pursuant to which we are authorized to repurchase a number of ordinary shares having an aggregate purchase price of up to $300 million, exclusive of any brokerage commissions. Under this share repurchase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our credit agreement, corporate and regulatory requirements and market conditions. In the six months ended June 30, 2016, we spent a total of $163.2 million to purchase 1.3 million of our ordinary shares under the share repurchase program at an average total purchase price, including commissions, of $126.74 per share. All ordinary shares repurchased by us were canceled. We temporarily suspended our share repurchase program in June 2016 in connection with the Celator Acquisition. The share repurchase program may be modified, suspended, otherwise discontinued or resumed at any time without prior notice. As of June 30, 2016, the remaining amount authorized under the share repurchase program was approximately $96.6 million.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our cash flows for the periods indicated (in thousands):</w:t>
      </w:r>
    </w:p>
    <w:p>
      <w:pPr>
        <w:spacing w:after="0" w:line="163"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273,310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237,126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(216,407)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6,271</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(9,758)</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(120,819)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237,601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Net cash provided by operating activities of $273.3 million for the six months ended June 30, 2016 related to net income of $185.4 million, adjusted for non-cash items of $121.7 million primarily related to intangible asset amortization and share-based compensation expense. This was partially offset by $33.8 million of net cash outflow related to changes in operating assets and liabilities. Net cash provided by operating activities of $237.1 million for the six months ended June 30, 2015 related to net income of $158.8 million, adjusted for non-cash items of $105.6 million primarily related to intangible asset amortization and share-based compensation expense. This was partially offset by $27.3 million of net cash outflow related to changes in operating assets and liabilities which included an increase of $13.3 million in our other non-current liabilities primarily relating to reserves for uncertain tax positions, $13.7 million in our prepaid expenses primarily due to upfront payments to a clinical research organization and a decrease in accrued liabilities of $18.1 million primarily driven by employee-related expenses, partially offset by an increase in income taxes payable.</w:t>
      </w:r>
    </w:p>
    <w:p>
      <w:pPr>
        <w:spacing w:after="0" w:line="125"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Net cash used in investing activities for the six months ended June 30, 2016 primarily related to a $150.0 million milestone payment to Sigma-Tau that was triggered by the FDA approval of Defitelio on March 30, 2016, purchase of investments of $53.5 million, an upfront payment of $8.8 million we made in connection with the acquisition of intellectual property and know-how related to recombinant crisantaspase and purchases of property and equipment of $4.2 million. Net cash provided by investing activities for the six months ended June 30, 2015 primarily related to net proceeds of $33.7 million from the sale of certain products that we originally acquired as part of the EUSA Acquisition, partially offset by purchases of property and equipment of $27.4 million primarily related to the construction of a manufacturing and development facility in Ireland.</w:t>
      </w:r>
    </w:p>
    <w:p>
      <w:pPr>
        <w:spacing w:after="0" w:line="124"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Net cash used in financing activities for the six months ended June 30, 2016 primarily related to $163.2 million used to repurchase our ordinary shares under our share repurchase program, repayments of long-term debt of $19.3 million and payment of employee withholding taxes of $14.3 million related to share-based awards, partially offset by proceeds of $14.6 million from employee equity incentive plans. Net cash provided by financing activities for the six months ended June 30, 2015 primarily related to borrowings totaling $901.0 million under the 2015 credit agreement and proceeds of $26.7 million from employee equity incentive plans, offset by a repayment of $895.4 million for the principal amount outstanding of term loans under the previous credit agreement, payment of employee withholding taxes of $16.7 million related to share-based awards and $11.7 million used to repurchase our ordinary shares under our prior share repurchase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35"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On June 18, 2015, Jazz Pharmaceuticals plc, as guarantor, and certain of its wholly owned subsidiaries, as borrowers, entered into the 2015 credit agreement that provided for a $750.0 million principal amount term loan, which was drawn in full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at closing, and a $750.0 million revolving credit facility, of which $160.0 million was drawn at closing and subsequently repaid. We used the proceeds from initial borrowings under the 2015 credit agreement to repay in full the $893.1 million principal amount of term loans outstanding under the previous credit agreement, and to pay related fees and expenses. The previous credit agreement was terminated upon repayment of the term loans outstanding thereunder.</w:t>
      </w:r>
    </w:p>
    <w:p>
      <w:pPr>
        <w:spacing w:after="0" w:line="12"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On July 12, 2016, Jazz Pharmaceuticals plc, as guarantor, and certain of its wholly owned subsidiaries, as borrowers, entered into Amendment No. 1 to our 2015 credit agreement. The amended credit agreement provides for a revolving credit facility of $1.25 billion, which replaces the revolving credit facility of $750.0 million provided for under the 2015 credit agreement, and a $750.0 million term loan facility, of which $721.9 million principal amount was outstanding as of July 12, 2016. We used the proceeds of $1.0 billion of loans under the revolving credit facility, together with cash on hand, to fund the Celator Acquisition, and we expect to use the proceeds from future loans under the revolving credit facility, if any, for general corporate purposes, including corporate development activities.</w:t>
      </w:r>
    </w:p>
    <w:p>
      <w:pPr>
        <w:spacing w:after="0" w:line="58"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Under the amended credit agreement, the term loan matures on July 12, 2021 and the revolving credit facility terminates, and any loans outstanding thereunder become due and payable, on July 12, 2021.</w:t>
      </w:r>
    </w:p>
    <w:p>
      <w:pPr>
        <w:spacing w:after="0" w:line="3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Borrowings under the amended credit agreement bear interest, at our option, at a rate equal to either (a) the LIBOR rate, plus an applicable margin ranging from 1.50% to 2.25% per annum, based upon our secured leverage ratio, or (b) the prime lending rate, plus an applicable margin ranging from 0.50% to 1.25% per annum, based upon our secured leverage ratio. The revolving credit facility has a commitment fee payable on the undrawn amount ranging from 0.25% to 0.35% per annum based upon our secured leverage ratio.</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Jazz Pharmaceuticals plc and certain of our wholly owned subsidiaries are borrowers under the amended credit agreement. The borrowers’ obligations under the amended credit agreement and any hedging or cash management obligations entered into with a lender, are guaranteed on a senior secured basis by Jazz Pharmaceuticals plc and certain of its subsidiaries (including the issuer of the 2021 Notes as described below) and are secured by substantially all of Jazz Pharmaceuticals plc’s, the borrowers’ and the guarantor subsidiaries’ assets.</w:t>
      </w:r>
    </w:p>
    <w:p>
      <w:pPr>
        <w:spacing w:after="0" w:line="13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may make voluntary prepayments of principal at any time without payment of a premium. We are required to make mandatory prepayments of the term loan (without payment of a premium) with (1) net cash proceeds from certain non-ordinary course asset sales (subject to reinvestment rights and other exceptions), (2) net cash proceeds from issuances of debt (other than certain permitted debt), and (3) casualty proceeds and condemnation awards (subject to reinvestment rights and other exceptions).</w:t>
      </w:r>
    </w:p>
    <w:p>
      <w:pPr>
        <w:spacing w:after="0" w:line="133"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Principal repayments of the term loan, which are due quarterly, are equal to 5.0% per annum of the principal amount outstanding on July 12, 2016 of $721.9 million during the first two years, 7.5% per annum during the third year, 10.0% per annum during the fourth year and 12.5% per annum during the fifth year, with any remaining balance payable on the maturity date.</w:t>
      </w:r>
    </w:p>
    <w:p>
      <w:pPr>
        <w:spacing w:after="0" w:line="4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amended credit agreement contains financial covenants that require Jazz Pharmaceuticals plc and its restricted subsidiaries to not (a) exceed a maximum secured net leverage ratio or (b) fall below a cash interest coverage ratio. We were, as of June 30, 2016, and are currently, in compliance with these financial covenants.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Exchangeable Senior Notes</w:t>
      </w:r>
    </w:p>
    <w:p>
      <w:pPr>
        <w:spacing w:after="0" w:line="17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August 2014, Jazz Pharmaceuticals plc, through its wholly owned finance subsidiary Jazz Investments I Limited, completed a private placement of $575.0 million principal amount of the 2021 Notes. The 2021 Notes are the senior unsecured obligations of Jazz Investments I Limited and are fully and unconditionally guaranteed on a senior unsecured basis by Jazz Pharmaceuticals plc. Interest on the 2021 Notes is payable semi-annually in cash in arrears on February 15 and August 15 of each year, beginning on February 15, 2015, at a rate of 1.875% per year. In certain circumstances, we may be required to pay additional amounts as a result of any applicable tax withholding or deductions required in respect of payments on the 2021 Notes. The 2021 Notes mature on August 15, 2021, unless earlier exchanged, repurchased or redeemed.</w:t>
      </w:r>
    </w:p>
    <w:p>
      <w:pPr>
        <w:spacing w:after="0" w:line="124"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The holders of the 2021 Notes have the ability to require us to repurchase all or a portion of their 2021 Notes for cash in the event we undergo certain fundamental changes, such as specified change of control transactions, our liquidation or dissolution or the delisting of our ordinary shares from The NASDAQ Global Select Market. Prior to August 15, 2021, we may redeem the 2021 Notes, in whole but not in part, subject to compliance with certain conditions, if we have, or on the next interest payment date would, become obligated to pay to the holder of any 2021 Note additional amounts as a result of certain tax-related events. We also may redeem the 2021 Notes on or after August 20, 2018,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The 2021 Notes are exchangeable at an initial exchange rate of 5.0057 ordinary shares per $1,000 principal amount of 2021 Notes, which is equivalent to an initial exchange price of approximately $199.77 per ordinary share. Upon exchange, the 2021 Notes may be settled in cash, ordinary shares or a combination of cash and ordinary shares, at our election. Our intent and policy is to settle the principal amount of the 2021 Notes in cash upon exchange. The exchange rate will be subject to adjustment in some events but will not be adjusted for any accrued and unpaid interest. In addition, following certain make-whole fundamental changes occurring prior to the maturity date of the 2021 Notes or upon our issuance of a notice of redemption, we will in certain circumstances increase the exchange rate for holders of the 2021 Notes who elect to exchange their 2021 Notes in connection with that make-whole fundamental change or during the related redemption period. Prior to February 15, 2021, the 2021 Notes will be exchangeable only upon satisfaction of certain conditions and during certain periods, and thereafter, at any time until the close of business on the second scheduled trading day immediately preceding the maturity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a summary of our contractual obligations as of June 30, 2016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Payments Due By Period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 (1)</w:t>
            </w:r>
          </w:p>
        </w:tc>
        <w:tc>
          <w:tcPr>
            <w:tcW w:w="340" w:type="dxa"/>
            <w:vAlign w:val="bottom"/>
          </w:tcPr>
          <w:p>
            <w:pPr>
              <w:spacing w:after="0"/>
              <w:rPr>
                <w:sz w:val="13"/>
                <w:szCs w:val="13"/>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3-5 Years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and other loans - principal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721,875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37,500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121,875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Term and other loans - interest (2)</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60,335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17,089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30,786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12,460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 Notes - principal</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2021 Notes - interest (3)</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59,298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10,781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21,563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21,563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 commitment fee (4)</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Commitment to investee (5)</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 (6)</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and facility lease obligations (7)</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108,919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12,685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13,627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63,182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1,582,814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112,312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208,618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617,813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644,071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80" w:hanging="316"/>
        <w:spacing w:after="0" w:line="265"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This table does not include potential future milestone payment or royalty obligations to third parties under asset purchase, product development, license and other agreements as the timing and likelihood of such milestone payments are not known, and, in the case of royalty obligations, as the amount of such obligations are not estimable. In 2014, we signed a definitive agreement with Aerial under which we acquired worldwide development, manufacturing and commercial rights to JZP-110 (other than in certain jurisdictions in Asia where SK retains rights). Aerial and SK are currently eligible to receive milestone payments up to an aggregate of $270 million based on development, regulatory and sales milestones and tiered royalties from high single digits to mid-teens based on potential future sales of JZP-110. In July 2016, we entered into an agreement with Pfenex Inc., or Pfenex, under which Pfenex granted us worldwide rights to develop and commercialize multiple early stage hematology product candidates. The agreement also includes an option for us to negotiate a license for a recombinant pegaspargase product candidate with Pfenex. Under the agreement, Pfenex received upfront and option payments totaling $15 million and may be eligible to receive additional payments of up to $166 million based on the achievement of certain development-, regulatory-, and sales-related milestones. Potential future milestone payments to other third parties under other agreements could be up to an aggregate of $257 million, of which up to $120 million will become due and payable to Perrigo Company plc (formerly Elan Pharmaceuticals, Inc.) in tiered contingent payments, with the first such payment becoming due if net sales of Prialt of at least $75 million are achieved in a calendar year. The remainder would become due and payable to other third parties upon the achievement of certain developmental, clinical, regulatory and/or commercial milestones, the timing and likelihood of which are not known. We are also obligated under these agreements to pay royalties on net sales of certain products at specified rates, which royalties are dependent on future product sales and are not provided for in the table above as they are not estimable.</w:t>
      </w:r>
    </w:p>
    <w:p>
      <w:pPr>
        <w:spacing w:after="0" w:line="3" w:lineRule="exact"/>
        <w:rPr>
          <w:rFonts w:ascii="Arial" w:cs="Arial" w:eastAsia="Arial" w:hAnsi="Arial"/>
          <w:sz w:val="17"/>
          <w:szCs w:val="17"/>
          <w:color w:val="auto"/>
        </w:rPr>
      </w:pPr>
    </w:p>
    <w:p>
      <w:pPr>
        <w:ind w:left="540" w:right="320" w:hanging="316"/>
        <w:spacing w:after="0" w:line="25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Estimated interest was calculated based on the interest rates in effect as of June 30, 2016. The interest rate for our term loan was 2.38% at June 30, 2016.</w:t>
      </w:r>
    </w:p>
    <w:p>
      <w:pPr>
        <w:ind w:left="540" w:hanging="316"/>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used the fixed interest rate of 1.875% to estimate interest owed on the 2021 Notes as of June 30, 2016 until the final maturity date in August 2021.</w:t>
      </w:r>
    </w:p>
    <w:p>
      <w:pPr>
        <w:spacing w:after="0" w:line="32" w:lineRule="exact"/>
        <w:rPr>
          <w:rFonts w:ascii="Arial" w:cs="Arial" w:eastAsia="Arial" w:hAnsi="Arial"/>
          <w:sz w:val="16"/>
          <w:szCs w:val="16"/>
          <w:color w:val="auto"/>
        </w:rPr>
      </w:pPr>
    </w:p>
    <w:p>
      <w:pPr>
        <w:ind w:left="540" w:right="40" w:hanging="316"/>
        <w:spacing w:after="0" w:line="25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revolving credit facility has a commitment fee payable on the undrawn amount ranging from 0.25% to 0.35% per annum based upon our secured leverage ratio. In the table above, we used a rate of 0.30% and assumed undrawn amounts of $749.5 million as of June 30, 2016 to estimate commitment fees owed. Undrawn borrowing capacity as of June 30, 2016 does not include an amount of $0.5 million committed under an outstanding letter of credit.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540" w:hanging="316"/>
        <w:spacing w:after="0" w:line="256"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committed to invest $25.0 million in Arrivo Bioventures, LLC which can be called on an annual basis over a five year period. The first capital call of $5.0 million was made during the second quarter of 2016. Our equity method investment is included within other non-current assets on the condensed consolidated balance sheet as of June 30, 2016.</w:t>
      </w: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primarily of non-cancelable commitments to third party manufacturers.</w:t>
      </w:r>
    </w:p>
    <w:p>
      <w:pPr>
        <w:spacing w:after="0" w:line="9" w:lineRule="exact"/>
        <w:rPr>
          <w:rFonts w:ascii="Arial" w:cs="Arial" w:eastAsia="Arial" w:hAnsi="Arial"/>
          <w:sz w:val="18"/>
          <w:szCs w:val="18"/>
          <w:color w:val="auto"/>
        </w:rPr>
      </w:pPr>
    </w:p>
    <w:p>
      <w:pPr>
        <w:ind w:left="540" w:right="120" w:hanging="316"/>
        <w:spacing w:after="0" w:line="270"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automobile lease payments for our sales force and the minimum lease payments for our office buildings, including a lease agreement we entered into in January 2015 to lease office space located in Palo Alto, California. We expect to occupy this office space by the end of 2017. We are obligated to make lease payments totaling approximately $88 million over the initial term of the lease. Not included in the table above are our estimated costs of approximately $20 million associated with the design, development and construction of tenant improvements under this lease agreement, which estimate does not include a tenant improvement allowance to be provided by the landlord. Operating expenses associated with our leased office buildings are also not included in table above.</w:t>
      </w:r>
    </w:p>
    <w:p>
      <w:pPr>
        <w:spacing w:after="0" w:line="1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table above does not reflect the additional $1.0 billion in debt we incurred in July 2016 under the amended credit agreement in connection with the Celator Acquisition. The table also does not include a fee of $7.0 million we are required to pay our investment banker as a result of the completion of the Celator Acquisition.</w:t>
      </w:r>
    </w:p>
    <w:p>
      <w:pPr>
        <w:spacing w:after="0" w:line="12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do not provide for Irish income taxes on undistributed earnings of our foreign operations that are intended to be indefinitely reinvested in our foreign subsidiaries. In addition, our liability for unrecognized tax benefits has been excluded from the above contractual obligations table as the nature and timing of future payments, if any, cannot be reasonably estimated. We do not anticipate that the amount of our existing liability for unrecognized tax benefits will significantly change in the next twelve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To understand our financial statements, it is important to understand our critical accounting estimates. The preparation of our financial statements in conformity with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in particular estimates of government rebates, which include Medicaid and TRICARE rebates, and estimated product returns. Significant estimates and assumptions are also required to determine whether to capitalize intangible assets, the amortization periods for identifiable intangible assets, the potential impairment of goodwill and other intangible assets, income taxes and share-based compensation.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w:t>
      </w:r>
    </w:p>
    <w:p>
      <w:pPr>
        <w:spacing w:after="0" w:line="6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Our critical accounting policies and significant estimates are detailed in our Annual Report on Form 10-K for the year ended December 31, 2015. Our critical accounting policies and significant estimates have not changed substantially from those previously disclosed in our Annual Report on Form 10-K for the year ended December 31,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factors in this Quarterly Report on Form 10-Q in greater detail under Part II, Item 1A “Risk Factors.” 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10-Q completely and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spacing w:after="0" w:line="24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During the three and six months ended June 30, 2016, there were no material changes to our market risk disclosures as set forth in Part II, Item 7A “Quantitative and Qualitative Disclosures About Market Risk” in our Annual Report on Form 10-K for the year ended December 31, 2015.</w:t>
      </w:r>
    </w:p>
    <w:p>
      <w:pPr>
        <w:spacing w:after="0" w:line="11" w:lineRule="exact"/>
        <w:rPr>
          <w:sz w:val="20"/>
          <w:szCs w:val="20"/>
          <w:color w:val="auto"/>
        </w:rPr>
      </w:pPr>
    </w:p>
    <w:p>
      <w:pPr>
        <w:ind w:right="300" w:firstLine="432"/>
        <w:spacing w:after="0" w:line="293"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are exposed to risks associated with changes in interest rates in connection with our term loan and borrowings under our</w:t>
      </w:r>
      <w:r>
        <w:rPr>
          <w:rFonts w:ascii="Arial" w:cs="Arial" w:eastAsia="Arial" w:hAnsi="Arial"/>
          <w:sz w:val="16"/>
          <w:szCs w:val="16"/>
          <w:i w:val="1"/>
          <w:iCs w:val="1"/>
          <w:color w:val="auto"/>
        </w:rPr>
        <w:t xml:space="preserve"> </w:t>
      </w:r>
      <w:r>
        <w:rPr>
          <w:rFonts w:ascii="Arial" w:cs="Arial" w:eastAsia="Arial" w:hAnsi="Arial"/>
          <w:sz w:val="16"/>
          <w:szCs w:val="16"/>
          <w:color w:val="auto"/>
        </w:rPr>
        <w:t>revolving credit facility. On July 12, 2016, we entered into an amendment to our 2015 credit agreement that provides for a revolving credit facility of approximately $1.25 billion, which replaced our prior revolving credit facility of $750.0 million, and a $750.0 million term loan facility, of which $721.9 million remained outstanding as of the effective date of the amended credit agreement. We used the proceeds of $1.0 billion of loans under the revolving credit facility, together with cash on hand, to fund the Celator Acquisition. Based on indebtedness under our term loan and revolving credit facility of $1.7 billion as of July 12, 2016, a 1.0% increase in interest rates would increase net interest expense for the remainder of 2016 by approximately $8.2 million.</w:t>
      </w:r>
    </w:p>
    <w:p>
      <w:pPr>
        <w:spacing w:after="0" w:line="24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We have carried out an evaluation under the supervision and with the participation of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our principal executive officer and principal financial officer, of our disclosure controls and procedures (as defined in Rule 13a-15(e) of the Securities Exchange Act of 1934, as amended) as of the end of the period covered by this Quarterly Report on Form 10-Q. Based on their evaluation, our principal executive officer and principal financial officer concluded that our disclosure controls and procedures were effective as of June 30, 2016.</w:t>
      </w:r>
    </w:p>
    <w:p>
      <w:pPr>
        <w:spacing w:after="0" w:line="100"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A control system, no matter how well conceived and operated, can provide only reasonable, not absolute,</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111"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During the quarter ended June 30, 2016, there have been no changes to our internal control over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i w:val="1"/>
          <w:iCs w:val="1"/>
          <w:color w:val="auto"/>
        </w:rPr>
        <w:t xml:space="preserve">Xyrem ANDA Matters. </w:t>
      </w:r>
      <w:r>
        <w:rPr>
          <w:rFonts w:ascii="Arial" w:cs="Arial" w:eastAsia="Arial" w:hAnsi="Arial"/>
          <w:sz w:val="17"/>
          <w:szCs w:val="17"/>
          <w:color w:val="auto"/>
        </w:rPr>
        <w:t>On October 18, 2010, we received a notice of Paragraph IV Patent Certification, or Paragraph IV Certification, from Roxane</w:t>
      </w:r>
      <w:r>
        <w:rPr>
          <w:rFonts w:ascii="Arial" w:cs="Arial" w:eastAsia="Arial" w:hAnsi="Arial"/>
          <w:sz w:val="17"/>
          <w:szCs w:val="17"/>
          <w:i w:val="1"/>
          <w:iCs w:val="1"/>
          <w:color w:val="auto"/>
        </w:rPr>
        <w:t xml:space="preserve"> </w:t>
      </w:r>
      <w:r>
        <w:rPr>
          <w:rFonts w:ascii="Arial" w:cs="Arial" w:eastAsia="Arial" w:hAnsi="Arial"/>
          <w:sz w:val="17"/>
          <w:szCs w:val="17"/>
          <w:color w:val="auto"/>
        </w:rPr>
        <w:t>Laboratories, Inc., or Roxane, that it had submitted an abbreviated new drug application, or ANDA, to the U.S. Food and Drug Administration, or FDA, requesting approval to market a generic version of Xyrem. Roxane’s initial notice alleged that all five patents then listed for Xyrem in the FDA’s publication “Approved Drug Products with Therapeutic Equivalence Evaluations,” or Orange Book, on the date of the notice are invalid, unenforceable or not infringed by Roxane’s proposed generic product. On November 22, 2010, we filed a lawsuit against Roxane in response to Roxane’s initial notice in the U.S. District Court for the District of New Jersey, or the District Court, seeking a permanent injunction to prevent Roxane from introducing a generic version of Xyrem that would infringe our patents. In accordance with the Drug Price Competition and Patent Term Restoration Act of 1984, or Hatch-Waxman Act, as a result of our having filed a timely lawsuit against Roxane, FDA approval of Roxane’s ANDA was stayed for 30 months, or until April 2013. That stay has expired. Additional patents covering Xyrem have been issued since December 2010, and after receiving Paragraph IV Certification notices from Roxane with respect to those patents, we have filed additional lawsuits against Roxane to include these additional patents in the litigation. All of the lawsuits filed against Roxane between 2010 and 2012 were consolidated by the District Court into a single case, which we refer to as the first Roxane consolidated case. In the first Roxane consolidated case, we allege that 10 of our patents covering Xyrem are or will be infringed by Roxane’s ANDA and seek a permanent injunction to prevent Roxane from launching a generic version of Xyrem that would infringe these patents.</w:t>
      </w:r>
    </w:p>
    <w:p>
      <w:pPr>
        <w:spacing w:after="0" w:line="8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After receiving additional Paragraph IV Certification notices from Roxane, we filed three actions against Roxane in the District Court on February 20, 2015, June 1, 2015 and January 27, 2016 that were consolidated by the District Court into a second case, which we refer to as the second Roxane consolidated case. In the second Roxane consolidated case, we allege that five of our patents covering Xyrem are or will be infringed by Roxane’s ANDA and seek a permanent injunction to prevent Roxane from introducing a generic version of Xyrem that would infringe those patents.</w:t>
      </w:r>
    </w:p>
    <w:p>
      <w:pPr>
        <w:spacing w:after="0" w:line="171"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In December 2013, the District Court permitted Roxane to amend its answer in the first Roxane consolidated case to allege certain equitable defenses, and the parties were given additional time for discovery on those new defenses. In addition, in March 2014, the District Court granted our motion to bifurcate and stay the portion of the first Roxane consolidated case regarding patents related to the distribution system for Xyrem.</w:t>
      </w:r>
    </w:p>
    <w:p>
      <w:pPr>
        <w:spacing w:after="0" w:line="166"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 xml:space="preserve">In April 2015, Roxane moved in the second Roxane consolidated case to dismiss claims involving our patent covering a part of the Xyrem label that instructs prescribers on adjusting the dose of Xyrem when it is being co-administered with divalproex sodium (also known as valproate or valproic acid) on the grounds that this patent does not cover patentable subject matter. In October 2015, the District Court administratively terminated this motion to dismiss (without prejudice) pending the outcome of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IPR, proceedings before the Patent Trial or Appeal Board, or PTAB, relating to the patent that was the subject of Roxane’s motion. Such IPR proceedings were filed by Par, Ranbaxy and Amneal and are discussed below.</w:t>
      </w:r>
    </w:p>
    <w:p>
      <w:pPr>
        <w:spacing w:after="0" w:line="158" w:lineRule="exact"/>
        <w:rPr>
          <w:sz w:val="20"/>
          <w:szCs w:val="20"/>
          <w:color w:val="auto"/>
        </w:rPr>
      </w:pPr>
    </w:p>
    <w:p>
      <w:pPr>
        <w:ind w:right="580" w:firstLine="432"/>
        <w:spacing w:after="0" w:line="308" w:lineRule="auto"/>
        <w:rPr>
          <w:sz w:val="20"/>
          <w:szCs w:val="20"/>
          <w:color w:val="auto"/>
        </w:rPr>
      </w:pPr>
      <w:r>
        <w:rPr>
          <w:rFonts w:ascii="Arial" w:cs="Arial" w:eastAsia="Arial" w:hAnsi="Arial"/>
          <w:sz w:val="17"/>
          <w:szCs w:val="17"/>
          <w:color w:val="auto"/>
        </w:rPr>
        <w:t>In July 2016, the District Court determined that it would try all of the patents at issue in the first and second Roxane consolidated cases together, including patents that were previously bifurcated and stayed, and set trial in this consolidated case for the second quarter of 2017.</w:t>
      </w:r>
    </w:p>
    <w:p>
      <w:pPr>
        <w:spacing w:after="0" w:line="14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actual timing of events in our litigation with Roxane may be earlier or later than we currently anticipate. We cannot predict the specific timing or outcome of events in these matters or the impact of these matters on other ongoing proceedings with any ANDA filer.</w:t>
      </w:r>
    </w:p>
    <w:p>
      <w:pPr>
        <w:spacing w:after="0" w:line="170"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On December 10, 2012, we received notice of Paragraph IV Certification from Amneal Pharmaceuticals, LLC, or Amneal, that it had submitted an ANDA to the FDA requesting approval to market a generic version of Xyrem. On January 18, 2013, we filed a lawsuit against Amneal in the District Court alleging that our patents covering Xyrem are infringed or will be infringed by Amneal’s ANDA and seeking a permanent injunction to prevent Amneal from introducing a generic version of Xyrem that would infringe these patents. On November 21, 2013, we received notice of Paragraph IV Certification from Par Pharmaceutical, Inc., or Par, that it had submitted an ANDA to the FDA requesting approval to market a generic version of Xyrem. On December 27, 2013, we filed a lawsuit against Par in the District Court alleging that our patents covering Xyrem are infringed or will be infringed by Par’s ANDA and seeking a permanent injunction to prevent Par from introducing a generic version of Xyrem that would infringe these patents.</w:t>
      </w:r>
    </w:p>
    <w:p>
      <w:pPr>
        <w:spacing w:after="0" w:line="16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April 2014, Amneal asked the District Court to consolidate its case with the Par case, stating that both cases would proceed on the schedule for the Par case. The District Court granted this request in May 2014. The order consolidating the cases provides that Amneal’s 30-month stay period will be extended to coincide with the date of Par’s 30-month stay period. The stay expired on May 20, 2016.</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Additional patents covering Xyrem have issued since April 2014 and have been listed in the Orange Book for Xyrem. Amneal and Par have given us additional notices of Paragraph IV Certifications regarding such patents, and we have filed additional lawsuits against Amneal and Par in the District Court alleging that our patents covering Xyrem are infringed or will be infringed by Amneal’s and Par’s ANDAs and seeking a permanent injunction to prevent Amneal and Par from introducing a generic version of Xyrem that will infringe these patents. In March 2016, Par moved to dismiss claims involving our patents covering a part of the Xyrem label that instructs prescribers on adjusting the dose of Xyrem when it is being co-administered with divalproex sodium (also known as valproate or valproic acid).</w:t>
      </w:r>
    </w:p>
    <w:p>
      <w:pPr>
        <w:spacing w:after="0" w:line="19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June 4, 2014, we received a notice of Paragraph IV Certification from Ranbaxy Laboratories Limited, or Ranbaxy, that it had submitted an ANDA to the FDA requesting approval to market a generic version of Xyrem. On July 15, 2014, we filed a lawsuit against Ranbaxy in the District Court alleging that our patents covering Xyrem are infringed or will be infringed by Ranbaxy’s ANDA and seeking a permanent injunction to prevent Ranbaxy from introducing a generic version of Xyrem that will infringe these patents. Since June 2014, we have received additional notices of Paragraph IV Certification from Ranbaxy regarding newly issued patents for Xyrem listed in the Orange Book, and we have filed additional lawsuits against Ranbaxy in the District Court alleging that our patents covering Xyrem are infringed or will be infringed by Ranbaxy’s ANDA and seeking a permanent injunction to prevent Ranbaxy from introducing a generic version of Xyrem that will infringe these patents. In May 2016, the Ranbaxy litigation was settled as described below.</w:t>
      </w:r>
    </w:p>
    <w:p>
      <w:pPr>
        <w:spacing w:after="0" w:line="16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October 30, 2014, we received a notice of Paragraph IV Certification from Watson Laboratories, Inc., or Watson, that it had submitted an ANDA to the FDA requesting approval to market a generic version of Xyrem. On December 11, 2014, we filed a lawsuit against Watson in the District Court alleging that our patents covering Xyrem are or will be infringed by Watson’s ANDA and seeking a permanent injunction to prevent Watson from introducing a generic version of Xyrem that would infringe these patents. In March 2015, Watson moved to dismiss the portion of the case based on our Orange Book-listed patents covering the distribution system for Xyrem on the grounds that these patents do not cover patentable subject matter. In November 2015, the District Court administratively terminated this motion to dismiss (without prejudice) pending the outcome of IPR proceedings before the PTAB relating to the patents that were the subject of Watson’s motion. Since March 2015, we have received an additional notice of Paragraph IV Certification from Watson regarding newly issued patents for Xyrem listed in the Orange Book, and we have filed an additional lawsuit against Watson in the District Court alleging that our patents covering Xyrem are or will be infringed by Watson’s ANDA and seeking a permanent injunction to prevent Watson from introducing a generic version of Xyrem that would infringe these patents.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April 2015, the District Court issued an order that consolidated all then-pending lawsuits against Amneal, Par, Ranbaxy and Watson into one case.</w:t>
      </w:r>
    </w:p>
    <w:p>
      <w:pPr>
        <w:spacing w:after="0" w:line="248"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On June 8, 2015, we received a Paragraph IV Certification from Wockhardt Bio AG, or Wockhardt, that it had submitted an ANDA to the FDA requesting approval to market a generic version of Xyrem. On July 17, 2015, we filed a lawsuit in the District Court alleging that our patents covering Xyrem were or would be infringed by Wockhardt’s ANDA and seeking a permanent injunction to prevent Wockhardt from introducing a generic version of Xyrem that would infringe our patents. On November 26, 2015, we received an additional notice of Paragraph IV Certification from Wockhardt regarding newly issued patents listed in the Orange Book, and we filed an additional lawsuit against Wockhardt in the District Court alleging that our patents covering Xyrem were or would be infringed by Wockhardt’s ANDA and seeking a permanent injunction to prevent Wockhardt from introducing a generic version of Xyrem that would infringe these patents. In April 2016, the Wockhardt litigation was settled as set forth below.</w:t>
      </w:r>
    </w:p>
    <w:p>
      <w:pPr>
        <w:spacing w:after="0" w:line="17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On July 23, 2015, we received a Paragraph IV Certification from Lupin Inc., or Lupin, that it had submitted an ANDA to the FDA requesting approval to market a generic version of Xyrem. On September 2, 2015, we filed a lawsuit in the District Court alleging that our patents covering Xyrem are or will be infringed by Lupin’s ANDA and seeking a permanent injunction to prevent Lupin from introducing a generic version of Xyrem that would infringe our patents.</w:t>
      </w:r>
    </w:p>
    <w:p>
      <w:pPr>
        <w:spacing w:after="0" w:line="18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In January 2016, the District Court issued an order consolidating all of the cases then pending against Amneal, Par, Ranbaxy, Watson, Wockhardt and Lupin into a single case for all purposes. In April 2016, the District Court issued orders consolidating two cases against Amneal and Ranbaxy relating to later-issued patents with the previously consolidated case against Amneal, Par, Ranbaxy, Watson and Lupin. In June 2016, the District Court issued an order consolidating a case against Watson relating to a later-issued patent with the previously consolidated case against Amneal, Par, Watson and Lupin.</w:t>
      </w:r>
    </w:p>
    <w:p>
      <w:pPr>
        <w:spacing w:after="0" w:line="4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entered into settlement agreements with Wockhardt and Ranbaxy on April 18, 2016 and May 9, 2016, respectively, that resolved our patent litigation against Wockhardt and Ranbaxy. Under the settlement agreements, we granted each of Wockhardt and Ranbaxy a license to manufacture, market, and sell its generic version of Xyrem on or after December 31, 2025, or earlier depending on the occurrence of certain events. The specific terms of the settlement agreements are confidential.</w:t>
      </w:r>
    </w:p>
    <w:p>
      <w:pPr>
        <w:spacing w:after="0" w:line="7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settlements with Wockhardt and Ranbaxy do not resolve the litigation against Amneal, Par, Watson and Lupin, which is ongoing. We cannot predict the specific timing or outcome of events in this matter with respect to the remaining defendants or the impact of developments involving any specific parties or patents on other ongoing proceedings with any ANDA filer.</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i w:val="1"/>
          <w:iCs w:val="1"/>
          <w:color w:val="auto"/>
        </w:rPr>
        <w:t>Xyrem Post-Grant Patent Review Matters</w:t>
      </w:r>
      <w:r>
        <w:rPr>
          <w:rFonts w:ascii="Arial" w:cs="Arial" w:eastAsia="Arial" w:hAnsi="Arial"/>
          <w:sz w:val="18"/>
          <w:szCs w:val="18"/>
          <w:color w:val="auto"/>
        </w:rPr>
        <w:t>. In January 2015, certain of the ANDA filers filed petitions for IPR with respect to the validity of six patents</w:t>
      </w:r>
      <w:r>
        <w:rPr>
          <w:rFonts w:ascii="Arial" w:cs="Arial" w:eastAsia="Arial" w:hAnsi="Arial"/>
          <w:sz w:val="18"/>
          <w:szCs w:val="18"/>
          <w:i w:val="1"/>
          <w:iCs w:val="1"/>
          <w:color w:val="auto"/>
        </w:rPr>
        <w:t xml:space="preserve"> </w:t>
      </w:r>
      <w:r>
        <w:rPr>
          <w:rFonts w:ascii="Arial" w:cs="Arial" w:eastAsia="Arial" w:hAnsi="Arial"/>
          <w:sz w:val="18"/>
          <w:szCs w:val="18"/>
          <w:color w:val="auto"/>
        </w:rPr>
        <w:t>covering the distribution system for Xyrem. In July 2015, the PTAB issued decisions instituting IPR trials with respect to these petitions. In July 2016, the PTAB issued final decisions that the claims of these six patents are unpatentable; as a result, if the Court of Appeals for the Federal Circuit upholds those decisions or if the time for appeal expires, these claims will be canceled. We expect to appeal these decisions to the United States Court of Appeals for the Federal Circuit. In September 2015, certain of the ANDA filers filed a petition for IPR with respect to the validity of an additional patent covering the distribution system for Xyrem. In March 2016, the PTAB issued a decision instituting an IPR trial with respect to three claims of the patent subject to this petition, and we expect the PTAB to issue a final decision on the validity of these claims in March 2017. The PTAB denied the petition with respect to the other 25 claims of the patent.</w:t>
      </w:r>
    </w:p>
    <w:p>
      <w:pPr>
        <w:spacing w:after="0" w:line="5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In October 2015, Ranbaxy and Par filed petitions for IPR with respect to the validity of one of our patents covering a method for prescribing Xyrem when it is being co-administered with divalproex sodium, and Amneal filed an IPR petition on the same patent in February 2016. In April 2016, the PTAB denied Par’s petition in its entirety and issued a decision on Ranbaxy’s petition, instituting an IPR trial with respect to 16 of the claims under the patent subject to this petition and denying the petition with respect to the other 18 claims. In July 2016, the PTAB denied Amneal’s petition in its entirety. In March 2016, Ranbaxy filed a petition for IPR with respect to the validity of the second of our patents covering a method for prescribing Xyrem when it is being co-administered with divalproex sodium. In connection with settlement of our litigation with Ranbaxy, both of the IPR petitions filed by Ranbaxy were terminated.</w:t>
      </w:r>
    </w:p>
    <w:p>
      <w:pPr>
        <w:spacing w:after="0" w:line="54"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color w:val="auto"/>
        </w:rPr>
        <w:t>In December 2015, Wockhardt filed a petition for IPR with respect to the validity of one of our patents covering the formulation of Xyrem. In connection with settlement of our patent litigation with Wockhardt, this IPR petition was terminated.</w:t>
      </w:r>
    </w:p>
    <w:p>
      <w:pPr>
        <w:spacing w:after="0" w:line="35" w:lineRule="exact"/>
        <w:rPr>
          <w:sz w:val="20"/>
          <w:szCs w:val="20"/>
          <w:color w:val="auto"/>
        </w:rPr>
      </w:pPr>
    </w:p>
    <w:p>
      <w:pPr>
        <w:jc w:val="both"/>
        <w:ind w:right="220" w:firstLine="405"/>
        <w:spacing w:after="0" w:line="259" w:lineRule="auto"/>
        <w:rPr>
          <w:sz w:val="20"/>
          <w:szCs w:val="20"/>
          <w:color w:val="auto"/>
        </w:rPr>
      </w:pPr>
      <w:r>
        <w:rPr>
          <w:rFonts w:ascii="Arial" w:cs="Arial" w:eastAsia="Arial" w:hAnsi="Arial"/>
          <w:sz w:val="18"/>
          <w:szCs w:val="18"/>
          <w:color w:val="auto"/>
        </w:rPr>
        <w:t>We cannot predict whether additional post-grant patent review challenges will be filed by any of the ANDA filers or any other entity, the outcome of any pending IPR or other proceeding, the outcome of any appeal of the July 2016 IPR decisions with respect to six patents covering the distribution system for Xyrem, whether the PTAB will institute any petitioned IPR proceeding that has not yet been instituted, or the impact any IPR or other proceeding might have on ongoing ANDA litigation proceedings or other aspects of our Xyrem business.</w:t>
      </w:r>
    </w:p>
    <w:p>
      <w:pPr>
        <w:spacing w:after="0" w:line="5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i w:val="1"/>
          <w:iCs w:val="1"/>
          <w:color w:val="auto"/>
        </w:rPr>
        <w:t xml:space="preserve">Shareholder Litigation Matters Relating to Celator Acquisition. </w:t>
      </w:r>
      <w:r>
        <w:rPr>
          <w:rFonts w:ascii="Arial" w:cs="Arial" w:eastAsia="Arial" w:hAnsi="Arial"/>
          <w:sz w:val="17"/>
          <w:szCs w:val="17"/>
          <w:color w:val="auto"/>
        </w:rPr>
        <w:t>On June 21, 2016, a putative class-action lawsuit challenging our acquisition of Celator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Pharmaceuticals, Inc., or Celator, captioned </w:t>
      </w:r>
      <w:r>
        <w:rPr>
          <w:rFonts w:ascii="Arial" w:cs="Arial" w:eastAsia="Arial" w:hAnsi="Arial"/>
          <w:sz w:val="17"/>
          <w:szCs w:val="17"/>
          <w:i w:val="1"/>
          <w:iCs w:val="1"/>
          <w:color w:val="auto"/>
        </w:rPr>
        <w:t>Dunbar v. Celator Pharmaceuticals, Inc.,</w:t>
      </w:r>
      <w:r>
        <w:rPr>
          <w:rFonts w:ascii="Arial" w:cs="Arial" w:eastAsia="Arial" w:hAnsi="Arial"/>
          <w:sz w:val="17"/>
          <w:szCs w:val="17"/>
          <w:color w:val="auto"/>
        </w:rPr>
        <w:t xml:space="preserve"> or the Dunbar action, was filed in the Superior Court of New Jersey. We refer to our acquisition of Celator in this report as the Celator Acquisition. The complaint was filed against Celator, each member of the Celator board of directors, Jazz Pharmaceuticals plc and our wholly owned subsidiary Plex Merger Sub, Inc., or Plex. The complaint generally alleges that the Celator directors breached their fiduciary duties in connection with the Celator Acquisition, and that Jazz Pharmaceuticals plc and Plex aided and abetted these alleged breaches of fiduciary duty. The complaint also generally asserts that the Celator directors breached their fiduciary duties to Celator’s public stockholders by, among other things, (i) agreeing to sell Celator to us at an inadequate price, (ii) implementing an unfair process, (iii) agreeing to certain provisions of the merger agreement for the Celator Acquisition that allegedly favored us and deterred alternative bids, and (iv) failing to disclose purportedly material information in Celator’s Schedule 14D-9 filing with the U.S. Securities and Exchange Commission, or SEC. The plaintiff sought, among other things, an injunction against the consummation of the Celator Acquisition and an award of costs and expenses, including a reasonable allowance for attorneys’ and experts’ fees.</w:t>
      </w:r>
    </w:p>
    <w:p>
      <w:pPr>
        <w:spacing w:after="0" w:line="4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 xml:space="preserve">Between June 27, 2016 and June 29, 2016, two putative class-action lawsuits challenging the Celator Acquisition, captioned </w:t>
      </w:r>
      <w:r>
        <w:rPr>
          <w:rFonts w:ascii="Arial" w:cs="Arial" w:eastAsia="Arial" w:hAnsi="Arial"/>
          <w:sz w:val="18"/>
          <w:szCs w:val="18"/>
          <w:i w:val="1"/>
          <w:iCs w:val="1"/>
          <w:color w:val="auto"/>
        </w:rPr>
        <w:t>Palmisciano v. Celator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Pharmaceuticals, Inc., </w:t>
      </w:r>
      <w:r>
        <w:rPr>
          <w:rFonts w:ascii="Arial" w:cs="Arial" w:eastAsia="Arial" w:hAnsi="Arial"/>
          <w:sz w:val="18"/>
          <w:szCs w:val="18"/>
          <w:color w:val="auto"/>
        </w:rPr>
        <w:t>or the Palmisciano action, and</w:t>
      </w:r>
      <w:r>
        <w:rPr>
          <w:rFonts w:ascii="Arial" w:cs="Arial" w:eastAsia="Arial" w:hAnsi="Arial"/>
          <w:sz w:val="18"/>
          <w:szCs w:val="18"/>
          <w:i w:val="1"/>
          <w:iCs w:val="1"/>
          <w:color w:val="auto"/>
        </w:rPr>
        <w:t xml:space="preserve"> Barreto v. Celator Pharmaceuticals, Inc.</w:t>
      </w:r>
      <w:r>
        <w:rPr>
          <w:rFonts w:ascii="Arial" w:cs="Arial" w:eastAsia="Arial" w:hAnsi="Arial"/>
          <w:sz w:val="18"/>
          <w:szCs w:val="18"/>
          <w:color w:val="auto"/>
        </w:rPr>
        <w:t>, or the Barreto action</w:t>
      </w:r>
      <w:r>
        <w:rPr>
          <w:rFonts w:ascii="Arial" w:cs="Arial" w:eastAsia="Arial" w:hAnsi="Arial"/>
          <w:sz w:val="18"/>
          <w:szCs w:val="18"/>
          <w:i w:val="1"/>
          <w:iCs w:val="1"/>
          <w:color w:val="auto"/>
        </w:rPr>
        <w:t xml:space="preserve">, </w:t>
      </w:r>
      <w:r>
        <w:rPr>
          <w:rFonts w:ascii="Arial" w:cs="Arial" w:eastAsia="Arial" w:hAnsi="Arial"/>
          <w:sz w:val="18"/>
          <w:szCs w:val="18"/>
          <w:color w:val="auto"/>
        </w:rPr>
        <w:t>were filed in the District Court.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complaints were filed against Celator and each member of the Celator board of directors. The complaints assert causes of action under sections 14 and 20 of the Securities Exchange Act of 1934, as amended, or the Exchange Act, predicated on Celator’s and the Celator directors’ alleged failure to disclose purportedly material information in Celator’s Schedule 14D-9 filing with the SEC. The plaintiffs sought, among other things, an injunction against the consummation of the Celator Acquisition and an award of costs and expenses, including a reasonable allowance for attorneys’ and experts’ fees. Neither Jazz Pharmaceuticals plc nor Plex were named defendants in these actions.</w:t>
      </w:r>
    </w:p>
    <w:p>
      <w:pPr>
        <w:spacing w:after="0" w:line="5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July 6, 2016, the defendants to the Dunbar action, the Palmisciano action and the Barreto action entered into a memorandum of understanding regarding settlement of these actions. The memorandum of understanding outlines the terms of the parties’ agreement in principle to settle and release all claims which were or could have been asserted in these actions. In consideration for such settlement and release, the parties to these actions agreed, among other things, that Celator would amend its Schedule 14D-9 to include certain supplemental disclosures. The Schedule 14D-9 was amended by Celator on July 6, 2016, and the Celator Acquisition was completed on July 12, 2016. The settlement remains subject to, among other items, the execution of a stipulation of settlement by the parties, final approval of the settlement by the District Court in the Barreto action and dismissal with prejudice of the Dunbar action and the Palmisciano action.</w:t>
      </w:r>
    </w:p>
    <w:p>
      <w:pPr>
        <w:spacing w:after="0" w:line="8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280" w:firstLine="432"/>
        <w:spacing w:after="0" w:line="297" w:lineRule="auto"/>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 decline due to any of these risks, and you may lose all or part of your investment. In assessing these risks, you should also refer to the other information contained in this Quarterly Report on Form 10-Q, including our condensed consolidated financial statements and accompanying notes.</w:t>
      </w:r>
    </w:p>
    <w:p>
      <w:pPr>
        <w:spacing w:after="0" w:line="10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We have marked with an asterisk (*) those risks described below that reflect substantive changes from, or additions to, the risks described in our Annual Report on Form 10-K for the year ended December 31,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Xyrem and the Significant Impact of Xyrem Sales</w:t>
      </w:r>
    </w:p>
    <w:p>
      <w:pPr>
        <w:spacing w:after="0" w:line="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Xyrem is our largest selling product, and our inability to maintain or increase sales of Xyrem would have a material adverse effect on our business, financial condition, results of operations and growth prospects.*</w:t>
      </w:r>
    </w:p>
    <w:p>
      <w:pPr>
        <w:spacing w:after="0" w:line="35"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Xyrem is our largest selling product, and our financial results are significantly influenced by sales of Xyrem, which accounted for 74% of our net product sales for the three and six months ended June 30, 2016 and 73% of our net product sales for the year ended December 31, 2015. Our future plans assume that sales of Xyrem will increase. While Xyrem product sales grew from 2012 to 2015, we cannot assure you that we can maintain sales of Xyrem at or near current levels, or that Xyrem sales will continue to grow. We have periodically increased the price of Xyrem, most recently in February 2016, and we cannot assure you that price adjustments we have taken or may take in the future will not negatively affect Xyrem sales volumes.</w:t>
      </w:r>
    </w:p>
    <w:p>
      <w:pPr>
        <w:spacing w:after="0" w:line="2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In addition to other risks described herein, our ability to maintain or increase Xyrem product sales is subject to a number of risks and uncertainties, the most important of which are discussed in more detail below, including those related to:</w:t>
      </w:r>
    </w:p>
    <w:p>
      <w:pPr>
        <w:spacing w:after="0" w:line="62" w:lineRule="exact"/>
        <w:rPr>
          <w:sz w:val="20"/>
          <w:szCs w:val="20"/>
          <w:color w:val="auto"/>
        </w:rPr>
      </w:pPr>
    </w:p>
    <w:p>
      <w:pPr>
        <w:ind w:left="720" w:right="400" w:hanging="320"/>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introduction of a generic version of Xyrem or an alternative product for treating cataplexy and/or excessive daytime sleepiness, or EDS, in narcolepsy;</w:t>
      </w:r>
    </w:p>
    <w:p>
      <w:pPr>
        <w:spacing w:after="0" w:line="170" w:lineRule="exact"/>
        <w:rPr>
          <w:rFonts w:ascii="Arial" w:cs="Arial" w:eastAsia="Arial" w:hAnsi="Arial"/>
          <w:sz w:val="18"/>
          <w:szCs w:val="18"/>
          <w:color w:val="auto"/>
        </w:rPr>
      </w:pPr>
    </w:p>
    <w:p>
      <w:pPr>
        <w:ind w:left="720" w:right="80" w:hanging="320"/>
        <w:spacing w:after="0" w:line="308"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changed or increased regulatory restrictions, including changes to our Xyrem risk evaluation and mitigation strategy, or REMS, the development of a single shared REMS for sodium oxybate with or by potential generic competitors or other regulatory actions by the FDA;</w:t>
      </w:r>
    </w:p>
    <w:p>
      <w:pPr>
        <w:spacing w:after="0" w:line="146" w:lineRule="exact"/>
        <w:rPr>
          <w:rFonts w:ascii="Arial" w:cs="Arial" w:eastAsia="Arial" w:hAnsi="Arial"/>
          <w:sz w:val="17"/>
          <w:szCs w:val="17"/>
          <w:color w:val="auto"/>
        </w:rPr>
      </w:pPr>
    </w:p>
    <w:p>
      <w:pPr>
        <w:ind w:left="720" w:hanging="320"/>
        <w:spacing w:after="0"/>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suppliers’ ability to obtain sufficient quotas from the U.S. Drug Enforcement Administration, or DEA, to satisfy our needs for Xyrem;</w:t>
      </w:r>
    </w:p>
    <w:p>
      <w:pPr>
        <w:spacing w:after="0" w:line="236" w:lineRule="exact"/>
        <w:rPr>
          <w:rFonts w:ascii="Arial" w:cs="Arial" w:eastAsia="Arial" w:hAnsi="Arial"/>
          <w:sz w:val="17"/>
          <w:szCs w:val="17"/>
          <w:color w:val="auto"/>
        </w:rPr>
      </w:pPr>
    </w:p>
    <w:p>
      <w:pPr>
        <w:ind w:left="720" w:hanging="320"/>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supply, manufacturing or distribution problems arising with any of our suppliers or distributors, all of whom are sole source providers for us;</w:t>
      </w:r>
    </w:p>
    <w:p>
      <w:pPr>
        <w:spacing w:after="0" w:line="248" w:lineRule="exact"/>
        <w:rPr>
          <w:rFonts w:ascii="Arial" w:cs="Arial" w:eastAsia="Arial" w:hAnsi="Arial"/>
          <w:sz w:val="16"/>
          <w:szCs w:val="16"/>
          <w:color w:val="auto"/>
        </w:rPr>
      </w:pPr>
    </w:p>
    <w:p>
      <w:pPr>
        <w:ind w:left="720" w:hanging="320"/>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increase in pricing pressure from or restrictions on reimbursement imposed by third party payors;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healthcare laws and policy, including changes in requirements for rebates, reimbursement and coverage by federal healthcare programs;</w:t>
      </w:r>
    </w:p>
    <w:p>
      <w:pPr>
        <w:spacing w:after="0" w:line="248" w:lineRule="exact"/>
        <w:rPr>
          <w:rFonts w:ascii="Arial" w:cs="Arial" w:eastAsia="Arial" w:hAnsi="Arial"/>
          <w:sz w:val="16"/>
          <w:szCs w:val="16"/>
          <w:color w:val="auto"/>
        </w:rPr>
      </w:pPr>
    </w:p>
    <w:p>
      <w:pPr>
        <w:ind w:left="720" w:hanging="320"/>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acceptance of Xyrem by physicians and patients, even in the face of negative publicity that surfaces from time to time;</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to our label, including new safety warnings or changes to our boxed warning, that further restrict how we market and sell Xyrem; and</w:t>
      </w:r>
    </w:p>
    <w:p>
      <w:pPr>
        <w:spacing w:after="0" w:line="236" w:lineRule="exact"/>
        <w:rPr>
          <w:rFonts w:ascii="Arial" w:cs="Arial" w:eastAsia="Arial" w:hAnsi="Arial"/>
          <w:sz w:val="17"/>
          <w:szCs w:val="17"/>
          <w:color w:val="auto"/>
        </w:rPr>
      </w:pPr>
    </w:p>
    <w:p>
      <w:pPr>
        <w:ind w:left="720" w:hanging="320"/>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operational disruptions at the central pharmacy or any failure to comply with our REMS obligations to the satisfaction of the FDA.</w:t>
      </w:r>
    </w:p>
    <w:p>
      <w:pPr>
        <w:spacing w:after="0" w:line="19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These and the other risks described below related to Xyrem product sales and protection of our proprietary rights could have a material adverse effect on our ability to maintain or increase sales of Xyrem.</w:t>
      </w:r>
    </w:p>
    <w:p>
      <w:pPr>
        <w:spacing w:after="0" w:line="3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If sales of Xyrem were to decline significantly, we might need to reduce our operating expenses or seek to raise additional funds, which would have a material adverse effect on our business, financial condition, results of operations and growth prospects, or we might not be able to acquire, in-license or develop new products in the future to grow our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generic versions of Xyrem or other sodium oxybate products that compete with Xyrem are approved and launched, sales of Xyrem would be adversely affected.*</w:t>
      </w:r>
    </w:p>
    <w:p>
      <w:pPr>
        <w:spacing w:after="0" w:line="35"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Although Xyrem is covered by patents covering its manufacture, formulation, distribution system and method of use, seven third parties have filed ANDAs seeking FDA approval of generic versions of Xyrem, and additional third parties may also seek to introduce generic versions of Xyrem or other sodium oxybate products for treatment of cataplexy and/or EDS in narcolepsy. If one or more companies receive FDA approval of an ANDA for a generic version of Xyrem or a new drug application, or NDA, for other sodium oxybate products, it is possible that such company or companies could introduce generic versions of Xyrem or other sodium oxybate products before our patents expire if they do not infringe our patents, if it is determined that our patents are invalid or unenforceable, or if such company or companies decide, before applicable ongoing patent litigation is concluded, to launch a sodium oxybate product at risk of potentially being held liable for damages for patent infringement.</w:t>
      </w:r>
    </w:p>
    <w:p>
      <w:pPr>
        <w:spacing w:after="0" w:line="43"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Seven companies have sent us notices that they have filed ANDAs with the FDA seeking approval to market a generic version of Xyrem. Additional ANDAs could also be filed requesting approval to market generic versions of Xyrem. If any of these applications is approved, and a generic version of Xyrem is introduced, our sales of Xyrem would be adversely affected. We have filed lawsuits against the current ANDA filers seeking to prevent the introduction of a generic version of Xyrem that would infringe our patents, but we cannot assure you that any of the lawsuits will prevent the introduction of a generic version of Xyrem for any particular length of time, or at all. In the second quarter of 2016, we settled two of these lawsuits, granting the settling ANDA applicants a license to manufacture, market and sell their generic versions of Xyrem on or after December 31, 2025, or earlier depending on the occurrence of certain events. The court in which our ANDA litigation is ongoing has determined that all of our pending patent litigation against the first ANDA filer, Roxane, will be consolidated for trial and set trial in this consolidated case for the second quarter of 2017. However, the actual timing of events may be earlier or later than we currently anticipate, and we cannot predict the timing or outcome of events in this or the other ANDA litigation.</w:t>
      </w:r>
    </w:p>
    <w:p>
      <w:pPr>
        <w:spacing w:after="0" w:line="32"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Certain ANDA filers have filed petitions for IPR with respect to the validity of certain distribution, method of use and formulation patents covering Xyrem. The PTAB instituted IPR trials with respect to patents and patent claims that are the subject of certain of these petitions. In July 2016, the PTAB issued final decisions that the claims of six distribution system patents that were the subject of certain IPR trials are unpatentable; as a result, if the Court of Appeals for the Federal Circuit upholds those decisions or if the time for appeal expires, these claims will be canceled. For a description of these matters, see “Legal Proceedings” in Part II, Item 1 of this Quarterly Report on Form 10-Q. We cannot predict whether additional post-grant patent review challenges will be filed by any of the ANDA filers or any other entity, the outcome of any pending IPR or other proceeding, the outcome of any appeal of the July 2016 IPR decisions with respect to six patents covering the distribution system for Xyrem, whether the PTAB will institute any petitioned IPR proceeding that has not yet been instituted, or the impact any IPR or other proceeding might have on ongoing ANDA litigation proceedings or other aspects of our Xyrem business.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accordance with the Hatch-Waxman Act, as a result of our having filed a timely lawsuit against Roxane, FDA approval of Roxane’s ANDA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stayed until April 2013, but that stay has expired. We do not know the status of Roxane’s ANDA and cannot predict what actions the FDA or Roxane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take with respect to Roxane’s ANDA. If Roxane’s ANDA is approved by the FDA, Roxane may seek to launch a generic version of Xyrem prior to a District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or potential appellate court, decision in our ongoing patent litigation. While, in the event of such commercialization, Roxane would be liable to us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damages in the event we ultimately prevail in the patent litigation, we expect that the introduction of generic competition for Xyrem would have a material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adverse effect on our business, financial condition, results of operations and growth prospects. For more information, see the risk factor under the heading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manufacture, distribution and sale of Xyrem are subject to significant regulatory oversight and restrictions and the requirements of a risk evaluation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mitigation strategy, and these restrictions and requirements, as well as the potential impact of changes to these restrictions and requirements, subject us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increased risks and uncertainties, any of which could negatively impact sales of Xyrem” </w:t>
      </w:r>
      <w:r>
        <w:rPr>
          <w:rFonts w:ascii="Arial" w:cs="Arial" w:eastAsia="Arial" w:hAnsi="Arial"/>
          <w:sz w:val="17"/>
          <w:szCs w:val="17"/>
          <w:color w:val="auto"/>
        </w:rPr>
        <w:t>in Part II, Item 1A of this Quarterly Report on Form 10-Q.</w:t>
      </w:r>
    </w:p>
    <w:p>
      <w:pPr>
        <w:spacing w:after="0" w:line="8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Other companies could also develop products that are similar, but not identical, to Xyrem, such as an alternative formulation or an alternative formulation combined with a different delivery technology, and seek approval in the U.S. by referencing Xyrem and relying, to some degree, on the FDA’s approval of Xyrem and related determinations of safety and efficacy. For example, a company that is using its proprietary technology for delivery of a sodium oxybate formulation to eliminate second nighttime dosing for narcolepsy patients has stated that it anticipates commencing a Phase 3 pivotal trial in 2016. If this company is successful in developing a sodium oxybate formulation that could be effectively used with its delivery technology and is able to obtain FDA or other regulatory approval for its product to treat narcolepsy patients, we expect the launch of such a product would have a material adverse effect on our business, financial condition, results of operations and growth prospects.</w:t>
      </w:r>
    </w:p>
    <w:p>
      <w:pPr>
        <w:spacing w:after="0" w:line="4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 generic manufacturer or manufacturer of an alternative sodium oxybate product would need to obtain quotas from the DEA in order to manufacture in the U.S. both the active pharmaceutical ingredient and the finished product to compete with Xyrem. The DEA limits the quantity of certain Schedule I controlled substances that may be produced in the U.S. in any given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calendar year through a quota system. DEA quotas are required for our sodium oxybate supplier to supply us with sodium oxybate and for our Xyrem supplier to obtain sodium oxybate in order to supply us with Xyrem. Because the DEA typically grants quotas on an annual basis, our sodium oxybate supplier and our Xyrem supplier are required to request and justify allocation of sufficient annual DEA quotas as well as additional DEA quotas if our commercial or clinical requirements exceed the allocated quotas throughout the year. For the last few years, our suppliers were allocated only a portion of the published annual aggregate quota for the active pharmaceutical ingredient. Consequently, a generic manufacturer or manufacturer of an alternative sodium oxybate product may be able to obtain a portion of the annual aggregate active pharmaceutical ingredient quota. In the past, we have also had to engage in lengthy efforts to obtain the needed quotas after the original annual quotas had first been allocated. For 2016, both our sodium oxybate supplier and our Xyrem supplier have been allocated most, but not all, of their respective requested quotas. If, in the future, we and our suppliers cannot obtain the quotas that are needed on a timely basis, or at all, our business, financial condition, results of operations and growth prospects could be materially and adversely affected.</w:t>
      </w:r>
    </w:p>
    <w:p>
      <w:pPr>
        <w:spacing w:after="0" w:line="32" w:lineRule="exact"/>
        <w:rPr>
          <w:sz w:val="20"/>
          <w:szCs w:val="20"/>
          <w:color w:val="auto"/>
        </w:rPr>
      </w:pPr>
    </w:p>
    <w:p>
      <w:pPr>
        <w:ind w:right="180" w:firstLine="432"/>
        <w:spacing w:after="0" w:line="271" w:lineRule="auto"/>
        <w:rPr>
          <w:sz w:val="20"/>
          <w:szCs w:val="20"/>
          <w:color w:val="auto"/>
        </w:rPr>
      </w:pPr>
      <w:r>
        <w:rPr>
          <w:rFonts w:ascii="Arial" w:cs="Arial" w:eastAsia="Arial" w:hAnsi="Arial"/>
          <w:sz w:val="17"/>
          <w:szCs w:val="17"/>
          <w:color w:val="auto"/>
        </w:rPr>
        <w:t xml:space="preserve">After any introduction of a generic competitor, a significant percentage of the prescriptions written for Xyrem may be filled with the generic version, resulting in a loss in sales of Xyrem. Generic competition often also results in decreases in the prices at which branded products can be sold, particularly when there is more than one generic available in the marketplace. In addition, certain U.S. state laws allow for, and in a few instances in the absence of specific instructions from the prescribing physician mandate, the dispensing of generic products rather than branded products where a generic version is available. We expect that generic competition for Xyrem would have a material adverse effect on our business, financial condition, results of operations and growth prospects. For more information about potential competition for Xyrem, see the risk factor under the heading </w:t>
      </w:r>
      <w:r>
        <w:rPr>
          <w:rFonts w:ascii="Arial" w:cs="Arial" w:eastAsia="Arial" w:hAnsi="Arial"/>
          <w:sz w:val="17"/>
          <w:szCs w:val="17"/>
          <w:i w:val="1"/>
          <w:iCs w:val="1"/>
          <w:color w:val="auto"/>
        </w:rPr>
        <w:t>“We face substantial competition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companies, including companies with greater resources, including larger sales organizations and more experience working with large and diverse product portfolios, than we have” </w:t>
      </w:r>
      <w:r>
        <w:rPr>
          <w:rFonts w:ascii="Arial" w:cs="Arial" w:eastAsia="Arial" w:hAnsi="Arial"/>
          <w:sz w:val="17"/>
          <w:szCs w:val="17"/>
          <w:color w:val="auto"/>
        </w:rPr>
        <w:t>in Part II, Item 1A of this Quarterly Report on Form 10-Q.</w:t>
      </w:r>
    </w:p>
    <w:p>
      <w:pPr>
        <w:spacing w:after="0" w:line="44"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The manufacture, distribution and sale of Xyrem are subject to significant regulatory oversight and restrictions and the requirements of a risk evaluation and mitigation strategy, and these restrictions and requirements, as well as the potential impact of changes to these restrictions and requirements, subject us to increased risks and uncertainties, any of which could negatively impact sales of Xyrem.*</w:t>
      </w:r>
    </w:p>
    <w:p>
      <w:pPr>
        <w:spacing w:after="0" w:line="3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As a condition of approval of Xyrem, the FDA mandated that we maintain a risk management and controlled distribution system, or Xyrem Risk Management Program, in conjunction with Xyrem’s approval by the FDA to ensure the safe distribution of Xyrem and minimize the risk of misuse, abuse and diversion of sodium oxybate. The Xyrem Risk Management Program included elements such as patient and physician education, a database of information to track and report certain information, and the use of a single central pharmacy to distribute Xyrem. The Xyrem Risk Management Program, adopted in 2002 before the FDA had authority to require REMS, was deemed to be an approved REMS pursuant to the Food and Drug Administration Amendments Act, or FDAAA. The FDAAA, which amended the Federal Food, Drug and Cosmetic Act, or FDCA, required that deemed REMS and related documents be updated to comply with the current requirements for REMS documents. Pursuant to the FDCA, we engaged with the FDA starting in 2008 to finalize our REMS documents for Xyrem, including initiating dispute resolution procedures with the FDA in February 2014. On February 27, 2015, the FDA notified Jazz Pharmaceuticals, Inc., our wholly owned subsidiary, of (i) the FDA’s approval of the REMS for Xyrem in the form submitted by us in November 2014, which includes provisions requiring distribution through a single pharmacy, and (ii) the FDA’s denial of our dispute resolution appeal as moot as a result of approval of the Xyrem REMS.</w:t>
      </w:r>
    </w:p>
    <w:p>
      <w:pPr>
        <w:spacing w:after="0" w:line="48"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Xyrem REMS approval letter included statements from the FDA that (i) the approval action should not be construed or understood as agreement with what the FDA stated was our position that dispensing through a single pharmacy is the only way to ensure that the benefits of Xyrem outweigh its risks, and that the FDA has continuing concerns that limiting the distribution of Xyrem to one pharmacy imposes burdens on patient access and the healthcare delivery system, and (ii) as with all REMS, the FDA intends to evaluate the Xyrem REMS on an ongoing basis and will require modifications as may be appropriate. We cannot predict whether the FDA will seek to require or ultimately require modifications to the Xyrem REMS, including with respect to the distribution system, or seek to otherwise impose or ultimately impose additional requirements to the Xyrem REMS, or the potential timing, terms or propriety thereof. Any such modifications or additional requirements could potentially make it easier for ANDA applicants to obtain FDA approval of their ANDAs, make it more difficult or expensive for us to distribute Xyrem, make distribution easier for future generic competitors, impair the safety profile of Xyrem and/or negatively affect sales of Xyrem.</w:t>
      </w:r>
    </w:p>
    <w:p>
      <w:pPr>
        <w:spacing w:after="0" w:line="89"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In August 2015, we implemented the final Xyrem REMS, which was approved by the FDA in February 2015, and we have submitted and expect to continue to submit ongoing assessments as set forth in the FDA’s Xyrem REMS approval letter. The process under which enrolled patients receive Xyrem is complex, and we have transitioned most prescribers and patients to the final Xyrem REMS process and documentation requirements. We have notified the FDA regarding our anticipated timing for completing the transition of the remaining prescribers and patients and that we will continue to work with the remaining prescribers and patients to complete the transition. However, we cannot guarantee that we will be able to transition the</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remaining prescribers and patients to the final Xyrem REMS, that our notification and ongoing assessments will be satisfactory to the FDA or that the Xyrem REMS will satisfy the FDA’s expectations in its evaluation of the Xyrem REMS on an ongoing basis. Any failure to comply with the REMS obligations could result in enforcement action by the FDA; lead to changes in our Xyrem REMS obligations; negatively affect sales of Xyrem; result in additional costs and expenses for us; and/or take a significant amount of time, any of which could materially and adversely affect our business, financial condition, results of operations and growth prospects.</w:t>
      </w:r>
    </w:p>
    <w:p>
      <w:pPr>
        <w:spacing w:after="0" w:line="161"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While we have an exclusive agreement with Express Scripts Specialty Distribution Services, Inc., or Express Scripts, the central pharmacy for Xyrem, through June 2017, if the central pharmacy does not fulfill its contractual obligations to us, fails to meet the requirements of the Xyrem REMS applicable to the central pharmacy, provides timely notice that it wants to terminate our agreement, refuses or fails to adequately serve patients, or fails to promptly and adequately address operational challenges, whether expected or unexpected, the fulfillment of Xyrem prescriptions and our sales would be adversely affected. If we change to a new central pharmacy, new contracts might be required with government and other insurers who pay for Xyrem, and the terms of any new contracts could be less favorable to us than current agreements. In addition, any new central pharmacy would need to be registered with the DEA and would also need to implement the particular processes, procedures and activities necessary to distribute Xyrem under the Xyrem REMS. Transitioning to a new pharmacy could result in product shortages, which would negatively affect sales of Xyrem, result in additional costs and expenses for us and/or take a significant amount of time, any of which could materially and adversely affect our business, financial condition, results of operations and growth prospects.</w:t>
      </w:r>
    </w:p>
    <w:p>
      <w:pPr>
        <w:spacing w:after="0" w:line="32"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Section 505-1(i)(1) of the FDCA generally provides that (i) an ANDA that references a drug subject to a REMS with elements to assure safe use, or ETASU, is required to have a REMS with the same elements as the referenced drug, and (ii) the ANDA drug and the referenced drug shall use a single shared system to assure safe use. However, the FDA may waive this requirement for a single shared system and approve an ANDA with a separate REMS with differing but comparable aspects of ETASU if the FDA either determines that the burden of creating a single shared system outweighs its benefit, or if the ANDA applicant certifies that it has been unable to obtain a license to any aspects of the REMS for the referenced drug that are covered by a patent or a trade secret. The FDCA provides that the FDA may seek to negotiate a license between the ANDA applicant and the sponsor of the referenced drug before granting a waiver of the single shared system requirement.</w:t>
      </w:r>
    </w:p>
    <w:p>
      <w:pPr>
        <w:spacing w:after="0" w:line="43"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 xml:space="preserve">We and the ANDA applicants had interactions with respect to developing a single shared REMS for several years. The ANDA applicants are not currently engaging in single shared REMS discussions with us, but we are seeking to continue the interactions with the goal of developing a single shared REMS. However, we cannot predict whether, or to what extent, our interactions with the ANDA applicants will resume or whether we will develop a single shared REMS with the ANDA applicants. We are aware that, separate from the discussions with us, the FDA and ANDA applicants have exchanged communications regarding a REMS for sodium oxybate. If we and the ANDA applicants do not develop a single shared REMS, or we do not license or share intellectual property pertinent to our Xyrem REMS with generic competitors within a time frame or on terms that the FDA considers acceptable, the FDA may assert that its waiver authority permits it to approve the ANDA of one or more generic competitors with a separate REMS that differs in some aspects from our approved Xyrem REMS. The FDA has exercised this waiver authority in two instances of which we are aware, including most recently in connection with the May 2015 approval of </w:t>
      </w:r>
      <w:r>
        <w:rPr>
          <w:rFonts w:ascii="Arial" w:cs="Arial" w:eastAsia="Arial" w:hAnsi="Arial"/>
          <w:sz w:val="17"/>
          <w:szCs w:val="17"/>
          <w:color w:val="211E1E"/>
        </w:rPr>
        <w:t>Roxane Laboratories’</w:t>
      </w:r>
      <w:r>
        <w:rPr>
          <w:rFonts w:ascii="Arial" w:cs="Arial" w:eastAsia="Arial" w:hAnsi="Arial"/>
          <w:sz w:val="17"/>
          <w:szCs w:val="17"/>
          <w:color w:val="auto"/>
        </w:rPr>
        <w:t xml:space="preserve"> ANDA for a</w:t>
      </w:r>
      <w:r>
        <w:rPr>
          <w:rFonts w:ascii="Arial" w:cs="Arial" w:eastAsia="Arial" w:hAnsi="Arial"/>
          <w:sz w:val="17"/>
          <w:szCs w:val="17"/>
          <w:color w:val="211E1E"/>
        </w:rPr>
        <w:t>losetron hydrochloride tablets as generic versions of Lotronex tablets. This</w:t>
      </w:r>
      <w:r>
        <w:rPr>
          <w:rFonts w:ascii="Arial" w:cs="Arial" w:eastAsia="Arial" w:hAnsi="Arial"/>
          <w:sz w:val="17"/>
          <w:szCs w:val="17"/>
          <w:color w:val="auto"/>
        </w:rPr>
        <w:t xml:space="preserve"> </w:t>
      </w:r>
      <w:r>
        <w:rPr>
          <w:rFonts w:ascii="Arial" w:cs="Arial" w:eastAsia="Arial" w:hAnsi="Arial"/>
          <w:sz w:val="17"/>
          <w:szCs w:val="17"/>
          <w:color w:val="211E1E"/>
        </w:rPr>
        <w:t xml:space="preserve">waiver was subject to the condition that the waiver-granted REMS system be open to all current and future sponsors of ANDAs or NDAs for alosetron hydrochloride products, and the FDA limited the grant of the waiver to a term of three years, subject to potential extension by the FDA. </w:t>
      </w:r>
      <w:r>
        <w:rPr>
          <w:rFonts w:ascii="Arial" w:cs="Arial" w:eastAsia="Arial" w:hAnsi="Arial"/>
          <w:sz w:val="17"/>
          <w:szCs w:val="17"/>
          <w:color w:val="000000"/>
        </w:rPr>
        <w:t>We also may face</w:t>
      </w:r>
      <w:r>
        <w:rPr>
          <w:rFonts w:ascii="Arial" w:cs="Arial" w:eastAsia="Arial" w:hAnsi="Arial"/>
          <w:sz w:val="17"/>
          <w:szCs w:val="17"/>
          <w:color w:val="211E1E"/>
        </w:rPr>
        <w:t xml:space="preserve"> </w:t>
      </w:r>
      <w:r>
        <w:rPr>
          <w:rFonts w:ascii="Arial" w:cs="Arial" w:eastAsia="Arial" w:hAnsi="Arial"/>
          <w:sz w:val="17"/>
          <w:szCs w:val="17"/>
          <w:color w:val="000000"/>
        </w:rPr>
        <w:t>pressure to develop a single shared REMS with potential generic competitors for Xyrem that is different from the approved Xyrem REMS or to license or share intellectual property pertinent to the Xyrem REMS, or elements of the Xyrem REMS, including proprietary data required for safe distribution of sodium oxybate, with generic competitors. We cannot predict the outcome or impact on our business of any future action that we may take with respect to the development of a single shared REMS for sodium oxybate, licensing or sharing intellectual property pertinent to our Xyrem REMS or elements of the Xyrem REMS, or the FDA’s response to a request by one or more ANDA applicants for a waiver of the requirement for a single shared REMS, including in connection with a certification that the applicant had been unable to obtain a license. The FDA’s response to any such request could include approval of one or more ANDAs. In addition, federal legislation, including the Fair Access for Safe and Timely Generics Act of 2015 and the Creating and Restoring Equal Access to Equivalent Samples Act of 2016, or CREATES Act, has been proposed to amend the statutory criteria regarding the development of a shared REMS, the standards for granting a waiver of the requirement of a shared REMS and/or potential penalties for failure to agree to conditions for a shared REMS. In particular, the CREATES Act would, among other things, provide a private right of action for ANDA filers to sue NDA holders for failure to negotiate a shared REMS within a certain time frame. We cannot predict whether any such federal legislation will be enacted or, if enacted, its impact on our business. For more information, see the risk factors under the headings “</w:t>
      </w:r>
      <w:r>
        <w:rPr>
          <w:rFonts w:ascii="Arial" w:cs="Arial" w:eastAsia="Arial" w:hAnsi="Arial"/>
          <w:sz w:val="17"/>
          <w:szCs w:val="17"/>
          <w:i w:val="1"/>
          <w:iCs w:val="1"/>
          <w:color w:val="000000"/>
        </w:rPr>
        <w:t>If generic versions of Xyrem or other sodium oxybate products that compete with</w:t>
      </w:r>
      <w:r>
        <w:rPr>
          <w:rFonts w:ascii="Arial" w:cs="Arial" w:eastAsia="Arial" w:hAnsi="Arial"/>
          <w:sz w:val="17"/>
          <w:szCs w:val="17"/>
          <w:color w:val="000000"/>
        </w:rPr>
        <w:t xml:space="preserve"> </w:t>
      </w:r>
      <w:r>
        <w:rPr>
          <w:rFonts w:ascii="Arial" w:cs="Arial" w:eastAsia="Arial" w:hAnsi="Arial"/>
          <w:sz w:val="17"/>
          <w:szCs w:val="17"/>
          <w:i w:val="1"/>
          <w:iCs w:val="1"/>
          <w:color w:val="000000"/>
        </w:rPr>
        <w:t>Xyrem are approved and launched, sales of Xyrem would be adversely affected</w:t>
      </w:r>
      <w:r>
        <w:rPr>
          <w:rFonts w:ascii="Arial" w:cs="Arial" w:eastAsia="Arial" w:hAnsi="Arial"/>
          <w:sz w:val="17"/>
          <w:szCs w:val="17"/>
          <w:color w:val="000000"/>
        </w:rPr>
        <w:t>” and “</w:t>
      </w:r>
      <w:r>
        <w:rPr>
          <w:rFonts w:ascii="Arial" w:cs="Arial" w:eastAsia="Arial" w:hAnsi="Arial"/>
          <w:sz w:val="17"/>
          <w:szCs w:val="17"/>
          <w:i w:val="1"/>
          <w:iCs w:val="1"/>
          <w:color w:val="000000"/>
        </w:rPr>
        <w:t>We have incurred and expect to continue to incur substantial costs as a result of litigation or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other proceedings relating to patents, other intellectual property rights and related matters, and we may be unable to protect our rights to, or commercialize, our products” </w:t>
      </w:r>
      <w:r>
        <w:rPr>
          <w:rFonts w:ascii="Arial" w:cs="Arial" w:eastAsia="Arial" w:hAnsi="Arial"/>
          <w:sz w:val="18"/>
          <w:szCs w:val="18"/>
          <w:color w:val="auto"/>
        </w:rPr>
        <w:t>in Part II, Item 1A of this Quarterly Report on Form 10-Q.</w:t>
      </w:r>
    </w:p>
    <w:p>
      <w:pPr>
        <w:spacing w:after="0" w:line="35"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Federal Trade Commission, or FTC, has been paying increasing attention to the use of REMS by companies selling branded products, in particular to whether a REMS may be deliberately being used to reduce the risk of competition from generic drugs in a way that may be deemed to be anticompetitive. It is possible that the FTC, other governmental authorities or others could claim or determine that we are using the Xyrem REMS in an anticompetitive manner (including in light of the FDA’s statement in the Xyrem REMS approval letter that the Xyrem REMS could be used in an anticompetitive manner inconsistent with applicable provisions of the FDCA) or have engaged in other anticompetitive practices. The FDCA further states that a REMS ETASU shall not be used by an NDA holder to block or delay generic drugs from entering the market. Several of the ANDA applicants have asserted that our patents covering the distribution system for Xyrem should not have been listed in the Orange Book and that the Xyrem REMS is blocking competition. We cannot predict the outcome of these claims in the ongoing litigation, or the impact of any similar claims that may be made in the future.</w:t>
      </w:r>
    </w:p>
    <w:p>
      <w:pPr>
        <w:spacing w:after="0" w:line="31"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As required by the FDA and other regulatory agencies, the adverse event information that we collect for Xyrem is regularly reported to the FDA and could result in the FDA requiring changes to Xyrem labeling or taking or requiring us to take other actions that could have an adverse effect on Xyrem’s commercial success. Our Xyrem REMS includes unique features that provide more extensive information about adverse events, including deaths, than is generally available for other products that are not subject to similar REMS requirements.</w:t>
      </w:r>
    </w:p>
    <w:p>
      <w:pPr>
        <w:spacing w:after="0" w:line="52"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Any failure to demonstrate our substantial compliance with applicable regulatory requirements to the satisfaction of the FDA or any other regulatory authority could result in such regulatory authorities taking actions in the future, which could have a material adverse effect on Xyrem sales and therefore on our business, financial condition, results of operations and growth prospects. For more information, see the risk factor under the heading “</w:t>
      </w:r>
      <w:r>
        <w:rPr>
          <w:rFonts w:ascii="Arial" w:cs="Arial" w:eastAsia="Arial" w:hAnsi="Arial"/>
          <w:sz w:val="18"/>
          <w:szCs w:val="18"/>
          <w:i w:val="1"/>
          <w:iCs w:val="1"/>
          <w:color w:val="auto"/>
        </w:rPr>
        <w:t>We are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ongoing regulatory obligations and oversight, which may result in significant additional expense and limit our ability to commercialize our products</w:t>
      </w:r>
      <w:r>
        <w:rPr>
          <w:rFonts w:ascii="Arial" w:cs="Arial" w:eastAsia="Arial" w:hAnsi="Arial"/>
          <w:sz w:val="18"/>
          <w:szCs w:val="18"/>
          <w:color w:val="auto"/>
        </w:rPr>
        <w:t>” in Part II, Item 1A of this Quarterly Report on Form 10-Q.</w:t>
      </w:r>
    </w:p>
    <w:p>
      <w:pPr>
        <w:spacing w:after="0" w:line="5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FDA has required that Xyrem’s labeling include a boxed warning regarding the risk of central nervous system depression and misuse and abuse. A boxed warning is the strongest type of warning that the FDA can require for a drug product and warns prescribers that the drug carries a significant risk of serious or even life-threatening adverse effects. A boxed warning also means, among other things, that the product cannot be advertised through reminder ads, or ads that mention the pharmaceutical brand name but not the indication or medical condition it treats. We cannot predict whether the FDA will require additional warnings, including boxed warnings, to be included on Xyrem’s labeling. Warnings in the Xyrem labeling and any limitations on our ability to advertise and promote Xyrem may have affected, and could in the future negatively affect, Xyrem sales and therefore our business, financial condition, results of operations and growth prospects.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While Xyrem remains our largest product, our success also depends on our ability to effectively commercialize our other products and, in the case of our newly acquired product candidate, Vyxeos, our ability to obtain regulatory approval in the United States and Europe and, if approved, to successfully launch and commercialize Vyxeos. Our inability to do so could have a material adverse effect on our business, financial condition, results of operations and growth prospects.*</w:t>
      </w:r>
    </w:p>
    <w:p>
      <w:pPr>
        <w:spacing w:after="0" w:line="5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addition to Xyrem, we are commercializing a portfolio of products, including our other lead marketed products, Erwinaze and Defitelio, and we have made a significant investment in Vyxeos, which is currently not approved as a marketed product in any jurisdiction.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Erwinaze</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 xml:space="preserve">Erwinaze (called Erwinase in markets outside the U.S.), a biologic product, is used in conjunction with chemotherapy to treat patients with acute lymphoblastic leukemia, or ALL, with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Erwinaze was approved by the FDA under a biologics license application, or BLA, and was launched in the U.S. in November 2011. It is also being sold under marketing authorizations, named patient programs, temporary use authorizations or similar authorizations in multiple countries in Europe and elsewhere. Erwinaze is licensed from and manufactured by a single source, Porton Biopharma Limited, or PBL, which is wholly owned by the U.K. Secretary of State for Health. Our agreement with PBL, including our license, expires in December 2020, subject to five-year extensions unless terminated by either party in writing prior to a fixed date before the end of the then-current term.</w:t>
      </w:r>
    </w:p>
    <w:p>
      <w:pPr>
        <w:spacing w:after="0" w:line="5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 xml:space="preserve">Erwinaze represents an important part of our strategy to grow sales of our existing products. However, our ability to successfully and sustainably maintain or grow sales of Erwinaze is subject to a number of challenges, including the limited population of patients with ALL and the incidence of hypersensitivity reactions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within that population and our need to apply for and receive marketing authorizations, through the European Union’s, or EU’s, mutual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recognition procedure or otherwise, in certain additional countries so we can launch promotional efforts in those countries. Another significant challenge to our ability to maintain current sales levels and to increase sales is our extremely limited inventory of Erwinaze and our need to avoid supply interruptions of Erwinaze due to capacity constraints, production delays, quality or regulatory challenges or other manufacturing difficulties. See the discussion regarding Erwinaze supply issues in the risk factor under the heading “</w:t>
      </w:r>
      <w:r>
        <w:rPr>
          <w:rFonts w:ascii="Arial" w:cs="Arial" w:eastAsia="Arial" w:hAnsi="Arial"/>
          <w:sz w:val="18"/>
          <w:szCs w:val="18"/>
          <w:i w:val="1"/>
          <w:iCs w:val="1"/>
          <w:color w:val="auto"/>
        </w:rPr>
        <w:t>We depend on single source suppliers for each of our products, product candidates and their</w:t>
      </w:r>
      <w:r>
        <w:rPr>
          <w:rFonts w:ascii="Arial" w:cs="Arial" w:eastAsia="Arial" w:hAnsi="Arial"/>
          <w:sz w:val="18"/>
          <w:szCs w:val="18"/>
          <w:color w:val="auto"/>
        </w:rPr>
        <w:t xml:space="preserve"> </w:t>
      </w:r>
      <w:r>
        <w:rPr>
          <w:rFonts w:ascii="Arial" w:cs="Arial" w:eastAsia="Arial" w:hAnsi="Arial"/>
          <w:sz w:val="18"/>
          <w:szCs w:val="18"/>
          <w:i w:val="1"/>
          <w:iCs w:val="1"/>
          <w:color w:val="auto"/>
        </w:rPr>
        <w:t>active pharmaceutical ingredients. The loss of any of these suppliers, or delays or problems in the supply of our products for commercial sale or our product candidates for use in our clinical trials, could materially and adversely affect our business, financial condition, results of operations and growth prospects</w:t>
      </w:r>
      <w:r>
        <w:rPr>
          <w:rFonts w:ascii="Arial" w:cs="Arial" w:eastAsia="Arial" w:hAnsi="Arial"/>
          <w:sz w:val="18"/>
          <w:szCs w:val="18"/>
          <w:color w:val="auto"/>
        </w:rPr>
        <w:t>” in</w:t>
      </w:r>
      <w:r>
        <w:rPr>
          <w:rFonts w:ascii="Arial" w:cs="Arial" w:eastAsia="Arial" w:hAnsi="Arial"/>
          <w:sz w:val="18"/>
          <w:szCs w:val="18"/>
          <w:i w:val="1"/>
          <w:iCs w:val="1"/>
          <w:color w:val="auto"/>
        </w:rPr>
        <w:t xml:space="preserve"> </w:t>
      </w:r>
      <w:r>
        <w:rPr>
          <w:rFonts w:ascii="Arial" w:cs="Arial" w:eastAsia="Arial" w:hAnsi="Arial"/>
          <w:sz w:val="18"/>
          <w:szCs w:val="18"/>
          <w:color w:val="auto"/>
        </w:rPr>
        <w:t>Part II, Item 1A of this Quarterly Report on Form 10-Q.</w:t>
      </w:r>
    </w:p>
    <w:p>
      <w:pPr>
        <w:spacing w:after="0" w:line="54" w:lineRule="exact"/>
        <w:rPr>
          <w:sz w:val="20"/>
          <w:szCs w:val="20"/>
          <w:color w:val="auto"/>
        </w:rPr>
      </w:pPr>
    </w:p>
    <w:p>
      <w:pPr>
        <w:ind w:right="320" w:firstLine="432"/>
        <w:spacing w:after="0" w:line="297" w:lineRule="auto"/>
        <w:rPr>
          <w:sz w:val="20"/>
          <w:szCs w:val="20"/>
          <w:color w:val="auto"/>
        </w:rPr>
      </w:pPr>
      <w:r>
        <w:rPr>
          <w:rFonts w:ascii="Arial" w:cs="Arial" w:eastAsia="Arial" w:hAnsi="Arial"/>
          <w:sz w:val="16"/>
          <w:szCs w:val="16"/>
          <w:color w:val="auto"/>
        </w:rPr>
        <w:t>We also face numerous other risks that may impact Erwinaze sales, including regulatory risks, the development of new asparaginase treatments or treatment protocols that could reduce the rate of hypersensitivity in patients with ALL, the development of new treatment protocols for ALL that may not include asparaginase-containing regimens, difficulties with obtaining and maintaining favorable pricing and reimbursement arrangements, and potential competition from future biosimilar products. In addition, if we fail to comply with our obligations under our agreement with the licensor and supplier of Erwinaze or lose exclusive rights to Erwinaze, or otherwise fail to maintain or grow sales of Erwinaze, our growth prospects could be negatively affected.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Defitelio</w:t>
      </w:r>
    </w:p>
    <w:p>
      <w:pPr>
        <w:spacing w:after="0" w:line="9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made a significant investment in Defitelio in 2014, adding the product to our portfolio as a result of our acquisition of Gentium S.r.l, or Gentium, which we refer to as the Gentium Acquisition, and then securing worldwide rights to the product by acquiring rights to defibrotide in the Americas in August 2014. We launched Defitelio in certain European countries in 2014 and continue to launch in additional European countries on a rolling basis. On March 30, 2016, the FDA approved our NDA for Defitelio for the treatment of adult and pediatric patients with hepatic veno-occlusive disease, or VOD, also known as sinusoidal obstruction syndrome, or SOS, with renal or pulmonary dysfunction following hematopoietic stem cell transplantation, or HSCT. We launched Defitelio in the U.S. shortly after FDA approval. Our ability to realize the anticipated benefits from this investment is subject to risks and uncertainties, including:</w:t>
      </w:r>
    </w:p>
    <w:p>
      <w:pPr>
        <w:spacing w:after="0" w:line="54" w:lineRule="exact"/>
        <w:rPr>
          <w:sz w:val="20"/>
          <w:szCs w:val="20"/>
          <w:color w:val="auto"/>
        </w:rPr>
      </w:pPr>
    </w:p>
    <w:p>
      <w:pPr>
        <w:ind w:left="660" w:right="10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acceptance of Defitelio in the U.S. by hospital pharmacy and therapeutics committees and the availability of adequate coverage and reimbursement by government programs and third party payors;</w:t>
      </w:r>
    </w:p>
    <w:p>
      <w:pPr>
        <w:spacing w:after="0" w:line="3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market acceptance of Defitelio at its commercial price now that it is no longer available to new patients under an expanded access treatment protocol;</w:t>
      </w:r>
    </w:p>
    <w:p>
      <w:pPr>
        <w:spacing w:after="0" w:line="3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lack of experience of U.S. physicians in diagnosing and treating VOD, particularly in adults, and the possibility that physicians may delay initiation of treatment or terminate treatment before the end of the recommended dosing schedule;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maintain or grow sales of Defitelio in Europe;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problems in the supply or manufacture of the product;</w:t>
      </w:r>
    </w:p>
    <w:p>
      <w:pPr>
        <w:spacing w:after="0" w:line="90"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limited size of the population of VOD patients who are indicated for treatment with Defitelio (particularly if changes in HSCT treatment protocols reduce the incidence of VOD);</w:t>
      </w:r>
    </w:p>
    <w:p>
      <w:pPr>
        <w:spacing w:after="0" w:line="35"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meet the post-marketing commitments and requirements imposed by the FDA in connection with its approval of our NDA for Defitelio;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marketing approval in other countries and to develop the product for additional indications.</w:t>
      </w:r>
    </w:p>
    <w:p>
      <w:pPr>
        <w:spacing w:after="0" w:line="90"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We are in the process of making pricing and reimbursement submissions with respect to Defitelio in certain European countries where Defitelio is not yet launched, including in countries where pricing and reimbursement approvals are required for launch. We cannot predict the timing of Defitelio’s launch in European countries where we are engaged in pricing and reimbursement submissions. If we experience delays or unforeseen difficulties in obtaining favorable pricing and reimbursement approvals, planned launches in the affected European countries will be delayed, which could negatively impact anticipated revenue from Defitelio. The process for obtaining pricing and reimbursement approvals is complex and can vary from country to country. In addition, orphan products that have significant impact on patient survival, such as Defitelio, may be budgeted on a local rather than national level. The balance of all of these factors will determine our ability to ultimately obtain favorable pricing and reimbursement approvals in the EU. Many European countries periodically review their reimbursement classes, which could have an adverse impact on the reimbursement status of Defitelio. We have developed estimates of anticipated pricing in the EU, which are based on our research and understanding of the product and target market. However, due to efforts to provide for containment of health care costs, one or more countries may not support our estimated level of governmental pricing and reimbursement for Defitelio, particularly in light of the budget crises faced by a number of countries in the EU, which would negatively impact anticipated revenue from Defitelio. Furthermore, after initial pricing and reimbursement approvals, reductions in prices and changes in reimbursement levels can be triggered by multiple factors, including reference pricing systems and publication of discounts by third party payors or authorities in other countries. In the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EU, prices can be reduced further by parallel distribution and parallel trade, or arbitrage between low-priced and high-priced countries. If any of these events occurs, our anticipated revenue from Defitelio in the EU would be negatively affected. If we are unable to obtain and maintain favorable pricing and reimbursement approvals in European countries that represent significant markets, especially where a country’s reimbursed price influences other countries, our anticipated revenue from and growth prospects for Defitelio in the EU could be negatively affected. In addition, our ability to commercialize Defitelio successfully in the U.S. will depend on, among other things, the availability of adequate coverage or reimbursement by U.S. government programs and third party payors.</w:t>
      </w:r>
    </w:p>
    <w:p>
      <w:pPr>
        <w:spacing w:after="0" w:line="58"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 European Commission, or EC, granted marketing authorization to Defitelio under “exceptional circumstances” because it was not possible to obtain complete information about the product due to the rarity of the disease and because ethical considerations prevented conducting a study directly comparing Defitelio with best supportive care or a placebo. A marketing authorization granted under exceptional circumstances is subject to approval conditions and an annual reassessment of the risk-benefit balance by European Medicines Agency, or EMA. As a result, if we fail to meet the approval condition for Defitelio established by the EC, which requires that we set up a patient registry to investigate the long-term safety, health outcomes and patterns of utilization of Defitelio during normal use, or if it is determined that the balance of risks and benefits of using Defitelio changes materially, the EMA could vary, suspend or withdraw the marketing authorization for Defitelio. In addition, the FDA imposed several post-marketing commitments and requirements in connection with its approval of our NDA for Defitelio in March 2016, including the requirement that we conduct a clinical trial to analyze the safety of defibrotide versus best supportive care in the prevention of VOD in adult and pediatric patients. We may be unable to comply with these or other post-marketing obligations imposed as part of the marketing approvals for Defitelio. If we fail to meet any of these post-marketing obligations, our sales of and revenues from Defitelio could be materially adversely affected, and our potential future maintenance and growth of the market for this product may be limited.</w:t>
      </w:r>
    </w:p>
    <w:p>
      <w:pPr>
        <w:spacing w:after="0" w:line="1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size of the population of VOD patients who are indicated for treatment with Defitelio is limited, and changes in HSCT treatment protocols could reduce the incidence of VOD. Changes in treatment protocols that reduce the incidence of VOD could adversely affect our anticipated revenues from Defitelio and our business, financial condition, results of operations and growth prospects.</w:t>
      </w:r>
    </w:p>
    <w:p>
      <w:pPr>
        <w:spacing w:after="0" w:line="7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are also assessing the potential for approval of defibrotide in other countries and for development of defibrotide in additional indications. We cannot know when, if ever, defibrotide will be approved in any other country or under what circumstances, and what, if any, additional clinical or other development activities will be required in order to potentially obtain such regulatory approval and the cost associated with such required activities, if any. If we fail to obtain approval for defibrotide in other countries or for new indications, or if any future approvals we receive are for narrower indications than we expect, our anticipated revenue from defibrotide and our growth prospects would be negatively affected.</w:t>
      </w:r>
    </w:p>
    <w:p>
      <w:pPr>
        <w:spacing w:after="0" w:line="6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Due to the limited amount of historical sales data from commercialization of Defitelio, our Defitelio sales will be difficult to predict from period to period. As a result, Defitelio sales results or trends in any period are not necessarily indicative of future performance. If sales of Defitelio do not reach the levels we expect, our anticipated revenue from Defitelio would be negatively affected, which could have a material adverse effect on our business, financial condition, results of operations and growth prospects.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Vyxeos</w:t>
      </w:r>
    </w:p>
    <w:p>
      <w:pPr>
        <w:spacing w:after="0" w:line="63"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In furtherance of our growth strategy, we have made a significant investment in Vyxeos through the Celator Acquisition. Vyxeos is currently not approved as a marketed product in any jurisdiction. We expect to initiate a rolling submission of an NDA for Vyxeos to the FDA by the end of the third quarter of 2016 and to complete the submission in late 2016 or early 2017. We are also currently evaluating the timing of filing for regulatory approval of Vyxeos in Europe.</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ability to realize the anticipated benefits from this investment is subject to a number of risks and uncertainties, including:</w:t>
      </w:r>
    </w:p>
    <w:p>
      <w:pPr>
        <w:spacing w:after="0" w:line="14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obtain marketing approval for Vyxeos in the United States and Europe;</w:t>
      </w:r>
    </w:p>
    <w:p>
      <w:pPr>
        <w:spacing w:after="0" w:line="90"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risks associated with developing products based on the CombiPlex technology platform that we acquired in the Celator Acquisition, such as Vyxeos, the first injectable fixed ratio, drug delivery combination oncology product that the FDA would potentially be considering for approval;</w:t>
      </w:r>
    </w:p>
    <w:p>
      <w:pPr>
        <w:spacing w:after="0" w:line="11" w:lineRule="exact"/>
        <w:rPr>
          <w:rFonts w:ascii="Arial" w:cs="Arial" w:eastAsia="Arial" w:hAnsi="Arial"/>
          <w:sz w:val="17"/>
          <w:szCs w:val="17"/>
          <w:color w:val="auto"/>
        </w:rPr>
      </w:pPr>
    </w:p>
    <w:p>
      <w:pPr>
        <w:ind w:left="660" w:right="1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establish pricing and reimbursement support for Vyxeos in the event we are able to obtain marketing approval for Vyxeos in the United States or in other countries;</w:t>
      </w:r>
    </w:p>
    <w:p>
      <w:pPr>
        <w:spacing w:after="0" w:line="3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acceptance of Vyxeos in the United States and other countries by hospital pharmacy and therapeutics committees and the availability of adequate coverage and reimbursement by government programs and third party payors;</w:t>
      </w:r>
    </w:p>
    <w:p>
      <w:pPr>
        <w:spacing w:after="0" w:line="35"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problems in the supply or manufacture of the product, including with respect to the requirement of the third parties upon which we rely to manufacture Vyxeos and its active pharmaceutical ingredients, or APIs, to obtain the approval of the FDA and/or other regulatory authorities to manufacture Vyxeos;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limited size of the population of AML patients who may potentially be indicated for treatment with Vyxeos.</w:t>
      </w:r>
    </w:p>
    <w:p>
      <w:pPr>
        <w:spacing w:after="0" w:line="117"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If we are unable to obtain regulatory approval for Vyxeos in the United States or in Europe in a timely manner, or at all, or if sales of an approved Vyxeos product do not reach the levels we expect, our anticipated revenue from Vyxeos would be negatively affected, which could have a material adverse effect on our business, financial condition, results of operations and growth prospects.</w:t>
      </w:r>
    </w:p>
    <w:p>
      <w:pPr>
        <w:spacing w:after="0" w:line="154"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If we fail to maintain or increase prescriptions and revenue from sales of our products, our business, financial condition, results of operations and growth prospects could be materially adversely affected. We may choose to increase the price of our products, and price adjustments may negatively affect our sales volumes. Also, sales of each of our products may fluctuate significantly from quarter to quarter, depending on the number of patients receiving treatment, the availability of supply to meet the demand for the product, the dosing requirements of treated patients and other factors. The market price of our ordinary shares may decline if sales of our products do not continue or grow at the rates anticipated by financial analysts or investors.</w:t>
      </w:r>
    </w:p>
    <w:p>
      <w:pPr>
        <w:spacing w:after="0" w:line="2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addition, if we fail to obtain approvals for certain of our products in new indications or formulations, we will be unable to commercialize our products in new indications or formulations, which could have a material adverse effect on our business, financial condition, results of operations and growth prospects.</w:t>
      </w:r>
    </w:p>
    <w:p>
      <w:pPr>
        <w:spacing w:after="0" w:line="1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cannot predict whether historical revenues from named patient programs for our hematology/oncology products will continue or whether we will be able to continue to distribute those products on a named patient basis.</w:t>
      </w:r>
    </w:p>
    <w:p>
      <w:pPr>
        <w:spacing w:after="0" w:line="35"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In certain European countries, reimbursement for products that have not yet received marketing authorization may be provided through national named patient programs. Erwinase and Defitelio are available on a named patient basis in many countries where they are not commercially available. Such reimbursement may cease to be available if authorization for a named patient program expires or is terminated. While we generate revenue from the distribution of these products through named patient programs, we cannot predict whether historical revenues from these programs will continue, whether we will be able to continue to distribute our products on a named patient basis in these countries, whether we will be able to commercialize our products in countries where the products have historically been available on a named patient basis, or whether commercial revenues will exceed revenues historically generated from sales on a named patient basis. Any failure to maintain revenues from sales of Erwinase and/or Defitelio on a named patient basis and/or to generate revenues from commercial sales of these products exceeding historical sales on a named patient basis could have a material adverse effect on our business, financial condition, results of operations and growth prospects.</w:t>
      </w:r>
    </w:p>
    <w:p>
      <w:pPr>
        <w:spacing w:after="0" w:line="12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depend on single source suppliers for each of our products, product candidates and their active pharmaceutical ingredients. The loss of any of these suppliers, or delays or problems in the supply of our products for commercial sale or our product candidates for use in our clinical trials, could materially and adversely affect our business, financial condition, results of operations and growth prospects.*</w:t>
      </w:r>
    </w:p>
    <w:p>
      <w:pPr>
        <w:spacing w:after="0" w:line="30"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The manufacture of pharmaceutical products requires significant expertise and capital investment, including the development of process controls required to consistently produce the active pharmaceutical ingredient and the finished product in sufficient quantities while meeting detailed product specifications on a repeated basis. Manufacturers of pharmaceutical products may encounter difficulties in production, including difficulties with production costs and yields, process controls, quality control and quality assurance, including testing of stability, impurities and impurity levels and other product specifications by validated test methods, and compliance with strictly enforced U.S., state and non-U.S. regulations. If we or any of our third party suppliers encounter these or any other manufacturing, quality or compliance difficulties with respect to any of our products, particularly Xyrem and Erwinaze since we maintain limited inventories for these products, we may be unable to meet commercial demand for such products, which could adversely affect our business, financial condition, results of operations and growth prospects.</w:t>
      </w:r>
    </w:p>
    <w:p>
      <w:pPr>
        <w:spacing w:after="0" w:line="4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have completed construction of a manufacturing and development facility in Ireland and expect to begin commercial operations at the facility in 2016. While we received FDA approval of this facility in June 2016 and plan to use this facility for the manufacture of Xyrem and development-stage products, we currently do not, other than with respect to the manufacturing plant in Italy where we produce some active pharmaceutical ingredients, including the defibrotide drug substance, have our own commercial manufacturing capability for our products or product candidates, or their active pharmaceutical ingredients, or the capability to package our products. The availability of our products for commercial sale depends upon our ability to procure the ingredients, raw materials, packaging materials and finished products we need from third parties. In part due to the limited market size for our products and product candidates, we have entered into supply and manufacturing agreements with suppliers, each of which is currently our single source for each of our marketed products and for the active pharmaceutical ingredients used in some of these products. These single source arrangements put us at risk of interruption in supply in the event of manufacturing, quality or compliance difficulties at our suppliers.</w:t>
      </w:r>
    </w:p>
    <w:p>
      <w:pPr>
        <w:spacing w:after="0" w:line="4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maintain limited inventories of Xyrem and Erwinaze, as well as the ingredients or raw materials used to make them. Our limited inventory puts us at significant risk of not being able to meet product demand, and we have experienced Erwinaze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supply interruptions that have adversely affected sales volumes. In addition, the DEA limits the quantity of certain Schedule I controlled substances that may be produced in the U.S. in any given calendar year through a quota system. The active pharmaceutical ingredient of Xyrem, sodium oxybate, is a Schedule I controlled substance, production quantities of which are limited by the DEA through a quota system. DEA quotas are required for our sodium oxybate supplier to supply us with sodium oxybate and for our Xyrem supplier to obtain sodium oxybate in order to supply us with Xyrem. Because the DEA typically grants quotas on an annual basis, our sodium oxybate supplier and our Xyrem supplier are required to request and justify allocation of sufficient annual DEA quotas as well as additional DEA quotas if our commercial or clinical requirements exceed the allocated quotas throughout the year. In the past, we have had to engage in lengthy efforts to obtain the needed quotas after the original annual quotas had first been allocated. For 2016, both our sodium oxybate supplier and our Xyrem supplier have been allocated most, but not all, of their respective requested quotas. If, in the future, we and our third party suppliers cannot obtain the quotas that are needed on a timely basis, or at all, our business, financial condition, results of operations and growth prospects could be materially and adversely affected.</w:t>
      </w:r>
    </w:p>
    <w:p>
      <w:pPr>
        <w:spacing w:after="0" w:line="4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Siegfried (USA) Inc., subsequently renamed Siegfried USA, LLC, or Siegfried, has been our sole supplier of sodium oxybate since 2012. We expect that Siegfried will continue to be our sole supplier of sodium oxybate for the foreseeable future, and we cannot assure you that Siegfried can or will continue to supply on a timely basis, or at all, sufficient quantities of active pharmaceutical ingredient to enable the manufacture of the quantities of Xyrem that we need.</w:t>
      </w:r>
    </w:p>
    <w:p>
      <w:pPr>
        <w:spacing w:after="0" w:line="52"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Erwinaze is licensed from and manufactured by a single source, PBL, which is wholly owned by the U.K. Secretary of State for Health. The FDA’s approval of the BLA for Erwinaze includes a number of post-marketing commitments related to the manufacture of Erwinaze. In March 2016, the FDA conducted an inspection of the PBL manufacturing facility and issued an FDA Form 483 to PBL that included observations related to a range of operational systems and processes. PBL has responded to the FDA Form 483 with its plan to address the observations made in the FDA Form 483, which will require remediation activities. PBL is subject to similar inspection and remediation requirements of the UK regulatory authority, MHRA. Inability to comply with regulatory requirements, including failure by PBL to timely remediate the observations included in the FDA Form 483 or failure by us to demonstrate compliance with our obligations under the BLA, in each case to the FDA’s satisfaction, and compliance with manufacturing-related post-marketing commitments that are part of the BLA approval, as well as other requirements monitored by the FDA or MHRA, could adversely affect Erwinaze supply, particularly in light of our extremely limited product inventory, and could result in FDA or MHRA approval being revoked, product release being delayed or product recalls, any of which could have a material adverse effect on our sales of and revenues from Erwinaze and limit our potential future maintenance and growth of the market for this product. In addition, if the FDA or any non-U.S. regulatory authority mandates any changes to the specifications for Erwinaze, we may face challenges having product produced to meet such specifications, and our supplier may increase its price to supply Erwinaze meeting such specifications, which may result in additional costs to us and may decrease any profit we would otherwise achieve with Erwinaze.</w:t>
      </w:r>
    </w:p>
    <w:p>
      <w:pPr>
        <w:spacing w:after="0" w:line="4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current manufacturing capacity for Erwinaze is completely absorbed by demand for the product. We are working with PBL to evaluate potential expansion of its production capacity to increase the supply of Erwinaze over the longer term. As a consequence of constrained manufacturing capacity, we have had an extremely limited or no ability to build product inventory levels that can be used to absorb disruptions to supply resulting from quality, regulatory or other issues, and we have experienced product quality, manufacturing and inventory challenges that have resulted in disruptions in our ability to supply certain markets and caused us to implement batch-specific, modified product use instructions. We expect that we will continue to experience inventory and supply challenges, which may result in temporary disruptions in our ability to supply certain markets, including the U.S., from time to time. If capacity constraints or supply disruptions continue, whether as a result of continued quality or other manufacturing issues, regulatory issues or otherwise, we may be unable to build a desired excess level of product inventory, our ability to supply the market may continue to be compromised and physicians’ decisions to use Erwinaze in the future may be negatively impacted. If quality or other manufacturing issues or regulatory difficulties occur and result in a disruption to supply or capacity constraints, we do not have the right to engage a backup supplier for Erwinaze except in very limited circumstances, such as following the termination of the agreement by us due to the uncured material breach or the cessation of manufacturing by our supplier. If we are required to engage a backup or alternative supplier, the transfer of technical expertise and manufacturing process to the backup or alternative supplier would be difficult, costly and time-consuming, might not be successful and would increase the likelihood of a delay or interruption in manufacturing or a shortage of supply of Erwinaze. If we fail to obtain a sufficient supply of Erwinaze, our sales of and revenues from Erwinaze, our potential future maintenance and growth of the market for this product, and/or our business, financial condition, results of operations and growth prospects could be materially adversely affected.</w:t>
      </w:r>
    </w:p>
    <w:p>
      <w:pPr>
        <w:spacing w:after="0" w:line="3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are our sole supplier of, and we believe that we are currently the sole worldwide producer of, the defibrotide drug compound. We manufacture the defibrotide drug compound in a single facility located in Villa Guardia, near Como, Italy. Patheon currently processes the defibrotide compound into its finished vial form, and Patheon is the sole provider of our commercial and clinical supply of Defitelio. In 2015, the FDA issued an FDA Form 483 to Patheon Italia that included observations related to the Ferentino, Italy facility that manufactures Defitelio. Although we are advised that Patheon Italia remediated the observations to the FDA’s satisfaction, the FDA will continue to inspect and evaluate facilities for ongoing</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compliance with applicable requirements. If Patheon does not or is not able to supply us with Defitelio for any reason, it may take time and resources to implement and execute the necessary technology transfer to another processor, and such delay could negatively impact our anticipated revenues from Defitelio and could potentially cause us to breach contractual obligations with customers or to violate local laws requiring us to deliver the product to those in need.</w:t>
      </w:r>
    </w:p>
    <w:p>
      <w:pPr>
        <w:spacing w:after="0" w:line="52"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In addition, the active pharmaceutical ingredient in Defitelio is derived from porcine DNA. If our porcine DNA supplier experiences safety or other issues that impact its ability to supply porcine materials to us as needed, we may not be able to find alternative suppliers in a timely fashion, which could negatively impact our supply of Defitelio.</w:t>
      </w:r>
    </w:p>
    <w:p>
      <w:pPr>
        <w:spacing w:after="0" w:line="4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Vyxeos is manufactured using Celator’s CombiPlex technology. CombiPlex products represent formulations with increased manufacturing complexities associated with producing drug delivery vehicles encapsulating two or more drugs that are maintained at a fixed ratio and, in the case of Vyxeos, two drugs that are co-encapsulated in a freeze-dried format. Vyxeos is manufactured by Baxter Oncology GmbH, or Baxter, which is a sole source supplier from a single site location. Baxter successfully manufactured batches that were used in Celator’s completed Phase 3 clinical trial for Vyxeos, but Baxter has experienced batch failures due to mechanical and component issues. While other contract manufacturers may be able to produce Vyxeos, the proprietary technology that supports the manufacture of Vyxeos is not easily transferable. Consequently, engaging an alternate manufacturer may be difficult, costly and time-consuming. If Baxter does not deliver sufficient quantities of Vyxeos on a timely basis, whether due to batch failures or other delays, and in accordance with applicable specifications, our ability to successfully launch and commercialize an approved Vyxeos product and generate sales of this product at the level we expect could be materially and adversely affected.</w:t>
      </w:r>
    </w:p>
    <w:p>
      <w:pPr>
        <w:spacing w:after="0" w:line="4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Cytarabine and daunorubicin are the APIs in Vyxeos, and are available from a number of suppliers. We are currently qualifying APIs from additional suppliers because the supplier from whom Celator previously obtained these APIs received a warning letter from the FDA which indicated that importation of API from this supplier may possibly be restricted in the future. If the FDA restricts importation of API from this supplier, and we are unable to qualify API from additional suppliers in a timely manner or at all, our ability to successfully commercialize an approved Vyxeos product and generate sales of this product at the level we expect could be materially and adversely affected.</w:t>
      </w:r>
    </w:p>
    <w:p>
      <w:pPr>
        <w:spacing w:after="0" w:line="53"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order to conduct and complete our clinical program for JZP-110 or to potentially conduct future clinical trials for other product candidates, if any, we need to have sufficient quantities of clinical product manufactured and available for use. There can be no assurance that our suppliers will be able to produce or provide sufficient clinical supplies of JZP-110 or other product candidates in a timely manner. Any delay in receiving adequate supplies of JZP-110 or other product candidates for our studies could negatively impact our development programs.</w:t>
      </w:r>
    </w:p>
    <w:p>
      <w:pPr>
        <w:spacing w:after="0" w:line="36"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Failure by us or our third party suppliers to comply with regulatory requirements could adversely affect our or their ability to supply products or ingredients. All facilities and manufacturing techniques used for the manufacture of pharmaceutical products must be operated in conformity with applicable current Good Manufacturing Practices, or cGMP, requirements. DEA regulations also govern facilities where controlled substances such as sodium oxybate are manufactured. Our manufacturing facilities and manufacturing facilities of our suppliers have been and are subject to periodic unannounced inspection by the FDA, the EMA, the DEA, the Italian Health Authority and other regulatory authorities, including state authorities and similar authorities in other jurisdictions, to confirm compliance with cGMP and other requirements. We and our third party suppliers must continually expend time, money and effort in production, record keeping and quality assurance and control to ensure that our products and product candidates meet applicable specifications and other requirements for product safety, efficacy and quality. Failure to comply with applicable legal and regulatory requirements subjects us and our suppliers to possible legal or regulatory action, including restrictions on supply or shutdown, which may adversely affect our or a supplier’s ability to supply the ingredients or finished products we need. Moreover, our or our third party suppliers’ facilities could be damaged by fire, flood, earthquake, power loss, telecommunication and information system failure, terrorism or similar events. Any of these events could cause a delay or interruption in manufacturing and potentially a supply shortage of our products, which could negatively impact our anticipated revenues.</w:t>
      </w:r>
    </w:p>
    <w:p>
      <w:pPr>
        <w:spacing w:after="0" w:line="34"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If, for any reason, our suppliers, including any new suppliers, do not continue to supply us with our products or product candidates in a timely fashion and in compliance with applicable quality and regulatory requirements, or otherwise fail or refuse to comply with their obligations to us under our supply and manufacturing arrangements, we may not have adequate remedies for any breach, and their failure to supply us could result in a shortage of our products or product candidates, which could adversely affect our business, financial condition, results of operations and growth prospects.</w:t>
      </w:r>
    </w:p>
    <w:p>
      <w:pPr>
        <w:spacing w:after="0" w:line="19"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addition, if one of our suppliers fails or refuses to supply us for any reason, it would take a significant amount of time and expense to qualify a new supplier. The FDA and similar international regulatory bodies must approve manufacturers of the active and inactive pharmaceutical ingredients and certain packaging materials used in our products. The loss of one of our suppliers could require us to obtain regulatory clearance in the form of a “prior approval supplement” and to incur validation and other costs associated with the transfer of the active pharmaceutical ingredient or product manufacturing process. We believe that it could take up to two years, or longer in certain cases, to qualify a new supplier, and we may not be able to obtain active pharmaceutical ingredients or finished products from new suppliers on acceptable terms and at reasonable prices, or at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all. If there are delays in qualifying new suppliers or facilities or a new supplier is unable to obtain a sufficient quota from the DEA, if required, or to otherwise meet FDA or similar international regulatory body’s requirements for approval, there could be a shortage of the affected products for the marketplace or for use in clinical studies, or both, particularly since we do not have secondary sources for supply and manufacture of the active pharmaceutical ingredients for our products or backup suppliers for our finished products.</w:t>
      </w:r>
    </w:p>
    <w:p>
      <w:pPr>
        <w:spacing w:after="0" w:line="5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ability to develop and deliver products in a timely and competitive manner depends on our third party suppliers being able to continue to meet our ongoing commercial needs. Any delay in supplying, or failure to supply, products or product candidates by any of our suppliers could result in our inability to meet the commercial demand for our products, or our needs for use in clinical trials, and could adversely affect our business, financial condition, results of operations and growth prospects.</w:t>
      </w:r>
    </w:p>
    <w:p>
      <w:pPr>
        <w:spacing w:after="0" w:line="133" w:lineRule="exact"/>
        <w:rPr>
          <w:sz w:val="20"/>
          <w:szCs w:val="20"/>
          <w:color w:val="auto"/>
        </w:rPr>
      </w:pPr>
    </w:p>
    <w:p>
      <w:pPr>
        <w:ind w:right="140"/>
        <w:spacing w:after="0" w:line="357" w:lineRule="auto"/>
        <w:rPr>
          <w:sz w:val="20"/>
          <w:szCs w:val="20"/>
          <w:color w:val="auto"/>
        </w:rPr>
      </w:pPr>
      <w:r>
        <w:rPr>
          <w:rFonts w:ascii="Arial" w:cs="Arial" w:eastAsia="Arial" w:hAnsi="Arial"/>
          <w:sz w:val="15"/>
          <w:szCs w:val="15"/>
          <w:b w:val="1"/>
          <w:bCs w:val="1"/>
          <w:i w:val="1"/>
          <w:iCs w:val="1"/>
          <w:color w:val="auto"/>
        </w:rPr>
        <w:t>We have substantially expanded our international footprint and operations, and we may expand further in the future, but we do not yet have substantial historical experience in international markets and may not achieve the results that we, our shareholders or analysts who cover our business expect.*</w:t>
      </w:r>
    </w:p>
    <w:p>
      <w:pPr>
        <w:ind w:right="40" w:firstLine="432"/>
        <w:spacing w:after="0" w:line="293" w:lineRule="auto"/>
        <w:rPr>
          <w:sz w:val="20"/>
          <w:szCs w:val="20"/>
          <w:color w:val="auto"/>
        </w:rPr>
      </w:pPr>
      <w:r>
        <w:rPr>
          <w:rFonts w:ascii="Arial" w:cs="Arial" w:eastAsia="Arial" w:hAnsi="Arial"/>
          <w:sz w:val="16"/>
          <w:szCs w:val="16"/>
          <w:color w:val="auto"/>
        </w:rPr>
        <w:t>We are headquartered in Dublin, Ireland and have multiple offices in the U.S., the United Kingdom, Italy and other countries in Europe. Our headcount has grown to approximately 970 in August 2016. This includes employees in 14 countries in North America and Europe, a European commercial presence, a complex distribution network for products in Europe and additional territories, and manufacturing facilities in Italy and Ireland. In addition, we may expand our international operations into other countries in the future, either organically or by acquisition. While we have acquired significant management and other personnel with substantial international experience, conducting our business in multiple countries subjects us to a variety of risks and complexities that may materially and adversely affect our business, results of operations, financial condition and growth prospects, including, among other things:</w:t>
      </w:r>
    </w:p>
    <w:p>
      <w:pPr>
        <w:spacing w:after="0" w:line="30" w:lineRule="exact"/>
        <w:rPr>
          <w:sz w:val="20"/>
          <w:szCs w:val="20"/>
          <w:color w:val="auto"/>
        </w:rPr>
      </w:pP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increased complexity and costs inherent in managing international operations;</w:t>
      </w:r>
    </w:p>
    <w:p>
      <w:pPr>
        <w:spacing w:after="0" w:line="90" w:lineRule="exact"/>
        <w:rPr>
          <w:rFonts w:ascii="Arial" w:cs="Arial" w:eastAsia="Arial" w:hAnsi="Arial"/>
          <w:sz w:val="18"/>
          <w:szCs w:val="18"/>
          <w:color w:val="auto"/>
        </w:rPr>
      </w:pPr>
    </w:p>
    <w:p>
      <w:pPr>
        <w:ind w:left="740" w:right="40" w:hanging="327"/>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diverse regulatory, financial and legal requirements, and any future changes to such requirements, in one or more countries where we are located or do business;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country-specific tax, labor and employment laws and regulations;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applicable trade laws, tariffs, export quotas, custom duties or other trade restrictions and any changes to them;</w:t>
      </w:r>
    </w:p>
    <w:p>
      <w:pPr>
        <w:spacing w:after="0" w:line="90" w:lineRule="exact"/>
        <w:rPr>
          <w:rFonts w:ascii="Arial" w:cs="Arial" w:eastAsia="Arial" w:hAnsi="Arial"/>
          <w:sz w:val="18"/>
          <w:szCs w:val="18"/>
          <w:color w:val="auto"/>
        </w:rPr>
      </w:pPr>
    </w:p>
    <w:p>
      <w:pPr>
        <w:ind w:left="740" w:right="160" w:hanging="327"/>
        <w:spacing w:after="0" w:line="264"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in diverse geographies, including the need to adapt systems, policies, benefits and compliance programs to differing labor and other regulations, as well as maintaining positive interactions with unionized employees in one of our international locations;</w:t>
      </w:r>
    </w:p>
    <w:p>
      <w:pPr>
        <w:spacing w:after="0" w:line="46" w:lineRule="exact"/>
        <w:rPr>
          <w:rFonts w:ascii="Arial" w:cs="Arial" w:eastAsia="Arial" w:hAnsi="Arial"/>
          <w:sz w:val="18"/>
          <w:szCs w:val="18"/>
          <w:color w:val="auto"/>
        </w:rPr>
      </w:pP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liabilities for activities of, or related to, our international operations, products or product candidates;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currency rates;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regulations relating to data security and the unauthorized use of, or access to, commercial and personal information.</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As a result of our rapid growth, our business and corporate structure has become substantially more complex. There can be no assurance that we will effectively manage the increased complexity without experiencing operating inefficiencies or control deficiencies. Significant management time and effort is required to effectively manage the increased complexity of our company, and our failure to successfully do so could have a material adverse effect on our business, financial condition, results of operations and growth prospects.</w:t>
      </w:r>
    </w:p>
    <w:p>
      <w:pPr>
        <w:spacing w:after="0" w:line="5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recent years, the global economy has been impacted by the effects of an ongoing global financial crisis, including the European sovereign debt crisis, which has caused extreme disruption in the financial markets, including severely diminished liquidity and credit availability. In addition, we expect to continue to grow our product sales in Europe. Continuing worldwide economic instability, including challenges faced by the Eurozone and certain of the countries in Europe and the ongoing budgetary difficulties faced by a number of EU member states, including Greece and Spain, has led and may continue to lead to substantial delays in payment and payment partially with government bonds rather than cash for medicinal drug products, which could negatively impact our revenues and profitability.</w:t>
      </w:r>
    </w:p>
    <w:p>
      <w:pPr>
        <w:spacing w:after="0" w:line="58"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 addition, on June 23, 2016, eligible members of the electorate in the United Kingdom decided by referendum to leave the EU, or Brexit. We do not know to what extent, or when, Brexit or any other future changes to membership in the EU will impact our business, if at all. In particular, our ability to conduct international business out of the United Kingdom may be materially and adversely affected.</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25"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commercial success of our products depends upon their market acceptance by physicians, patients, third party payors and the medical community.</w:t>
      </w:r>
    </w:p>
    <w:p>
      <w:pPr>
        <w:spacing w:after="0" w:line="1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Physicians may not prescribe our products, in which case we would not generate the revenues we anticipate from product sales. Market acceptance of any of our products by physicians, patients, third party payors and the medical community depends on:</w:t>
      </w:r>
    </w:p>
    <w:p>
      <w:pPr>
        <w:spacing w:after="0" w:line="35" w:lineRule="exact"/>
        <w:rPr>
          <w:sz w:val="20"/>
          <w:szCs w:val="20"/>
          <w:color w:val="auto"/>
        </w:rPr>
      </w:pPr>
    </w:p>
    <w:p>
      <w:pPr>
        <w:ind w:left="740" w:hanging="327"/>
        <w:spacing w:after="0" w:line="277"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a product is approved, including any restrictions placed upon the product in connection with its approval, such as a REMS, patient registry or labeling restrictions;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of the disease or condition for which the product is approved and its diagnosis, and the severity of side effects;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by physicians and patients of each product as a safe and effective treatment;</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perceived advantages over alternative treatments;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physician and patient assessment of the burdens associated with obtaining or maintaining the certifications required under the Xyrem REMS;</w:t>
      </w:r>
    </w:p>
    <w:p>
      <w:pPr>
        <w:spacing w:after="0" w:line="101" w:lineRule="exact"/>
        <w:rPr>
          <w:rFonts w:ascii="Arial" w:cs="Arial" w:eastAsia="Arial" w:hAnsi="Arial"/>
          <w:sz w:val="17"/>
          <w:szCs w:val="17"/>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generic products;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the product is approved for inclusion on formularies of hospitals and managed care organizations;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conditions for reimbursement required by, and appropriate pricing and availability of reimbursement from, third party payors.</w:t>
      </w:r>
    </w:p>
    <w:p>
      <w:pPr>
        <w:spacing w:after="0" w:line="90"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Because of our dependence upon market acceptance of our products, any adverse publicity associated with harm to patients or other adverse events resulting from the use or misuse of our products or any similar products distributed by other companies, including generic versions of our products, could materially and adversely affect our business, financial condition, results of operations and growth prospects. For example, from time to time, there is negative publicity about illicit gamma-hydroxybutyrate, or GHB, and its effects, including with respect to illegal use, overdoses, serious injury and death. Because sodium oxybate, the active pharmaceutical ingredient in Xyrem, is a derivative of GHB, Xyrem sometimes also receives negative mention in publicity relating to GHB. Patients, physicians and regulators may therefore view Xyrem as the same as or similar to illicit GHB. In addition, there are regulators and some law enforcement agencies that oppose the prescription and use of Xyrem generally because of its connection to GHB. Xyrem’s label includes information about adverse events from GHB.</w:t>
      </w:r>
    </w:p>
    <w:p>
      <w:pPr>
        <w:spacing w:after="0" w:line="44"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In addition, we have periodically increased the price of Xyrem and may do so again in the future. We also have made and may in the future make similar price increases on our other products. Price increases on our products and negative publicity regarding pricing and price increases generally, whether on our products or products distributed by other pharmaceutical companies, could negatively affect market acceptance of our products. For additional discussion about payor acceptance, see the risk factor under the heading “</w:t>
      </w:r>
      <w:r>
        <w:rPr>
          <w:rFonts w:ascii="Arial" w:cs="Arial" w:eastAsia="Arial" w:hAnsi="Arial"/>
          <w:sz w:val="16"/>
          <w:szCs w:val="16"/>
          <w:i w:val="1"/>
          <w:iCs w:val="1"/>
          <w:color w:val="auto"/>
        </w:rPr>
        <w:t>Price approvals and reimbursement may not be available for our products, which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could diminish our sales or affect our ability to sell our products profitably” </w:t>
      </w:r>
      <w:r>
        <w:rPr>
          <w:rFonts w:ascii="Arial" w:cs="Arial" w:eastAsia="Arial" w:hAnsi="Arial"/>
          <w:sz w:val="16"/>
          <w:szCs w:val="16"/>
          <w:color w:val="auto"/>
        </w:rPr>
        <w:t>in Part II, Item 1A of this Quarterly Report on Form 10-Q.</w:t>
      </w:r>
    </w:p>
    <w:p>
      <w:pPr>
        <w:spacing w:after="0" w:line="10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We may not be able to successfully identify and acquire, in-license or develop additional products or product candidates to grow our business, and, even if we are able to do so, we may not be able to successfully manage the risks associated with integrating any products or product candidates we may acquire in the future into our product portfolio, or we may otherwise fail to realize the anticipated benefits of these acquisitions.*</w:t>
      </w:r>
    </w:p>
    <w:p>
      <w:pPr>
        <w:spacing w:after="0" w:line="12"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intend to grow our business over the long term by acquiring or in-licensing and developing additional products and product candidates that we believe have significant commercial potential. Future growth through acquisition or in-licensing will depend upon the availability of suitable products and product candidates for acquisition or in-licensing on acceptable prices, terms and conditions.</w:t>
      </w:r>
    </w:p>
    <w:p>
      <w:pPr>
        <w:spacing w:after="0" w:line="46"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Even if appropriate opportunities are available, we may not be able to successfully identify them, or we may not have the financial resources necessary to pursue them. Other companies, many of which may have substantially greater financial, marketing and sales resources, compete with us for these opportunities. In order to compete successfully to acquire attractive products or product candidates in the current business climate, we may have to pay higher prices for assets than may have been paid historically, which may make it more difficult for us to realize an adequate return on any acquisition. See also the discussion under the heading “</w:t>
      </w:r>
      <w:r>
        <w:rPr>
          <w:rFonts w:ascii="Arial" w:cs="Arial" w:eastAsia="Arial" w:hAnsi="Arial"/>
          <w:sz w:val="17"/>
          <w:szCs w:val="17"/>
          <w:i w:val="1"/>
          <w:iCs w:val="1"/>
          <w:color w:val="auto"/>
        </w:rPr>
        <w:t>We are subject to a requirement under Irish law to periodically obtain new authorities from our shareholders to issue ordinary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shares, which we may be unable to obtain” </w:t>
      </w:r>
      <w:r>
        <w:rPr>
          <w:rFonts w:ascii="Arial" w:cs="Arial" w:eastAsia="Arial" w:hAnsi="Arial"/>
          <w:sz w:val="17"/>
          <w:szCs w:val="17"/>
          <w:color w:val="auto"/>
        </w:rPr>
        <w:t>in Part II, Item 1A of this Quarterly Report on Form 10-Q.</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Even if we are able to successfully identify and acquire, in-license or develop additional products or product candidates, we cannot assure you that we will be able to successfully manage the risks associated with integrating any products or product candidates or the risks arising from anticipated and unanticipated problems in connection with an acquisition or in-licensing. We may not be able to realize the anticipated benefits of any acquisition or in-licensing for a variety of reasons, including if:</w:t>
      </w:r>
    </w:p>
    <w:p>
      <w:pPr>
        <w:spacing w:after="0" w:line="52" w:lineRule="exact"/>
        <w:rPr>
          <w:sz w:val="20"/>
          <w:szCs w:val="20"/>
          <w:color w:val="auto"/>
        </w:rPr>
      </w:pPr>
    </w:p>
    <w:p>
      <w:pPr>
        <w:ind w:left="740" w:right="500" w:hanging="327"/>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unable to obtain and maintain adequate funding to complete the development of, obtain regulatory approval for and commercialize an acquired product candidate;</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product candidate proves not to be safe or effective in later clinical trials;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product fails to reach its forecasted commercial potential as a result of pricing pressures;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experience negative publicity regarding actual or potential future price increases for that product or otherwise; or</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integration of a product or product candidate gives rise to unforeseen difficulties and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Any failure in identifying and managing these risks and uncertainties effectively would have a material adverse effect on our business.</w:t>
      </w:r>
    </w:p>
    <w:p>
      <w:pPr>
        <w:spacing w:after="0" w:line="90" w:lineRule="exact"/>
        <w:rPr>
          <w:sz w:val="20"/>
          <w:szCs w:val="20"/>
          <w:color w:val="auto"/>
        </w:rPr>
      </w:pPr>
    </w:p>
    <w:p>
      <w:pPr>
        <w:ind w:right="180" w:firstLine="432"/>
        <w:spacing w:after="0" w:line="269" w:lineRule="auto"/>
        <w:rPr>
          <w:sz w:val="20"/>
          <w:szCs w:val="20"/>
          <w:color w:val="auto"/>
        </w:rPr>
      </w:pPr>
      <w:r>
        <w:rPr>
          <w:rFonts w:ascii="Arial" w:cs="Arial" w:eastAsia="Arial" w:hAnsi="Arial"/>
          <w:sz w:val="17"/>
          <w:szCs w:val="17"/>
          <w:color w:val="auto"/>
        </w:rPr>
        <w:t xml:space="preserve">For example, in July 2016 we made a substantial investment in Celator through the Celator Acquisition. The aggregate consideration for the Celator Acquisition was $1.5 billion. The Celator Acquisition broadened our hematology/oncology portfolio with the acquisition of worldwide development and commercialization rights to Vyxeos. Vyxeos is currently not approved as a marketed product in any jurisdiction. While we plan to make regulatory submissions for Vyxeos in the United States and Europe, there can be no guarantee that we will obtain approval in any jurisdiction in a timely manner, or at all. If we are unable to obtain regulatory approval for Vyxeos in the United States or Europe in a timely manner, or at all, or if sales of Vyxeos following regulatory approvals do not reach the levels we expect, our anticipated revenue from the product would be negatively affected, which could have a material adverse effect on our business, financial condition, results of operations and growth prospects. See also the discussion under the heading </w:t>
      </w:r>
      <w:r>
        <w:rPr>
          <w:rFonts w:ascii="Arial" w:cs="Arial" w:eastAsia="Arial" w:hAnsi="Arial"/>
          <w:sz w:val="17"/>
          <w:szCs w:val="17"/>
          <w:i w:val="1"/>
          <w:iCs w:val="1"/>
          <w:color w:val="auto"/>
        </w:rPr>
        <w:t>“While Xyrem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remains our largest product, our success also depends on our ability to effectively commercialize our other products and, in the case of our newly acquired product candidate, Vyxeos, our ability to obtain regulatory approval in the United States and Europe and, if approved, to successfully launch and commercialize Vyxeos. Our inability to do so could have a material adverse effect on our business, financial condition, results of operations and growth prospects,” </w:t>
      </w:r>
      <w:r>
        <w:rPr>
          <w:rFonts w:ascii="Arial" w:cs="Arial" w:eastAsia="Arial" w:hAnsi="Arial"/>
          <w:sz w:val="17"/>
          <w:szCs w:val="17"/>
          <w:color w:val="auto"/>
        </w:rPr>
        <w:t>in Part II, Item 1A of this Quarterly Report on Form 10-Q.</w:t>
      </w:r>
    </w:p>
    <w:p>
      <w:pPr>
        <w:spacing w:after="0" w:line="48"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 addition, product and product candidate acquisitions create other uncertainties and risks, particularly when the acquisition takes the form of a merger or other business consolidation, such as the Celator Acquisition. Our business acquisitions have required, and any similar future transactions will also require, significant efforts and expenditures, including with respect to transition activities and integrating the acquired business with our historical business. We may encounter unexpected difficulties, or incur unexpected costs, in connection with potential acquisitions and similar transactions, which include:</w:t>
      </w:r>
    </w:p>
    <w:p>
      <w:pPr>
        <w:spacing w:after="0" w:line="19" w:lineRule="exact"/>
        <w:rPr>
          <w:sz w:val="20"/>
          <w:szCs w:val="20"/>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 acquisition costs;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disruption of our historical core business;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strain on, and need to continue to expand, our existing operational, technical, financial and administrative infrastructure;</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to retain key managers and other personnel;</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challenges in controlling additional costs and expenses in connection with and as a result of any acquisition;</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90"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If any of these or other factors impair our ability to integrate any acquired business efficiently and successfully, we may be required to spend time or money on integration activities that otherwise would be spent on the development and expansion of our business. If we fail to integrate or otherwise manage an acquired business successfully and in a timely manner, resulting operating inefficiencies could increase costs and expenses more than we planned, could negatively impact the market price of our ordinary shares and could otherwise distract us from the execution of our strategy. Failure to maintain effective financial controls and reporting systems and procedures during and after integration of an acquired business could also impact our ability to produce timely and accurate financial statements.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5"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3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Since 2014, we have made significant investments into expanding our product development pipeline and expect to continue to increase our research and development organization. Significant clinical, development and financial resources will be required to progress product candidates through clinical trials and the regulatory approval process to develop them into commercially viable products. We have a number of product candidates under development. We also intend to pursue clinical development of other product candidates that we may acquire or in-license in the future. Any failure or delay in completing clinical trials for our product candidates would prevent or delay the commercialization of our product candidates, which could materially and adversely affect our business, financial condition, results of operations and growth prospects.</w:t>
      </w:r>
    </w:p>
    <w:p>
      <w:pPr>
        <w:spacing w:after="0" w:line="43" w:lineRule="exact"/>
        <w:rPr>
          <w:sz w:val="20"/>
          <w:szCs w:val="20"/>
          <w:color w:val="auto"/>
        </w:rPr>
      </w:pPr>
    </w:p>
    <w:p>
      <w:pPr>
        <w:ind w:right="40" w:firstLine="432"/>
        <w:spacing w:after="0" w:line="285" w:lineRule="auto"/>
        <w:rPr>
          <w:sz w:val="20"/>
          <w:szCs w:val="20"/>
          <w:color w:val="auto"/>
        </w:rPr>
      </w:pPr>
      <w:r>
        <w:rPr>
          <w:rFonts w:ascii="Arial" w:cs="Arial" w:eastAsia="Arial" w:hAnsi="Arial"/>
          <w:sz w:val="16"/>
          <w:szCs w:val="16"/>
          <w:color w:val="auto"/>
        </w:rPr>
        <w:t>As a condition to regulatory approval, each product candidate must undergo extensive and expensive preclinical studies and clinical trials to demonstrate to a statistically significant degree that the product candidate is safe and effective. The results at any stage of the development process may lack the desired safety, efficacy or pharmacokinetic characteristics. Results of limited preclinical studies, including studies of our product candidates in animal models, may not predict the results of human clinical trials of those product candidates. Similarly, results from early clinical trials may not be predictive of results obtained in later and larger clinical trials, and product candidates in later clinical trials may fail to show the desired safety and efficacy despite having progressed successfully through initial clinical testing. In that case, the FDA or any equivalent non-U.S. regulatory agency may determine our data is not sufficiently compelling to warrant marketing approval and may require us to engage in additional clinical trials or provide further analysis which may be costly and time-consuming. A number of companies in the pharmaceutical industry, including us, have suffered significant setbacks in clinical trials, even in advanced clinical trials after showing positive results in preclinical studies or earlier clinical trials. For example, in the second quarter of 2015, we initiated patient enrollment in three Phase 3 clinical trials for JZP-110, a late-stage investigational compound being developed for potential treatment of excessive sleepiness in patients with narcolepsy and excessive sleepiness in patients with obstructive sleep apnea, or OSA. We expect preliminary data from the trials in patients with excessive sleepiness associated with OSA in the first quarter of 2017 and from the trial in patients with excessive sleepiness associated with narcolepsy in mid-2017. However, our ability to meet this goal for each trial depends on an acceleration of enrollment rates. Further, these results may not be positive, and we may be unable to complete these clinical trials in a timely manner or submit an NDA to the FDA on our anticipated timeline, or at all. If a product candidate, including JZP-110, fails at any stage of development, it will not receive regulatory approval, we will not be able to commercialize it, and we will not receive any return on our investment in that product candidate.</w:t>
      </w:r>
    </w:p>
    <w:p>
      <w:pPr>
        <w:spacing w:after="0" w:line="43"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development pipeline projects may not be successful, and any adverse events or other information generated during the course of studies related to existing products could result in action by the FDA or a non-U.S. regulatory agency, which may restrict our ability to sell, or adversely affect sales of, currently marketed products, or such events or other information could otherwise have a material adverse effect on a related commercial product. Any failure or delay in completing clinical trials for line extensions or the generation of additional clinical data could materially and adversely affect the maintenance and growth of the markets for the related marketed products, which could adversely affect our business, financial condition, results of operations and overall growth prospects.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issues relating to the results generated in clinical trials, clinical trials can be delayed or halted for a variety of reasons, including:</w:t>
      </w:r>
    </w:p>
    <w:p>
      <w:pPr>
        <w:spacing w:after="0" w:line="102" w:lineRule="exact"/>
        <w:rPr>
          <w:sz w:val="20"/>
          <w:szCs w:val="20"/>
          <w:color w:val="auto"/>
        </w:rPr>
      </w:pPr>
    </w:p>
    <w:p>
      <w:pPr>
        <w:ind w:left="740" w:right="700" w:hanging="327"/>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or failures in obtaining clinical materials and manufacturing sufficient quantities of the product candidate for use in trials;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or failures in reaching agreement on acceptable terms with prospective study sites;</w:t>
      </w:r>
    </w:p>
    <w:p>
      <w:pPr>
        <w:spacing w:after="0" w:line="90"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or failures in obtaining approval of our clinical trial protocol from an institutional review board, also known as Ethics Committees in Europe, to conduct a clinical trial at a prospective study site;</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or failures in recruiting patients to participate in a clinical trial;</w:t>
      </w:r>
    </w:p>
    <w:p>
      <w:pPr>
        <w:spacing w:after="0" w:line="90" w:lineRule="exact"/>
        <w:rPr>
          <w:rFonts w:ascii="Arial" w:cs="Arial" w:eastAsia="Arial" w:hAnsi="Arial"/>
          <w:sz w:val="18"/>
          <w:szCs w:val="18"/>
          <w:color w:val="auto"/>
        </w:rPr>
      </w:pPr>
    </w:p>
    <w:p>
      <w:pPr>
        <w:ind w:left="740" w:right="600" w:hanging="327"/>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our clinical trials and clinical investigators to be in compliance with the FDA and other regulatory agencies’ good clinical practice guidelines;</w:t>
      </w:r>
    </w:p>
    <w:p>
      <w:pPr>
        <w:spacing w:after="0" w:line="35" w:lineRule="exact"/>
        <w:rPr>
          <w:rFonts w:ascii="Arial" w:cs="Arial" w:eastAsia="Arial" w:hAnsi="Arial"/>
          <w:sz w:val="18"/>
          <w:szCs w:val="18"/>
          <w:color w:val="auto"/>
        </w:rPr>
      </w:pPr>
    </w:p>
    <w:p>
      <w:pPr>
        <w:ind w:left="740" w:right="200" w:hanging="327"/>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unforeseen safety issues, including negative results from ongoing preclinical studies and clinical trials and adverse events associated with product candidates;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monitoring multiple study sites;</w:t>
      </w:r>
    </w:p>
    <w:p>
      <w:pPr>
        <w:spacing w:after="0" w:line="90" w:lineRule="exact"/>
        <w:rPr>
          <w:rFonts w:ascii="Arial" w:cs="Arial" w:eastAsia="Arial" w:hAnsi="Arial"/>
          <w:sz w:val="18"/>
          <w:szCs w:val="18"/>
          <w:color w:val="auto"/>
        </w:rPr>
      </w:pPr>
    </w:p>
    <w:p>
      <w:pPr>
        <w:ind w:left="740" w:right="700" w:hanging="327"/>
        <w:spacing w:after="0" w:line="277"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our third party clinical trial managers to satisfactorily perform their contractual duties, comply with regulations or meet expected deadlines; or</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insufficient funds to complete the trials.</w:t>
      </w:r>
    </w:p>
    <w:p>
      <w:pPr>
        <w:spacing w:after="0" w:line="17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if they do not properly and successfully perform their legal and regulatory obligations, as well as their contractual obligations to us, we may not be able to obtain regulatory approvals for our product candidates.</w:t>
      </w:r>
    </w:p>
    <w:p>
      <w:pPr>
        <w:spacing w:after="0" w:line="1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rely on contract research organizations and other third parties to assist us in designing, managing, monitoring and otherwise carrying out our clinical trials, including with respect to site selection, contract negotiation and data management. We do not control these third parties and, as a result, they may not treat our clinical studies as a high priority, or in the manner in which we would prefer, which could result in delays. We are responsible for confirming that each of our clinical trials is conducted in accordance with its general investigational plan and protocol, as well as the FDA’s and non-U.S. regulatory agencies’ requirements, commonly referred to as good clinical practices, for conducting, recording and reporting the results of clinical trials to ensure that the data and results are credible and accurate and that the trial participants are adequately protected. The FDA and non-U.S. regulatory agencies enforce good clinical practices through periodic inspections of trial sponsors, principal investigators and trial sites. If we, contract research organizations or other third parties assisting us or our study sites fail to comply with applicable good clinical practices,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good clinical practices. In addition, our clinical trials must be conducted with product produced under the FDA’s cGMP regulations and similar regulations outside of the U.S. Our failure, or the failure of our product suppliers, to comply with these regulations may require us to repeat or redesign clinical trials, which would delay the regulatory approval process.</w:t>
      </w:r>
    </w:p>
    <w:p>
      <w:pPr>
        <w:spacing w:after="0" w:line="52"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If third parties do not successfully carry out their duties under their agreements with us, if the quality or accuracy of the data they obtain is compromised due to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from other companies, including companies with greater resources, including larger sales organizations and more experience working with large and diverse product portfolios, than we have.*</w:t>
      </w:r>
    </w:p>
    <w:p>
      <w:pPr>
        <w:spacing w:after="0" w:line="3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commercial potential of our current products and any future products may be reduced or eliminated if our competitors develop or acquire and commercialize generic or branded products that are safer or more effective, have fewer side effects, are easier to administer or are less expensive than our products. The pharmaceutical industry is highly competitive and dominated by a number of large, established pharmaceutical companies, as well as specialty pharmaceutical companies that market products and develop product candidates in sleep, hematology/oncology, pain and other therapeutic areas. Many of our competitors, particularly large pharmaceutical and life sciences companies, have substantially greater financial, operational and human resources than we do. They can spend more on, and have more expertise in, research and development, regulatory, manufacturing, distribution and sales activities. As a result, our competitors may obtain FDA or other regulatory approvals for their product candidates more rapidly than we may and may market their products more effectively than we do. Smaller or earlier stage companies may also prove to be significant competitors, particularly through focused development programs and collaborative arrangements with large, established companies.</w:t>
      </w:r>
    </w:p>
    <w:p>
      <w:pPr>
        <w:spacing w:after="0" w:line="47" w:lineRule="exact"/>
        <w:rPr>
          <w:sz w:val="20"/>
          <w:szCs w:val="20"/>
          <w:color w:val="auto"/>
        </w:rPr>
      </w:pPr>
    </w:p>
    <w:p>
      <w:pPr>
        <w:ind w:right="160" w:firstLine="432"/>
        <w:spacing w:after="0" w:line="258" w:lineRule="auto"/>
        <w:rPr>
          <w:sz w:val="20"/>
          <w:szCs w:val="20"/>
          <w:color w:val="auto"/>
        </w:rPr>
      </w:pPr>
      <w:r>
        <w:rPr>
          <w:rFonts w:ascii="Arial" w:cs="Arial" w:eastAsia="Arial" w:hAnsi="Arial"/>
          <w:sz w:val="17"/>
          <w:szCs w:val="17"/>
          <w:color w:val="auto"/>
        </w:rPr>
        <w:t>While Xyrem is currently the only product approved by the FDA for the treatment of both cataplexy and EDS in patients with narcolepsy, cataplexy is often treated with tricyclic antidepressants and selective serotonin reuptake inhibitors or selective norepinephrine reuptake inhibitors, even though these products are not approved by the FDA for the treatment of cataplexy. Other treatments for EDS in patients with narcolepsy include stimulants and wakefulness promoting agents, such as Provigil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(modafinil) and Nuvigil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(armodafinil), as well as generic versions of Provigil, the only other FDA-approved products for the treatment of EDS in patients with narcolepsy. Provigil, its generic equivalents and Nuvigil are also approved for improving wakefulness in patients with EDS associated with treated OSA or shift work disorder. We are also aware of products being developed by others for use as treatment options in cataplexy and/or EDS in patients with narcolepsy, including a product to treat adult patients with narcolepsy with or without cataplexy that recently received marketing approval in Europe. While this product is currently not approved by the FDA for marketing in the United States or, to our knowledge, subject to a pending application for such approval, the receipt of marketing approval and commercialization of this product in the United States for the treatment of narcolepsy could negatively impact our ability to maintain and grow sales of Xyrem.</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 xml:space="preserve">While there is currently no direct competition to Erwinaze to treat ALL patients with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other companies have developed or are developing new treatments for ALL, including new asparaginase treatments that could reduce the rate of hypersensitivity in patients with ALL, and new treatment protocols are being developed for ALL that may not include asparaginase-containing regimens. For example, a number of companies are developing new immunotherapy treatments for relapsed or refractory ALL patients, including one treatment that was recently approved, and a company recently announced positive efficacy and safety results from its completed Phase 2/3 pivotal trial in Europe for an alternative asparaginase treatment consisting of L-asparaginase encapsulated inside donor-derived red blood cells. The development of these new treatments could negatively impact our ability to maintain and grow sales of Erwinaze in patient populations where the benefit of an asparaginase-containing regimen is not well established.</w:t>
      </w:r>
    </w:p>
    <w:p>
      <w:pPr>
        <w:spacing w:after="0" w:line="32"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With respect to Vyxeos, we are aware of other products being developed for use as treatment options for AML patients, including in different patient populations (i.e., relapsed or refractory patients and patients who are deemed unsuitable for intensive chemotherapy) than were studied in the Vyxeos Phase 3 clinical trial. However, it is possible that products may be developed to treat the patient population studied in the Vyxeos Phase 3 clinical trial. The development of competing products for the treatment of patients in the patient population studied in the Vyxeos Phase 3 clinical trial or similar patient populations could negatively impact our ability to successfully launch and commercialize an approved Vyxeos product and achieve the level of sales we expect, which could have a material adverse effect on our business, financial condition, results of operations and growth prospects.</w:t>
      </w:r>
    </w:p>
    <w:p>
      <w:pPr>
        <w:spacing w:after="0" w:line="30"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In addition, many of our competitors are able to deploy more personnel to market and sell their products than we do. We currently have a relatively small number of sales representatives compared with the number of sales representatives of most other pharmaceutical companies with marketed products. Each of our sales representatives is responsible for a territory of significant size. The continued growth of our current products and the launch of any future products may require expansion of our sales force and sales support organization, and we may need to commit significant additional funds, management and other resources to the growth of our sales organization. We may not be able to achieve any necessary growth in a timely or cost-effective manner or realize a positive return on our investment, and we may not have the financial resources to achieve the necessary growth in a timely manner or at all. In particular, we compete with a significant number of pharmaceutical and life sciences companies with extensive sales, marketing and promotional experience in hematology/oncology markets, and our failure to compete effectively in this area could negatively affect our sales of Erwinaze, Defitelio and other products. We also have to compete with other pharmaceutical and life sciences companies to recruit, hire, train and retain sales and marketing personnel, and turnover in our sales force and marketing personnel could negatively affect sales of our products. If our specialty sales force and sales organization are not appropriately sized to adequately promote any current or potential future products, the commercial potential of our current products and any future products may be diminished.</w:t>
      </w:r>
    </w:p>
    <w:p>
      <w:pPr>
        <w:spacing w:after="0" w:line="45"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 xml:space="preserve">We also face competition, and may in the future face additional competition, from manufacturers of generic drugs. Generic competition often results in decreases in the prices at which branded products can be sold, particularly when there is more than one generic available in the marketplace. In addition, legislation enacted in the U.S. allows for, and in a few instances in the absence of specific instructions from the prescribing physician mandates, the dispensing of generic products rather than branded products where a generic version is available. Other companies could also develop products that are similar, but not identical, to our marketed products, such as an alternative formulation of our product or an alternative formulation combined with a different delivery technology, and seek approval in the U.S. by referencing our products and relying, to some degree, on the FDA’s finding that our products are safe and effective. For more information, see the risk factor under the heading </w:t>
      </w:r>
      <w:r>
        <w:rPr>
          <w:rFonts w:ascii="Arial" w:cs="Arial" w:eastAsia="Arial" w:hAnsi="Arial"/>
          <w:sz w:val="16"/>
          <w:szCs w:val="16"/>
          <w:i w:val="1"/>
          <w:iCs w:val="1"/>
          <w:color w:val="auto"/>
        </w:rPr>
        <w:t>“If generic versions of Xyrem or other sodium oxybate products that compete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Xyrem are approved and launched, sales of Xyrem would be adversely affected” </w:t>
      </w:r>
      <w:r>
        <w:rPr>
          <w:rFonts w:ascii="Arial" w:cs="Arial" w:eastAsia="Arial" w:hAnsi="Arial"/>
          <w:sz w:val="16"/>
          <w:szCs w:val="16"/>
          <w:color w:val="auto"/>
        </w:rPr>
        <w:t>in Part II, Item 1A of this Quarterly Report on Form 10-Q.</w:t>
      </w:r>
    </w:p>
    <w:p>
      <w:pPr>
        <w:spacing w:after="0" w:line="3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products and product candidates may also compete in the future with new products currently under development by others. Any products that we develop are likely to be in a highly competitive market, and many of our competitors may succeed in developing products that may render our products obsolete or noncompetitive.</w:t>
      </w:r>
    </w:p>
    <w:p>
      <w:pPr>
        <w:spacing w:after="0" w:line="4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ability to continue to grow further requires that we compete successfully with specialty pharmaceutical companies for product and product candidate acquisition and in-licensing opportunities. These competitors include established companies that may have a competitive advantage over us due to their size and financial resources.</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attract, retain and motivate key personnel or to retain the members of our executive management team, our operations and our future growth may be adversely affected.</w:t>
      </w:r>
    </w:p>
    <w:p>
      <w:pPr>
        <w:spacing w:after="0" w:line="35"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Our success and our ability to grow depend in part on our continued ability to attract, retain and motivate highly qualified personnel and on our ability to develop and maintain important relationships with leading academic institutions, clinicians and scientists. We are highly dependent upon our executive management team and other critical personnel, all of whom work on many complex matters that are essential to our success. We do not carry “key person” insurance. The loss of services of one or more members of our executive management team or other key personnel could delay or prevent the successful completion of some of our vital activities. Any employee may terminate his or her employment at any time without notice or with only short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125"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notice and without cause or good reason. The resulting loss of institutional knowledge may negatively impact our operations and future growth.</w:t>
      </w:r>
    </w:p>
    <w:p>
      <w:pPr>
        <w:spacing w:after="0" w:line="9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 addition, to grow our company we will need additional personnel. Competition for qualified personnel in the pharmaceutical industry is very intense. If we are unable to attract, retain and motivate quality individuals, including in our research and development operations, which are continuing to expand, our business, financial condition, results of operations and growth prospects could be adversely affected.</w:t>
      </w:r>
    </w:p>
    <w:p>
      <w:pPr>
        <w:spacing w:after="0" w:line="46"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We also depend on the unique abilities, industry experience and institutional knowledge of the members of our board of directors to efficiently set company strategy and effectively guide our executive management team. We cannot be certain that future board turnover will not negatively affect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data security breaches could adversely affect our business.</w:t>
      </w:r>
    </w:p>
    <w:p>
      <w:pPr>
        <w:spacing w:after="0" w:line="90"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are increasingly dependent on information technology systems and infrastructure, including mobile technologies,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also outsourced elements of our operations (including elements of our information technology infrastructure) to third parties, and as a result we manage a number of third party vendors who may or could have access to our confidential information. The size and complexity of our information technology systems, and those of third party vendors with whom we contract, and the large amounts of confidential information stored on those systems, make such systems potentially vulnerable to service interruptions or to security breaches from inadvertent or intentional actions by our employees, third party vendors, and/or business partners, or from cyber-attacks by malicious third parties. Cyber-attacks are increasing in their frequency, sophistication and intensity. Cyber-attacks could include the deployment of harmful malware, denial-of-service attacks, social engineering and other means to affect service reliability and threaten the confidentiality, integrity and availability of information. From time to time, our systems have been subject to cyber-attacks.</w:t>
      </w:r>
    </w:p>
    <w:p>
      <w:pPr>
        <w:spacing w:after="0" w:line="34"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Significant disruptions of our information technology systems or security breaches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Any such event that leads to unauthorized access, use or disclosure of personal information, including personal information regarding our patients or employees,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the privacy and security of personal information, which could disrupt our business, result in increased costs or loss of revenue, and/or result in significant legal and financial exposure. In addition, security breaches and other inappropriate access can be difficult to detect, and any delay in identifying them may lead to increased harm of the type described above. Moreover, the prevalent use of mobile devices to access confidential information increases the risk of security breaches. While we have implemented security measures to protect our information technology systems and infrastructure, there can be no assurance that such measures will prevent service interruptions or security breaches that could adversely affect our business.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9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commercial success depends in part on obtaining and maintaining patent protection of our products and product candidates and their use and the methods used to manufacture and distribute them, as well as successfully defending these patents against third party challenges, and successfully protecting our trade secrets. Our ability to protect our products and product candidates from unauthorized making, using, selling, offering to sell or importation by third parties depends on the extent to which we have rights under valid and enforceable patents or have trade secrets that cover these activities. We cannot be certain that any of our patent applications, or those of our licensors, will result in issued patents, that the patents we own and license, or any additional patents we may own or license, will prevent other companies from developing similar or therapeutically equivalent products, or that others will not be issued patents that may prevent the sale of our products or require licensing and the payment of significant fees or royalties.</w:t>
      </w:r>
    </w:p>
    <w:p>
      <w:pPr>
        <w:spacing w:after="0" w:line="32"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patent position of pharmaceutical companies can be highly uncertain and involve complex legal, regulatory and factual questions. We own a portfolio of U.S. and non-U.S. patents and patent applications and have licensed rights to a number of issued patents and patent applications that cover or relate to our products and product candidates, including Xyrem and Defitelio. Changes in either the patent laws or in interpretations of patent laws in the U.S. and other countries may diminish the value of our intellectual property. Even if we are able to obtain patents covering our products and product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5"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candidates, any patent may be challenged, invalidated, held unenforceable or circumvented, potentially including by FDA approval of an ANDA that avoids infringement of our intellectual property.</w:t>
      </w:r>
    </w:p>
    <w:p>
      <w:pPr>
        <w:spacing w:after="0" w:line="35"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On September 16, 2011, the Leahy-Smith America Invents Act, or the America Invents Act, was signed into law. The final substantive provisions of the America Invents Act, including the first to file system, became effective on March 16, 2013. The America Invents Act includes a number of significant changes to U.S. patent law. These changes include provisions that affect the way patent applications are being filed, prosecuted and litigated. For example, the America Invents Act enacted proceedings involving post-issuance patent review procedures, such as IPR and other post grant reviews. These proceedings are conducted before the PTAB. Each proceeding has different eligibility criteria and different patentability challenges that can be raised. The IPR process permits any person (except a party who has sued on the patent for more than a year) to challenge the validity of the patent on the grounds that it was anticipated or made obvious by prior art.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growth prospects. We cannot predict what impact, if any, amendments to the America Invents Act or other patent-related legislation, or judicial decisions interpreting such legislation, will have on such uncertainties and costs.</w:t>
      </w:r>
    </w:p>
    <w:p>
      <w:pPr>
        <w:spacing w:after="0" w:line="3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Although Xyrem is covered by patents covering its formulation, distribution system and method of use, third parties are seeking to introduce generic versions of Xyrem, and additional third parties may also attempt to invalidate or design around the patents, or assert that they are invalid or otherwise unenforceable, and seek to introduce generic versions of Xyrem or other sodium oxybate products for treatment of cataplexy and/or EDS in narcolepsy. If one or more companies receive FDA approval of an ANDA for generic versions of Xyrem or an NDA for other sodium oxybate products, it is possible that such company or companies could introduce generic versions of Xyrem or other sodium oxybate products before our patents expire, if it is determined that our patents are invalid, unenforceable or non-infringed, or if such company or companies decide, before applicable ongoing patent litigation is concluded, to launch competition to Xyrem at risk of potentially being held liable for damages for patent infringement.</w:t>
      </w:r>
    </w:p>
    <w:p>
      <w:pPr>
        <w:spacing w:after="0" w:line="70"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Seven companies have sent us notices that they have filed ANDAs with the FDA seeking approval to market a generic version of Xyrem. Additional ANDAs could also be filed requesting approval to market generic versions of Xyrem. If any of these applications is approved, and a generic version of Xyrem is introduced, our sales of Xyrem would be adversely affected. We have filed lawsuits against the current ANDA filers seeking to prevent the introduction of a generic version of Xyrem that would infringe our patents, but we cannot assure you that any of the lawsuits will prevent the introduction of a generic version of Xyrem for any particular length of time, or at all. In the second quarter of 2016, we settled two of these lawsuits, granting the settling ANDA applicants a license to manufacture, market and sell their generic versions of Xyrem on or after December 31, 2025, or earlier depending on the occurrence of certain events. The court in which our ANDA litigation is ongoing has determined that all of our pending patent litigation against the first ANDA filer, Roxane, will be consolidated for trial and set trial in this consolidated case for the second quarter of 2017. However, the actual timing of events may be earlier or later than we currently anticipate, and we cannot predict the timing or outcome of events in this or the other ANDA litigation.</w:t>
      </w:r>
    </w:p>
    <w:p>
      <w:pPr>
        <w:spacing w:after="0" w:line="167"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Certain ANDA filers have filed petitions for IPR with respect to the validity of certain distribution, method of use and formulation patents covering Xyrem. The PTAB instituted IPR trials with respect to patents and patent claims that are the subject of certain of these petitions. In July 2016, the PTAB issued final decisions that the claims of six distribution system patents that were the subject of certain IPR trials are unpatentable; as a result, if the Court of Appeals for the Federal Circuit upholds those decisions or if the time for appeal expires, these claims will be canceled. For a description of these matters, see “Legal Proceedings” in Part II, Item 1 of this Quarterly Report on Form 10-Q. We cannot predict whether additional post-grant patent review challenges will be filed by any of the ANDA filers or any other entity, the outcome of any pending IPR or other proceeding, the outcome of any appeal of the July 2016 IPR decisions with respect to six patents covering the distribution system for Xyrem, whether the PTAB will institute any petitioned IPR proceeding that has not yet been instituted, or the impact any IPR or other proceeding might have on ongoing ANDA litigation proceedings or other aspects of our Xyrem business.</w:t>
      </w:r>
    </w:p>
    <w:p>
      <w:pPr>
        <w:spacing w:after="0" w:line="13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 company that is using its proprietary technology for delivery of a sodium oxybate formulation to eliminate second nighttime dosing for narcolepsy patients has stated that it anticipates commencing a Phase 3 pivotal trial in 2016. For more information, see the risk factor under the heading “</w:t>
      </w:r>
      <w:r>
        <w:rPr>
          <w:rFonts w:ascii="Arial" w:cs="Arial" w:eastAsia="Arial" w:hAnsi="Arial"/>
          <w:sz w:val="18"/>
          <w:szCs w:val="18"/>
          <w:i w:val="1"/>
          <w:iCs w:val="1"/>
          <w:color w:val="auto"/>
        </w:rPr>
        <w:t>If generic</w:t>
      </w:r>
      <w:r>
        <w:rPr>
          <w:rFonts w:ascii="Arial" w:cs="Arial" w:eastAsia="Arial" w:hAnsi="Arial"/>
          <w:sz w:val="18"/>
          <w:szCs w:val="18"/>
          <w:color w:val="auto"/>
        </w:rPr>
        <w:t xml:space="preserve"> </w:t>
      </w:r>
      <w:r>
        <w:rPr>
          <w:rFonts w:ascii="Arial" w:cs="Arial" w:eastAsia="Arial" w:hAnsi="Arial"/>
          <w:sz w:val="18"/>
          <w:szCs w:val="18"/>
          <w:i w:val="1"/>
          <w:iCs w:val="1"/>
          <w:color w:val="auto"/>
        </w:rPr>
        <w:t>versions of Xyrem or other sodium oxybate products that compete with Xyrem are approved and launched, sales of Xyrem would be adversely affected</w:t>
      </w:r>
      <w:r>
        <w:rPr>
          <w:rFonts w:ascii="Arial" w:cs="Arial" w:eastAsia="Arial" w:hAnsi="Arial"/>
          <w:sz w:val="18"/>
          <w:szCs w:val="18"/>
          <w:color w:val="auto"/>
        </w:rPr>
        <w:t>” in Part</w:t>
      </w:r>
      <w:r>
        <w:rPr>
          <w:rFonts w:ascii="Arial" w:cs="Arial" w:eastAsia="Arial" w:hAnsi="Arial"/>
          <w:sz w:val="18"/>
          <w:szCs w:val="18"/>
          <w:i w:val="1"/>
          <w:iCs w:val="1"/>
          <w:color w:val="auto"/>
        </w:rPr>
        <w:t xml:space="preserve"> </w:t>
      </w:r>
      <w:r>
        <w:rPr>
          <w:rFonts w:ascii="Arial" w:cs="Arial" w:eastAsia="Arial" w:hAnsi="Arial"/>
          <w:sz w:val="18"/>
          <w:szCs w:val="18"/>
          <w:color w:val="auto"/>
        </w:rPr>
        <w:t>II, Item 1A of this Quarterly Report on Form 10-Q.</w:t>
      </w:r>
    </w:p>
    <w:p>
      <w:pPr>
        <w:spacing w:after="0" w:line="5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existence of a patent will not necessarily prevent other companies from developing similar or therapeutically equivalent products or protect us from claims of third parties that our products infringe their issued patents, which may require licensing and the payment of significant fees or royalties. Competitors may successfully challenge our patents, produce similar products that do not infringe our patents, or manufacture products in countries where we have not applied for patent protection or that do not respect our patents. Accordingly, we cannot predict the breadth of claims that may be allowed or enforced in our patents, our licensed patents or in third party patents.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degree of future protection to be afforded by our proprietary rights is uncertain because legal means afford only limited protection and may not adequately protect our rights or permit us to gain or keep our competitive advantage. For example:</w:t>
      </w:r>
    </w:p>
    <w:p>
      <w:pPr>
        <w:spacing w:after="0" w:line="35" w:lineRule="exact"/>
        <w:rPr>
          <w:sz w:val="20"/>
          <w:szCs w:val="20"/>
          <w:color w:val="auto"/>
        </w:rPr>
      </w:pPr>
    </w:p>
    <w:p>
      <w:pPr>
        <w:ind w:left="740" w:right="40" w:hanging="327"/>
        <w:spacing w:after="0" w:line="277" w:lineRule="auto"/>
        <w:tabs>
          <w:tab w:leader="none" w:pos="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our patents, or for which we are not licensed under our license agreements;</w:t>
      </w:r>
    </w:p>
    <w:p>
      <w:pPr>
        <w:spacing w:after="0" w:line="35" w:lineRule="exact"/>
        <w:rPr>
          <w:rFonts w:ascii="Arial" w:cs="Arial" w:eastAsia="Arial" w:hAnsi="Arial"/>
          <w:sz w:val="18"/>
          <w:szCs w:val="18"/>
          <w:color w:val="auto"/>
        </w:rPr>
      </w:pPr>
    </w:p>
    <w:p>
      <w:pPr>
        <w:ind w:left="740" w:right="580" w:hanging="327"/>
        <w:spacing w:after="0" w:line="277" w:lineRule="auto"/>
        <w:tabs>
          <w:tab w:leader="none" w:pos="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we or our licensors or partners might not have been the first to invent or file, as appropriate, subject matters covered by our issued patents or pending patent applications or the pending patent applications or issued patents of our licensors or partners;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without infringing our intellectual property rights;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90" w:lineRule="exact"/>
        <w:rPr>
          <w:rFonts w:ascii="Arial" w:cs="Arial" w:eastAsia="Arial" w:hAnsi="Arial"/>
          <w:sz w:val="18"/>
          <w:szCs w:val="18"/>
          <w:color w:val="auto"/>
        </w:rPr>
      </w:pPr>
    </w:p>
    <w:p>
      <w:pPr>
        <w:ind w:left="740" w:right="40" w:hanging="327"/>
        <w:spacing w:after="0" w:line="277" w:lineRule="auto"/>
        <w:tabs>
          <w:tab w:leader="none" w:pos="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our issued patents and the issued patents of our licensors or partners may not provide us with any competitive advantages, or may be held invalid or unenforceable as a result of legal challenges by third parties;</w:t>
      </w:r>
    </w:p>
    <w:p>
      <w:pPr>
        <w:spacing w:after="0" w:line="8" w:lineRule="exact"/>
        <w:rPr>
          <w:rFonts w:ascii="Arial" w:cs="Arial" w:eastAsia="Arial" w:hAnsi="Arial"/>
          <w:sz w:val="18"/>
          <w:szCs w:val="18"/>
          <w:color w:val="auto"/>
        </w:rPr>
      </w:pPr>
    </w:p>
    <w:p>
      <w:pPr>
        <w:ind w:left="720" w:hanging="32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issued patents may not cover our competitors’ products;</w:t>
      </w:r>
    </w:p>
    <w:p>
      <w:pPr>
        <w:spacing w:after="0" w:line="130" w:lineRule="exact"/>
        <w:rPr>
          <w:rFonts w:ascii="Arial" w:cs="Arial" w:eastAsia="Arial" w:hAnsi="Arial"/>
          <w:sz w:val="18"/>
          <w:szCs w:val="18"/>
          <w:color w:val="auto"/>
        </w:rPr>
      </w:pPr>
    </w:p>
    <w:p>
      <w:pPr>
        <w:ind w:left="740" w:hanging="327"/>
        <w:spacing w:after="0"/>
        <w:tabs>
          <w:tab w:leader="none" w:pos="7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our issued patents and the issued patents of our licensors or partners may be vulnerable to legal challenges as a result of changes in applicable law;</w:t>
      </w:r>
    </w:p>
    <w:p>
      <w:pPr>
        <w:spacing w:after="0" w:line="113" w:lineRule="exact"/>
        <w:rPr>
          <w:rFonts w:ascii="Arial" w:cs="Arial" w:eastAsia="Arial" w:hAnsi="Arial"/>
          <w:sz w:val="16"/>
          <w:szCs w:val="16"/>
          <w:color w:val="auto"/>
        </w:rPr>
      </w:pPr>
    </w:p>
    <w:p>
      <w:pPr>
        <w:ind w:left="740" w:hanging="327"/>
        <w:spacing w:after="0"/>
        <w:tabs>
          <w:tab w:leader="none" w:pos="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we may not develop additional proprietary products that are patentable; or</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also may rely on trade secrets and other unpatented proprietary information to protect our technology, especially where we do not believe patent protection is appropriate or obtainable. However, trade secrets are difficult to protect. Although we use reasonable efforts to protect our trade secrets and other unpatented proprietary information, our employees, consultants, advisors and partners may unintentionally or willfully disclose our proprietary information to competitors, and we may not have adequate remedies for such disclosures.</w:t>
      </w:r>
    </w:p>
    <w:p>
      <w:pPr>
        <w:spacing w:after="0" w:line="5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If our employees, consultants, advisors and partners develop inventions or processes independently, or jointly with us, that may be applicable to our products under development, disputes may arise about ownership or proprietary rights to those inventions and processes. Enforcing a claim that a third party illegally obtained and is using any of our inventions or trade secrets is expensive and time-consuming, and the outcome is unpredictable. In addition, courts outside of the U.S. are sometimes less willing to protect trade secrets. Moreover, our competitors may independently develop equivalent knowledge, methods and know-how.</w:t>
      </w:r>
    </w:p>
    <w:p>
      <w:pPr>
        <w:spacing w:after="0" w:line="53"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Certain of the products we sell have no patent protection and, as a result, potential competitors face fewer barriers in introducing competing products. We rely on trade secrets and other unpatented proprietary information to protect our commercial position with respect to such products, which we may be unable to do. In some instances, we also rely on regulatory exclusivity. For example, Erwinaze has no patent protection. In addition to protection using trade secrets, Erwinaze has orphan drug exclusivity in the U.S. for a seven-year period from its FDA approval, which precludes approval of another product with the same principal molecular structure for the same indication until November 2018. Erwinaze, as a biologic product approved under a BLA, is also subject to the U.S. Biologics Price Competition and Innovation Act, or BPCIA. We believe that Erwinaze is protected by exclusivity that prevents approval of a biosimilar in the U.S. through late 2023 under the BPCIA. Because the BPCIA is a relatively new law, we anticipate that its impact on both reference product sponsors and biosimilar applicants will evolve over a period of years. Its implementation likely will be shaped by a variety of factors, including FDA issuance of guidance documents, proposed regulations, and decisions in the course of considering specific applications. As a result, it is possible that a potential competing drug product might obtain FDA approval before the orphan drug and expected BCPIA exclusivity periods have expired, which would adversely affect sales of Erwinaze. In the EU, the regulatory data protection and thus regulatory exclusivity period for Erwinase has lapsed. This also means that any new marketing authorizations for Erwinase in other EU member states will not receive any regulatory data protection. If a biosimilar product to Erwinaze is approved as interchangeable to Erwinaze in the U.S. or in other countries where Erwinaze is sold, a significant percentage of the prescriptions that would have been written for Erwinaze may be filled with the biosimilar version, resulting in a loss in sales of Erwinaze, and there may be a decrease in the price at which Erwinaze can be sold. Competition from a biosimilar product to Erwinaze could have a material adverse effect on our business, financial condition, results of operations and growth prospects.</w:t>
      </w:r>
    </w:p>
    <w:p>
      <w:pPr>
        <w:spacing w:after="0" w:line="46"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research and development collaborators may have rights to publish data and other information to which we have rights. In addition, we sometimes engage individuals or entities to conduct research that may be relevant to our business. While the ability of these individuals or entities to publish or otherwise publicly disclose data and other information generated during the course of their research is subject to contractual limitations, these contractual provisions may be insufficient or inadequate to protect our trade secrets and may impair our patent rights. If we do not apply for patent protection prior to such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publication, or if we cannot otherwise maintain the confidentiality of our innovations and other confidential information, then our ability to obtain patent protection or protect our proprietary information may be jeopardized. Moreover, a dispute may arise with our research and development collaborators over the ownership of rights to jointly developed intellectual property. Such disputes, if not successfully resolved, could lead to a loss of rights and possibly prevent us from pursuing certain new products or product candidates.</w:t>
      </w:r>
    </w:p>
    <w:p>
      <w:pPr>
        <w:spacing w:after="0" w:line="13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have incurred and expect to continue to incur substantial costs as a result of litigation or other proceedings relating to patents, other intellectual property rights and related matters, and we may be unable to protect our rights to, or commercialize, our products.*</w:t>
      </w:r>
    </w:p>
    <w:p>
      <w:pPr>
        <w:spacing w:after="0" w:line="1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Our ability, and that of our partners, to commercialize any approved products will depend, in part, on our ability to obtain patents, enforce those patents and operate without infringing the proprietary rights of third parties. The patent positions of pharmaceutical companies can be highly uncertain and involve complex legal and factual questions. We have filed multiple U.S. patent applications and non-U.S. counterparts, and may file additional U.S. and non-U.S. patent applications. There can be no assurance that any issued patents we own or control will provide sufficient protection to conduct our business as presently conducted or as proposed to be conducted. Moreover, for a variety of reasons, including the existence of relevant prior research performed and the existence of conflicting patent applications submitted in the same manner or similar fields, there can be no assurance that any patents will issue from the patent applications owned by us, or that we will remain free from infringement claims by third parties.</w:t>
      </w:r>
    </w:p>
    <w:p>
      <w:pPr>
        <w:spacing w:after="0" w:line="43"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If we choose to go to court to stop a third party from infringing our patents, our licensed patents or our partners’ patents, that third party has the right to ask the court, or to argue in front of an administrative agency, to rule that these patents are invalid and/or should not be enforced. These lawsuits and administrative proceedings are expensive and consume time and other resources, and we may not be successful in these proceedings or in stopping infringement. There is also a risk that a court will decide that these patents are not valid or infringed, or that the PTAB will decide that certain patents are not valid, and that we do not have the right to stop a third party from using the patented subject matter. Litigation involving patent matters is frequently settled between the parties, rather than continuing to a court ruling. If we were to settle a patent lawsuit with a generic pharmaceutical company, we could be subject to investigations by the FTC or other antitrust enforcement agencies or government or private-party lawsuits. The FTC has publicly stated that, in its view, certain types of agreements between brand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and to call on legislators to pass stronger laws prohibiting such settlements. Because there is currently no precise legal standard with respect to the lawfulness of such settlements, there could be extensive litigation over whether any settlement that we might enter into constitutes a reasonable and lawful patent settlement. Any such investigations or lawsuits, and the outcome thereof, could have a material adverse effect on our business.</w:t>
      </w:r>
    </w:p>
    <w:p>
      <w:pPr>
        <w:spacing w:after="0" w:line="10"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Seven companies have sent us notices that they have filed ANDAs with the FDA seeking approval to market a generic version of Xyrem. Additional ANDAs could also be filed requesting approval to market generic versions of Xyrem. If any of these applications is approved, and a generic version of Xyrem is introduced, our sales of Xyrem would be adversely affected. We have filed lawsuits against the current ANDA filers seeking to prevent the introduction of a generic version of Xyrem that would infringe our patents, but we cannot assure you that any of the lawsuits will prevent the introduction of a generic version of Xyrem for any particular length of time, or at all. In the second quarter of 2016, we settled two of these lawsuits, granting the settling ANDA applicants a license to manufacture, market and sell their generic versions of Xyrem on or after December 31, 2025, or earlier depending on the occurrence of certain events. The court in which our ANDA litigation is ongoing has determined that all of our pending patent litigation against the first ANDA filer, Roxane, will be consolidated for trial and set trial in this consolidated case for the second quarter of 2017. However, the actual timing of events may be earlier or later than we currently anticipate, and we cannot predict the timing or outcome of events in this or the other ANDA litigation. Certain ANDA filers have also filed petitions for IPR with respect to the validity of certain distribution, method of use and formulation patents covering Xyrem. The PTAB instituted IPR trials with respect to patents and patent claims that are the subject of certain of these petitions. In July 2016, the PTAB issued final decisions that the claims of six distribution system patents that were the subject of certain IPR trials are unpatentable; as a result, if the Court of Appeals for the Federal Circuit upholds those decisions or if the time for appeal expires, these claims will be canceled. For a description of these matters, see “Legal Proceedings” in Part II, Item 1 of this Quarterly Report on Form 10-Q. In addition, the IPR process under the America Invents Act permits any person, whether they are accused of infringing the patent at issue or not, to challenge the validity of certain patents. As a result, entities associated with hedge funds have challenged valuable pharmaceutical patents through the IPR process. We cannot predict whether additional post-grant patent review challenges will be filed by any of the ANDA filers or any other entity, the outcome of any pending IPR or other proceeding, the outcome of any appeal of the July 2016 IPR decisions with respect to six patents covering the distribution system for Xyrem, whether the PTAB will institute any petitioned IPR proceeding that has not yet been instituted, or the impact any IPR or other proceeding might have on ongoing ANDA litigation proceedings or other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aspects of our Xyrem business. For more information, see the risk factor under the heading “</w:t>
      </w:r>
      <w:r>
        <w:rPr>
          <w:rFonts w:ascii="Arial" w:cs="Arial" w:eastAsia="Arial" w:hAnsi="Arial"/>
          <w:sz w:val="18"/>
          <w:szCs w:val="18"/>
          <w:i w:val="1"/>
          <w:iCs w:val="1"/>
          <w:color w:val="auto"/>
        </w:rPr>
        <w:t>It is difficult and costly to protect our proprietary rights, and we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may not be able to ensure their protection” </w:t>
      </w:r>
      <w:r>
        <w:rPr>
          <w:rFonts w:ascii="Arial" w:cs="Arial" w:eastAsia="Arial" w:hAnsi="Arial"/>
          <w:sz w:val="18"/>
          <w:szCs w:val="18"/>
          <w:color w:val="auto"/>
        </w:rPr>
        <w:t>in Part II, Item 1A of this Quarterly Report on Form 10-Q. We cannot assure you that our pending lawsuits, other</w:t>
      </w:r>
      <w:r>
        <w:rPr>
          <w:rFonts w:ascii="Arial" w:cs="Arial" w:eastAsia="Arial" w:hAnsi="Arial"/>
          <w:sz w:val="18"/>
          <w:szCs w:val="18"/>
          <w:i w:val="1"/>
          <w:iCs w:val="1"/>
          <w:color w:val="auto"/>
        </w:rPr>
        <w:t xml:space="preserve"> </w:t>
      </w:r>
      <w:r>
        <w:rPr>
          <w:rFonts w:ascii="Arial" w:cs="Arial" w:eastAsia="Arial" w:hAnsi="Arial"/>
          <w:sz w:val="18"/>
          <w:szCs w:val="18"/>
          <w:color w:val="auto"/>
        </w:rPr>
        <w:t>lawsuits or proceedings we may file in the future, or our defense against any lawsuits or other proceeding that have been or will be brought against us will be successful in stopping the infringement of our patents, that any such litigation or other proceedings will be cost-effective, or that any of them will have a satisfactory result for us.</w:t>
      </w:r>
    </w:p>
    <w:p>
      <w:pPr>
        <w:spacing w:after="0" w:line="10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w:t>
      </w:r>
    </w:p>
    <w:p>
      <w:pPr>
        <w:spacing w:after="0" w:line="5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the pharmaceutical and life sciences industry, like other industries, it is not always clear to industry participants, including us, which patents cover various types of products or methods. The coverage of patents is subject to interpretation by the courts, and the interpretation is not always uniform.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52"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Because some patent applications in the U.S. may be maintained in secrecy until the patents are issued, because patent applications in the U.S. and many non-U.S. jurisdictions are typically not published until 18 months after their priority date, and because publications in the scientific literature often lag behind actual discoveries, we cannot be certain that others have not filed patent applications for inventions covered by our or our licensors’ issued patents or pending applications, or that we or our licensors were the first inventors. Our competitors may have filed, and may in the future file, patent applications covering subject matter similar to ours. Any such patent application may have priority over our or our licensors’ patents or applications and could further require us to obtain rights to issued patents covering such subject matter. If another party has filed a U.S. patent application on inventions similar to ours, we may have to participate in an interference proceeding declared by the U.S. Patent and Trademark Office, or USPTO, to determine priority of invention in the U.S. The costs of these proceedings could be substantial, and it is possible that such efforts would be unsuccessful, resulting in a loss of our U.S. patent position with respect to such inventions. Patent interferences are limited or unavailable for patent applications filed after March 16, 2013.</w:t>
      </w:r>
    </w:p>
    <w:p>
      <w:pPr>
        <w:spacing w:after="0" w:line="32"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Some of our competitors may be able to sustain the costs of complex patent and other intellectual property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46"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We own patents that cover, among other things, the formulation and method of use covering the administration for Xyrem. In July 2014, the USPTO issued us a new method of use patent relating to the safe and effective use of Xyrem by decreasing the dose of Xyrem when used concomitantly with divalproex sodium. In June 2015, the USPTO issued us another new method of use patent relating to decreasing the dose of Xyrem when used concomitantly with divalproex sodium. Both of these patents have been listed in the Orange Book. We have filed lawsuits against each of the Xyrem ANDA filers alleging infringement of these patents and seeking a permanent injunction to prevent these Xyrem ANDA filers from introducing a generic version of Xyrem that would infringe these patents. While we believe the additional safety information is critical for the safe use of Xyrem and should be required to be included in the label for any proposed generic form of Xyrem, we do not know whether the FDA will require any proposed generic form of Xyrem to include this information in its product label or whether we will be successful in maintaining the validity of the applicable patents and protecting the patents from infringement.</w:t>
      </w:r>
    </w:p>
    <w:p>
      <w:pPr>
        <w:spacing w:after="0" w:line="62"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also own method of use patents and trade secrets that cover elements of the Xyrem REMS, including patents that cover the use of a single central pharmacy to distribute Xyrem. In July 2016, the PTAB issued final decisions that the claims of six of seven distribution system patents that cover elements of the Xyrem REMS are unpatentable; as a result, if the Court of Appeals for the Federal Circuit upholds those decisions or if the time for appeal expires, these claims will be canceled. For a description of these matters, see “Legal Proceedings” in Part II, Item 1 of this Quarterly Report on Form 10-Q. The Xyrem REMS approval letter includes statements from the FDA that (i) the approval action should not be construed or understood as agreement with us that dispensing through a single pharmacy is the only way to ensure that the benefits of Xyrem outweigh its risks, and that the FDA has continuing concerns that limiting the distribution of Xyrem to one pharmacy imposes burdens on patient access and the healthcare delivery system and (ii) as with all REMS, the FDA intends to evaluate the Xyrem REMS on an ongoing basis and will require modifications as may be appropriate. We cannot predict whether the FDA will seek to require or ultimately require modifications to the Xyrem REMS, including with respect to the Xyrem distribution system, or seek to otherwise impose or ultimately impose additional requirements to the Xyrem REMS, or the potential timing, terms or propriety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thereof. Any such modifications or additional requirements could potentially make it easier for future generic competitors, make it more difficult or expensive for us to distribute Xyrem and/or negatively affect sales of Xyrem. In particular, depending on the nature of any such modifications or additional requirements, the ability of our existing patents and other intellectual property to protect our Xyrem distribution system from generic competitors may be reduced. In addition, the extent of protection provided by our patents and other intellectual property related to the distribution of Xyrem depends on the nature of the distribution system that may be used by any generic competitor, including whether the distribution system is as restricted as the distribution system set forth in the Xyrem REMS. If a generic competitor is able to obtain ANDA approval for a generic version of Xyrem based on a REMS that does not fall within the scope of any of the claims of our patents, those patents will not be a barrier to the generic version’s entry into the market. We cannot be certain whether our existing patents, patents that may be granted in the future or other intellectual property will be construed to cover any generic REMS or risk management plan that might be approved by the FDA. The interpretation of intellectual property protections and the effect of these protections are extremely complex, and we cannot predict the impact of any of these matters on our business.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9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regulatory approval process is expensive, time-consuming and uncertain and may prevent us or our partners from obtaining approvals for the commercialization of some or all of our product candidates.*</w:t>
      </w:r>
    </w:p>
    <w:p>
      <w:pPr>
        <w:spacing w:after="0" w:line="35"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manufacturing, labeling, packaging, adverse event reporting, storage, advertising, promotion, sale, distribution, record keeping, importing and exporting of our products and our research and development activities are subject to extensive regulation by the FDA, the EC, the competent authorities of the EU member states and other regulatory authorities. Regulations differ from country to country. As a result of these regulations, product development, approval and commercialization processes are expensive and time-consuming. For example, we are not permitted to market a pharmaceutical product in the U.S. or in the EU member states until we receive approval from the FDA, the EC or the competent authorities of the EU member states, as applicable. An application for marketing approval must contain information demonstrating the quality, safety and efficacy of the pharmaceutical product, including data from preclinical and clinical trials, information pertaining to the preparation and manufacture of the active pharmaceutical ingredient, analytical methods, product formulation, details on the manufacture and stability of the finished pharmaceutical product and proposed product packaging and labeling. Submission of an application for marketing authorization does not assure approval for marketing in any jurisdiction, and we may encounter significant difficulties or costs in our efforts to obtain approval to market products. If we are unable to obtain regulatory approval of our product candidates, we will not be able to commercialize them and recoup our research and development costs. Any delay or failure in obtaining approval of a drug candidate, or receipt of approval for narrower indications than sought, can have a negative impact on our financial performance.</w:t>
      </w:r>
    </w:p>
    <w:p>
      <w:pPr>
        <w:spacing w:after="0" w:line="34"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If the FDA, the EC or the competent authorities of the EU member states determine that a REMS or the imposition of post-marketing obligations is necessary to ensure that the benefits of the drug outweigh the risks, we may be required to include a proposed REMS as part of an NDA or BLA or to propose post-marketing obligations to be included in the marketing authorization for our products in the EU. We may also be required to include a patient package insert or a medication guide to provide information to consumers about the product’s risks and benefits, a plan for communication to healthcare providers, and restrictions on the product’s distribution. For example, the FDA requires a REMS for Xyrem, discussed in detail in the risk factor under the heading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manufacture, distribution and sale of Xyrem are subject to significant regulatory oversight and restrictions and the requirements of a risk evaluation and mitigation strategy, and these restrictions and requirements, as well as the potential impact of changes to these restrictions and requirements, subject us to increased risks and uncertainties, any of which could negatively impact sales of Xyrem</w:t>
      </w:r>
      <w:r>
        <w:rPr>
          <w:rFonts w:ascii="Arial" w:cs="Arial" w:eastAsia="Arial" w:hAnsi="Arial"/>
          <w:sz w:val="16"/>
          <w:szCs w:val="16"/>
          <w:color w:val="auto"/>
        </w:rPr>
        <w:t>” in Part II, Item 1A of this Quarterly Report on Form 10-Q,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that we sell are or may become subject to a REMS specific to our product or shared with other products in the same class of drug. We cannot predict the impact that any new REMS requirements applicable to any of our products would have on our business.</w:t>
      </w:r>
    </w:p>
    <w:p>
      <w:pPr>
        <w:spacing w:after="0" w:line="34"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FDA approved the BLA for Erwinaze in the U.S. in November 2011, subject to certain post-marketing requirements, which have been completed, and compliance with multiple post-marketing commitments, including certain commitments that must be met by the product’s manufacturer with respect to product manufacturing, which are outside of our control. While activities are underway to complete the post-marketing commitments, any inability to comply with regulatory requirements, including compliance with manufacturing-related post-marketing commitments that are part of the BLA approval, as well as other requirements monitored by the FDA, could adversely affect Erwinaze supply, particularly in light of our extremely limited product inventory, and could result in FDA approval being revoked, product release being delayed or product recalls, any of which could have a material adverse effect on our sales of and revenues from Erwinaze and limit our potential future maintenance and growth of the market for this product.</w:t>
      </w:r>
    </w:p>
    <w:p>
      <w:pPr>
        <w:spacing w:after="0" w:line="3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 another example, the marketing authorization in the EU for Defitelio requires us to comply with a number of post-marketing obligations, including obligations relating to the establishment of a patient registry to investigate the long-term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safety, health outcomes and patterns of utilization of Defitelio during normal use, and the FDA imposed several post-marketing commitments and requirements in connection with its approval of our NDA for Defitelio in March 2016, including the requirement that we conduct a clinical trial to analyze the safety of defibrotide versus best supportive care in the prevention of VOD in adult and pediatric patients. If we fail to meet any of these post-marketing obligations, the ongoing validity of the marketing authorization may be called into question, our sales of and revenues from Defitelio could be materially adversely affected and our potential future maintenance and growth of the market for this product may be limited.</w:t>
      </w:r>
    </w:p>
    <w:p>
      <w:pPr>
        <w:spacing w:after="0" w:line="3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In addition, since a significant proportion of the regulatory framework in the U.K. is derived from EU directives and regulations, Brexit could materially change the regulatory regime applicable to our operations, including with respect to the approval of our product candidates. Any such changes to the regulatory regime could have a material adverse effect on the pharmaceutical industry generally and on our ability to obtain approval for our product candidates or, if approved, to successfully commercialize our product candidates.</w:t>
      </w:r>
    </w:p>
    <w:p>
      <w:pPr>
        <w:spacing w:after="0" w:line="5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Changes in healthcare law and implementing regulations, including those based on recently enacted legislation, as well as changes in healthcare policy, may impact our business in ways that we cannot currently predict, and these changes could have a material adverse effect on our business and financial condition.*</w:t>
      </w:r>
    </w:p>
    <w:p>
      <w:pPr>
        <w:spacing w:after="0" w:line="4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Patient Protection and Affordable Care Act, as amended by the Healthcare and Education Reconciliation Act of 2010, together, the Healthcare Reform Act, is a sweeping measure intended to expand healthcare coverage within the U.S., primarily through the imposition of health insurance mandates on employers and individuals and expansion of the Medicaid program. This law substantially changes the way healthcare is financed by both governmental and private insurers, and significantly impacts the pharmaceutical industry. Changes that may affect our business include those governing enrollment in federal healthcare programs, reimbursement changes, benefits for patients within a coverage gap in the Medicare Part D prescription drug program (commonly known as the “donut hole”), rules regarding prescription drug benefits under the health insurance exchanges, changes to the Medicaid Drug Rebate program, expansion of the Public Health Service’s 340B drug pricing discount program, or the 340B program, fraud and abuse and enforcement. These changes will impact existing government healthcare programs and will result in the development of new programs, including Medicare payment for performance initiatives and improvements to the physician quality reporting system and feedback program.</w:t>
      </w:r>
    </w:p>
    <w:p>
      <w:pPr>
        <w:spacing w:after="0" w:line="32"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Details of the changes to the Medicaid Drug Rebate program and the 340B program are discussed in the risk factor under the heading “</w:t>
      </w:r>
      <w:r>
        <w:rPr>
          <w:rFonts w:ascii="Arial" w:cs="Arial" w:eastAsia="Arial" w:hAnsi="Arial"/>
          <w:sz w:val="16"/>
          <w:szCs w:val="16"/>
          <w:i w:val="1"/>
          <w:iCs w:val="1"/>
          <w:color w:val="auto"/>
        </w:rPr>
        <w:t>If we fail to</w:t>
      </w:r>
      <w:r>
        <w:rPr>
          <w:rFonts w:ascii="Arial" w:cs="Arial" w:eastAsia="Arial" w:hAnsi="Arial"/>
          <w:sz w:val="16"/>
          <w:szCs w:val="16"/>
          <w:color w:val="auto"/>
        </w:rPr>
        <w:t xml:space="preserve"> </w:t>
      </w:r>
      <w:r>
        <w:rPr>
          <w:rFonts w:ascii="Arial" w:cs="Arial" w:eastAsia="Arial" w:hAnsi="Arial"/>
          <w:sz w:val="16"/>
          <w:szCs w:val="16"/>
          <w:i w:val="1"/>
          <w:iCs w:val="1"/>
          <w:color w:val="auto"/>
        </w:rPr>
        <w:t>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r>
        <w:rPr>
          <w:rFonts w:ascii="Arial" w:cs="Arial" w:eastAsia="Arial" w:hAnsi="Arial"/>
          <w:sz w:val="16"/>
          <w:szCs w:val="16"/>
          <w:color w:val="auto"/>
        </w:rPr>
        <w:t>” in Part II, Item 1A of this Quarterly Report on Form 10-Q. Congress could enact additional legislation that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Medicaid drug rebates or other costs and charges associated with participating in the Medicaid Drug Rebate program. The issuance of regulations and coverage expansion by various governmental agencies relating to the Medicaid Drug Rebate program has and will continue to increase our costs and the complexity of compliance, has been and will be time-consuming, and could have a material adverse effect on our results of operations.</w:t>
      </w:r>
    </w:p>
    <w:p>
      <w:pPr>
        <w:spacing w:after="0" w:line="32"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Some states have elected not to expand their Medicaid programs by raising the income limit to 133% of the federal poverty level, as is permitted under the Healthcare Reform Act. For each state that does not choose to expand its Medicaid program, there may be fewer insured patients overall, which could impact our sales, business and financial condition. Where Medicaid patients receive insurance coverage under any of the new options made available through the Healthcare Reform Act, the possibility exists that manufacturers may be required to pay Medicaid rebates on drugs used under these circumstances, a decision that could impact manufacturer revenues. In addition, the federal government has also announced delays in the implementation of key provisions of the Healthcare Reform Act, including the employer mandate. The implications of these delays for our sales, business and financial condition, if any, are not yet clear.</w:t>
      </w:r>
    </w:p>
    <w:p>
      <w:pPr>
        <w:spacing w:after="0" w:line="54" w:lineRule="exact"/>
        <w:rPr>
          <w:sz w:val="20"/>
          <w:szCs w:val="20"/>
          <w:color w:val="auto"/>
        </w:rPr>
      </w:pPr>
    </w:p>
    <w:p>
      <w:pPr>
        <w:jc w:val="both"/>
        <w:ind w:right="220" w:firstLine="432"/>
        <w:spacing w:after="0" w:line="312" w:lineRule="auto"/>
        <w:rPr>
          <w:sz w:val="20"/>
          <w:szCs w:val="20"/>
          <w:color w:val="auto"/>
        </w:rPr>
      </w:pPr>
      <w:r>
        <w:rPr>
          <w:rFonts w:ascii="Arial" w:cs="Arial" w:eastAsia="Arial" w:hAnsi="Arial"/>
          <w:sz w:val="16"/>
          <w:szCs w:val="16"/>
          <w:color w:val="auto"/>
        </w:rPr>
        <w:t>Moreover, legislative changes to the Healthcare Reform Act remain possible. We expect that the Healthcare Reform Act, as currently enacted or as it may be amended in the future, and other healthcare reform measures that may be adopted in the future, could have a material adverse effect on our industry generally and on our ability to maintain or increase sales of our existing products or to successfully commercialize our product candidates, if approved.</w:t>
      </w:r>
    </w:p>
    <w:p>
      <w:pPr>
        <w:spacing w:after="0" w:line="1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addition to the Healthcare Reform Act, there will continue to be proposals by legislators at both the federal and state levels, regulators and third party payors to keep healthcare costs down while expanding individual healthcare benefits.</w:t>
      </w:r>
    </w:p>
    <w:p>
      <w:pPr>
        <w:spacing w:after="0" w:line="35"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Likewise, in the countries in the EU, legislators, policymakers and healthcare insurance funds continue to propose and implement cost-containing measures to keep healthcare costs down, due in part to the attention being paid to healthcare cost containment and other austerity measures in the EU. Certain of these changes could impose limitations on the prices we will be able to charge for our products and any approved product candidates or the amounts of reimbursement available for these products from governmental agencies or third party payors, may increase the tax obligations on pharmaceutical companies such as ours, or may facilitate the introduction of generic competition with respect to our products. Further, an increasing number of EU member states and other foreign countries use prices for medicinal products established in other countries as “reference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prices” to help determine the price of the product in their own territory. Consequently, a downward trend in prices of medicinal products in some countries could contribute to similar downward trends elsewhere. In addition, the ongoing budgetary difficulties faced by a number of EU member states, including Greece and Spain, have led and may continue to lead to substantial delays in payment and payment partially with government bonds rather than cash for medicinal drug products, which could negatively impact our revenues and profitability. Moreover, in order to obtain reimbursement for our products in some countries, including some EU member states, we may be required to conduct clinical trials that compare the cost-effectiveness of our products to other available therapies. There can be no assurance that our products will obtain favorable reimbursement status in any country.</w:t>
      </w:r>
    </w:p>
    <w:p>
      <w:pPr>
        <w:spacing w:after="0" w:line="30"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To help patients afford our products, we have various programs to assist them, including patient assistance programs, a Xyrem free product voucher program and co-pay coupon programs for Xyrem and certain other products. Additionally, we make grants to independent charitable foundations that help financially needy patients with their premium, co-pay, and co-insurance obligations. Co-pay coupon programs, including our program for Xyrem, have received some negative publicity related to their use to promote branded pharmaceutical products over other less costly alternatives. In recent years, other pharmaceutical manufacturers were named in class action lawsuits challenging the legality of their co-pay programs under a variety of federal and state laws. In addition, at least one insurer has directed its network pharmacies to no longer accept co-pay coupons for certain specialty drugs the insurer identified. Our co-pay coupon programs could become the target of similar lawsuits or insurer actions. In addition, in November 2013, the Centers for Medicare and Medicaid Services, or CMS, issued guidance to the issuers of qualified health plans sold through the Healthcare Reform Act’s marketplaces encouraging such plans to reject patient cost-sharing support from third parties and indicating that CMS intends to monitor the provision of such support and may take regulatory action to limit it in the future. CMS subsequently issued a rule requiring individual market qualified health plans to accept third-party premium and cost-sharing payments from certain individual market qualified health plans to accept third-party premium and cost-sharing payments from certain government-related entities. In September 2014, the Office of Inspector General, or OIG, of the U.S. Department of Health and Human Services, or HHS, issued a Special Advisory Bulletin warning manufacturers that they may be subject to sanctions under the federal anti-kickback statute and/or civil monetary penalty laws if they do not take appropriate steps to exclude Medicare Part D beneficiaries from using co-pay coupons. In 2015, the OIG refined existing guidance with respect to manufacturer grants to independent charitable foundations that provide financial support to financially needy patients, and has issued new or revised advisory opinions containing updated guidance on the government’s view of such programs.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including Xyrem, and therefore could have a material adverse effect on our sales, business and financial condition.</w:t>
      </w:r>
    </w:p>
    <w:p>
      <w:pPr>
        <w:spacing w:after="0" w:line="5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 xml:space="preserve">In May 2016, we received a subpoena from the U.S. Attorney’s Office for the District of Massachusetts requesting documents related to our support of 501(c)(3) organizations that provide financial assistance to Medicare patients, and, for Xyrem, documents concerning our provision of financial assistance to Medicare patients. For more information, see the risk factor under the heading </w:t>
      </w:r>
      <w:r>
        <w:rPr>
          <w:rFonts w:ascii="Arial" w:cs="Arial" w:eastAsia="Arial" w:hAnsi="Arial"/>
          <w:sz w:val="18"/>
          <w:szCs w:val="18"/>
          <w:i w:val="1"/>
          <w:iCs w:val="1"/>
          <w:color w:val="auto"/>
        </w:rPr>
        <w:t>“We are subject to significant ongoing regulatory obligations and oversight,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which may result in significant additional expense and limit our ability to commercialize our products” </w:t>
      </w:r>
      <w:r>
        <w:rPr>
          <w:rFonts w:ascii="Arial" w:cs="Arial" w:eastAsia="Arial" w:hAnsi="Arial"/>
          <w:sz w:val="18"/>
          <w:szCs w:val="18"/>
          <w:color w:val="auto"/>
        </w:rPr>
        <w:t>in Part II, Item 1A of this Quarterly Report on Form</w:t>
      </w:r>
      <w:r>
        <w:rPr>
          <w:rFonts w:ascii="Arial" w:cs="Arial" w:eastAsia="Arial" w:hAnsi="Arial"/>
          <w:sz w:val="18"/>
          <w:szCs w:val="18"/>
          <w:i w:val="1"/>
          <w:iCs w:val="1"/>
          <w:color w:val="auto"/>
        </w:rPr>
        <w:t xml:space="preserve"> </w:t>
      </w:r>
      <w:r>
        <w:rPr>
          <w:rFonts w:ascii="Arial" w:cs="Arial" w:eastAsia="Arial" w:hAnsi="Arial"/>
          <w:sz w:val="18"/>
          <w:szCs w:val="18"/>
          <w:color w:val="auto"/>
        </w:rPr>
        <w:t>10-Q.</w:t>
      </w:r>
    </w:p>
    <w:p>
      <w:pPr>
        <w:spacing w:after="0" w:line="13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subject to significant ongoing regulatory obligations and oversight, which may result in significant additional expense and limit our ability to commercialize our products.*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Oversight by FDA and Equivalent Non-U.S. Regulatory Authorities</w:t>
      </w:r>
    </w:p>
    <w:p>
      <w:pPr>
        <w:spacing w:after="0" w:line="90"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We are subject to significant ongoing regulatory obligations with respect to our marketed products, such as safety reporting requirements and additional post-marketing obligations, including regulatory oversight of the promotion and marketing of our products. In addition, research, testing, manufacturing, labeling, packaging, adverse event reporting, storage, advertising, promotion, sale, distribution, record keeping, importing and exporting of our products are, and any of our product candidates that may be approved by the FDA, the EC, the competent authorities of the EU member states and other non-U.S. regulatory authorities will be, subject to extensive and ongoing regulatory requirements. These requirements apply both to us and to third parties we contract with to perform services and supply us with products. Failure by us or any of our third party partners, including suppliers, distributors and our central pharmacy for Xyrem, to comply with applicable requirements could subject us to administrative or judicial sanctions or other negative consequences, such as delays in approval or refusal to approve a product candidate, withdrawal, suspension or variation of product approval, untitled letters, warning letters, fines and other monetary penalties, unanticipated expenditures, product recall, withdrawal or seizure, total or partial suspension of production or distribution, interruption of manufacturing or clinical trials, operating restrictions, injunctions; suspension of licenses, civil penalties and/or criminal prosecution, any of which could have a significant impact on our sales, business and financial condition.</w:t>
      </w:r>
    </w:p>
    <w:p>
      <w:pPr>
        <w:spacing w:after="0" w:line="48"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monitor adverse events resulting from the use of our commercial products, as do the regulatory authorities, and we file periodic reports with the authorities concerning adverse events. The authorities review these events and reports, and if they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determine that any events and/or reports indicate a trend or signal, they can require a change in a product label, restrict sales and marketing and/or require or conduct other actions, potentially including withdrawal or suspension of the product from the market, any of which could result in reduced market acceptance and demand for our products, could harm our reputation and our ability to market our products in the future, and could have a material adverse effect on our business, financial condition, results of operations and growth prospects.</w:t>
      </w:r>
    </w:p>
    <w:p>
      <w:pPr>
        <w:spacing w:after="0" w:line="65" w:lineRule="exact"/>
        <w:rPr>
          <w:sz w:val="20"/>
          <w:szCs w:val="20"/>
          <w:color w:val="auto"/>
        </w:rPr>
      </w:pPr>
    </w:p>
    <w:p>
      <w:pPr>
        <w:ind w:right="100" w:firstLine="432"/>
        <w:spacing w:after="0" w:line="304" w:lineRule="auto"/>
        <w:rPr>
          <w:sz w:val="20"/>
          <w:szCs w:val="20"/>
          <w:color w:val="auto"/>
        </w:rPr>
      </w:pPr>
      <w:r>
        <w:rPr>
          <w:rFonts w:ascii="Arial" w:cs="Arial" w:eastAsia="Arial" w:hAnsi="Arial"/>
          <w:sz w:val="16"/>
          <w:szCs w:val="16"/>
          <w:color w:val="auto"/>
        </w:rPr>
        <w:t>The FDA and the competent authorities of the EU Member States on behalf of the EMA also periodically inspect the company records related to safety reporting. Following such inspections, the FDA may issue notices on FDA Form 483 and warning letters that could cause us to modify certain activities. The EMA’s Pharmacovigilance Risk Assessment Committee, or the PRAC, may propose to the Committee for Human Medicinal Products, or the CHMP, that the marketing authorization holder be required to take specific steps or advise that the existing marketing authorization be varied, suspended, or withdrawn. An FDA Form 483 notice, if issued at the conclusion of an FDA inspection, can list conditions the FDA investigators believe may have violated relevant FDA regulations or guidance. Failure to adequately and promptly correct the observation(s) can result in further regulatory enforcement action. For example, in April 2014, we received an FDA Form 483 at the conclusion of a pharmacovigilance inspection conducted by the FDA. The FDA Form 483 included observations relating to certain aspects of our adverse drug experience, or ADE, reporting system for all of our products, including Xyrem. We responded to the FDA Form 483 with a description of the corrective actions and improvements we had implemented before or shortly following the inspection and additional improvements that we planned to implement, and have now implemented, to address the observations in the FDA Form 483. In August 2014, the FDA issued an Establishment Inspection Report to us, which indicates that the inspection is closed. Although we have implemented improvements to our ADE reporting system, there can be no assurance that the FDA or other regulatory agencies will not identify additional matters in future pharmacovigilance inspections or that we will be able to adequately address any matters identified by the FDA or other regulatory agencies in the future, and the failure to do so could have a material adverse effect on our business, financial condition, results of operations and growth prospects.</w:t>
      </w:r>
    </w:p>
    <w:p>
      <w:pPr>
        <w:spacing w:after="0" w:line="19" w:lineRule="exact"/>
        <w:rPr>
          <w:sz w:val="20"/>
          <w:szCs w:val="20"/>
          <w:color w:val="auto"/>
        </w:rPr>
      </w:pPr>
    </w:p>
    <w:p>
      <w:pPr>
        <w:ind w:right="20" w:firstLine="432"/>
        <w:spacing w:after="0" w:line="277" w:lineRule="auto"/>
        <w:rPr>
          <w:sz w:val="20"/>
          <w:szCs w:val="20"/>
          <w:color w:val="auto"/>
        </w:rPr>
      </w:pPr>
      <w:r>
        <w:rPr>
          <w:rFonts w:ascii="Arial" w:cs="Arial" w:eastAsia="Arial" w:hAnsi="Arial"/>
          <w:sz w:val="16"/>
          <w:szCs w:val="16"/>
          <w:color w:val="auto"/>
        </w:rPr>
        <w:t>If we receive regulatory approvals to sell our products, the FDA, the EC, the competent authorities of the EU member states and other non-U.S. regulatory authorities where our products are approved may impose significant restrictions on the indicated uses or marketing of our products, or impose requirements for burdensome post-approval study commitments. The terms of any product approval, including labeling, may be more restrictive than we desire and could affect the commercial potential of the product. If we become aware of problems with any of our products in the U.S., the EU or elsewhere in the world or at our third party suppliers’ facilities, a regulatory agency may impose restrictions on our products, our suppliers, our other partners or us. In such an instance, we could experience a significant drop in the sales of the affected products, our product revenues and reputation in the marketplace may suffer, and we could become the target of lawsuits. For example, in April 2015, Medtronic Inc., or Medtronic, announced a consent decree with the FDA related to Medtronic’s SynchroMed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II implantable infusion pump systems. Our product Prialt is approved for administration to patients via that pump. While the Medtronic consent decree does not impact existing patients with the pump, physicians who want to implant the pump in new patients are required to complete a certification process to document medical necessity. While the approved indication for Prialt is one of the conditions eligible to support a showing of medical necessity provided by the consent decree, we cannot predict the impact of this new certification requirement on sales of Prialt.</w:t>
      </w:r>
    </w:p>
    <w:p>
      <w:pPr>
        <w:spacing w:after="0" w:line="42"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EU legislation related to pharmacovigilance, or the assessment and monitoring of the safety of medicinal products enhanced the authority of the EMA and the competent authorities of the EU member states to require companies to conduct additional post-approval clinical efficacy and safety studies and increased the burden on companies with respect to additional monitoring, adverse event management and reporting. Under the legislation and its related regulations and guidelines, we may be required to conduct a labor intensive collection of data regarding the risks and benefits of marketed products and may be required to engage in ongoing assessments of those risks and benefits, including the possible requirement to conduct additional clinical studies, which may be time-consuming and expensive and could impact our profitability. Non-compliance with such obligations can lead to the variation, suspension or withdrawal of marketing authorization or imposition of financial penalties or other enforcement measures.</w:t>
      </w:r>
    </w:p>
    <w:p>
      <w:pPr>
        <w:spacing w:after="0" w:line="43"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FDA approved the BLA for Erwinaze in the U.S. in November 2011, subject to certain post-marketing requirements, which have been completed, and compliance with multiple post-marketing commitments, including certain commitments that must be met by the product’s manufacturer with respect to product manufacturing, which are outside of our control. While activities are underway to complete the post-marketing commitments, any inability to comply with regulatory requirements, including compliance with manufacturing-related post-marketing commitments that are part of the BLA approval, as well as other requirements monitored by the FDA, could adversely affect Erwinaze supply and could result in FDA approval being revoked or product recalls, either of which could have a material adverse effect on our sales of and revenues from Erwinaze and limit our potential future maintenance and growth of the market for this product.</w:t>
      </w:r>
    </w:p>
    <w:p>
      <w:pPr>
        <w:spacing w:after="0" w:line="5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marketing authorization in the EU for Defitelio requires us to comply with a number of post-marketing obligations, including obligations relating to the establishment of a patient registry to investigate the long-term safety, health outcomes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patterns of utilization of Defitelio during normal use, and the FDA imposed several post-marketing requirements and commitments in connection with its March 2016 approval of our NDA for Defitelio, including the requirement that we conduct a clinical trial to analyze the safety of defibrotide versus best supportive care in the prevention of VOD in adult and pediatric patients. We may be unable to comply with these or other post-marketing obligations. If we fail to meet any of these post-marketing obligations, the ongoing validity of the marketing authorization may be called into question, our sales of and revenues from Defitelio could be materially adversely affected and our potential future maintenance and growth of the market for this product may be limited.</w:t>
      </w:r>
    </w:p>
    <w:p>
      <w:pPr>
        <w:spacing w:after="0" w:line="23"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color w:val="auto"/>
        </w:rPr>
        <w:t>Erwinase and defibrotide are available on a named patient basis in many countries where they are not commercially available. While we believe we have satisfied the regulations regarding our communications and medical affairs activities in those countries, if any such country’s regulatory authorities determine that we are promoting Erwinase or defibrotide without proper authorization, we could be found to be in violation of pharmaceutical advertising laws or the regulations permitting sales under named patient programs. In that case, we may be subject to financial or other penalties.</w:t>
      </w:r>
    </w:p>
    <w:p>
      <w:pPr>
        <w:spacing w:after="0" w:line="19"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FDA, the competent authorities of the EU member states and other governmental authorities require advertising and promotional labeling to be truthful and not misleading, and products to be marketed only for their approved indications and in accordance with the provisions of the approved label. The FDA routinely provides its interpretations of that authority in informal communications and also in more formal communications such as untitled letters or warning letters, and although such communications may not be considered final agency decisions, companies may decide not to contest the agency’s interpretations so as to avoid disputes with the FDA, even if they believe the claims to be truthful, not misleading and otherwise lawful.</w:t>
      </w:r>
    </w:p>
    <w:p>
      <w:pPr>
        <w:spacing w:after="0" w:line="23"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The FDA, the competent authorities of the EU member states and other governmental authorities also actively investigate allegations of off-label promotion activities in order to enforce regulations prohibiting these types of activities. A company that is found to have promoted an approved product for off-label uses may be subject to significant liability, including civil and administrative financial penalties and other remedies as well as criminal financial penalties and other sanctions. Even when a company is not determined to have engaged in off-label promotion, the allegation from government authorities or market participants that a company has engaged in such activities could have a significant impact on the company’s sales, business and financial condition. The U.S. government has also required companies to enter into complex corporate integrity agreements and/or non-prosecution agreements that impose significant reporting and other burdens on the affected companies. For all of our products, it is important that we maintain a comprehensive compliance program. Failure to maintain a comprehensive and effective compliance program, and to integrate the operations of acquired businesses into a combined comprehensive and effective compliance program on a timely basis, could subject us to a range of regulatory actions that could affect our ability to commercialize our products and could harm or prevent sales of the affected products, or could substantially increase the costs and expenses of commercializing and marketing our products.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Authorities</w:t>
      </w:r>
    </w:p>
    <w:p>
      <w:pPr>
        <w:spacing w:after="0" w:line="90"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We are also subject to regulation by other regional, national, state and local agencies, including the DEA, the U.S. Department of Justice, or DOJ, the FTC, the United States Department of Commerce, or DOC, the OIG and other regulatory bodies, as well as governmental authorities in those non-U.S. countries in which we commercialize our products. In addition to the FDCA, other federal, state and non-U.S. statutes and regulations govern to varying degrees the research, development, manufacturing and commercial activities relating to prescription pharmaceutical products, including preclinical testing, approval, production, labeling, sale, distribution, import, export, post-market surveillance, advertising, dissemination of information, promotion, marketing, and pricing to government purchasers and government healthcare programs. Our partners, including our suppliers and distributors and the central pharmacy for Xyrem, are subject to many of the same requirements.</w:t>
      </w:r>
    </w:p>
    <w:p>
      <w:pPr>
        <w:spacing w:after="0" w:line="43"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These requirements include obtaining sufficient quotas from the DEA each year to manufacture sodium oxybate and Xyrem in the U.S. In addition to quota requirements, the DEA imposes various registration, importing, exporting, record keeping and reporting requirements, labeling and packaging requirements, security controls and a restriction on prescription refills on certain pharmaceutical products under the Controlled Substances Act, or CSA. The states also impose similar requirements for handling controlled substances. The U.S. and the EU member states are parties to the Convention on Psychotropic Substances (1971), or the 1971 Convention. In October 2012, the World Health Organization sent a recommendation to the United Nations Commission on Narcotic Drugs, or CND, to reschedule GHB under the 1971 Convention from Schedule IV status to Schedule II status. In March 2013, the CND voted to reschedule GHB from Schedule IV to Schedule II under the 1971 Convention. While the DEA imposes its own scheduling requirements in the U.S. under the CSA, the U.S. is obligated as a signatory to the 1971 Convention to ensure that drug scheduling in the U.S. is consistent with its obligations under the international treaties. The change in international scheduling did not result in a change in the U.S. control of GHB. Failure by us or any of our partners, including suppliers and distributors, to comply with the requirements of the CSA and other regulatory bodies could result in, among other things, additional operating costs to us, delays in shipments outside or into the U.S. and adverse regulatory actions.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32"/>
        <w:spacing w:after="0" w:line="269" w:lineRule="auto"/>
        <w:rPr>
          <w:sz w:val="20"/>
          <w:szCs w:val="20"/>
          <w:color w:val="auto"/>
        </w:rPr>
      </w:pPr>
      <w:r>
        <w:rPr>
          <w:rFonts w:ascii="Arial" w:cs="Arial" w:eastAsia="Arial" w:hAnsi="Arial"/>
          <w:sz w:val="17"/>
          <w:szCs w:val="17"/>
          <w:color w:val="auto"/>
        </w:rPr>
        <w:t>The U.S. federal healthcare program anti-kickback statute prohibits, among other things, knowingly and willfully offering, paying, soliciting, or receiving remuneration to induce or in return for purchasing, leasing, ordering or arranging for or recommending the purchase, lease or order of any healthcare item or service reimbursable under Medicare, Medicaid or other federally financed healthcare programs. Liability may be established without a person or entity having actual knowledge of the federal Anti-Kickback Statute or specific intent to violate it. This statute has been interpreted to apply to arrangements between pharmaceutical companies on one hand and prescribers, purchasers and formulary managers on the other. The Healthcare Reform Act amended the Social Security Act to provide that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common manufacturer business arrangements and activities from prosecution and administrative sanction, the exemptions and safe harbors are drawn narrowly, and practices that involve remuneration intended to induce prescribing, purchases or recommendations of our products may be subject to scrutiny if they do not qualify for an exemption or safe harbor. We seek to comply with the exemptions and safe harbors whenever possible, but our practices may not in all cases meet all of the criteria for safe harbor protection from anti-kickback liability, and therefore would be subject to a facts and circumstances analysis.</w:t>
      </w:r>
    </w:p>
    <w:p>
      <w:pPr>
        <w:spacing w:after="0" w:line="4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False Claims Act prohibits, among other things, any person from knowingly presenting, or causing to be presented, a false or fraudulent claim for payment of federal funds,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Many pharmaceutical and other healthcare companies have been investigated or subject to lawsuits by whistleblowers and have reached substantial financial settlements with the federal government under the False Claims Act for a variety of alleged improper marketing activities, including providing free product to customers with the expectation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In addition, in recent years the government and private whistleblowers have pursued False Claims Act cases against a number of pharmaceutical companies for causing false claims to be submitted as a result of the marketing of their products for unapproved uses. Pharmaceutical and other healthcare companies also are subject to other federal false claim laws, including federal criminal healthcare fraud and false statement statutes that extend to non-government health benefit programs.</w:t>
      </w:r>
    </w:p>
    <w:p>
      <w:pPr>
        <w:spacing w:after="0" w:line="3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addition, the Physician Payment Sunshine Act, or Sunshine provisions, requires extensive tracking of payments and transfers of value to physicians and teaching hospitals and public reporting of the data collected. By March 31 of each calendar year, manufacturers covered under the Sunshine provisions are required to submit a report disclosing payments and transfers of value made in the preceding calendar year, and CMS then will publish the reported data on or before June 30 of the reporting year. Public reporting under the Sunshine provisions has resulted in increased scrutiny of the financial relationships between industry, teaching hospitals and physicians, and such scrutiny may negatively impact our ability to engage with physicians on matters of importance to us. In addition, if the data reflected in our reports are found to be in violation of any of the Sunshine provisions or any other U.S. federal, state or local laws or regulations that may apply, or if we otherwise fail to comply with the Sunshine provisions, we may be subject to significant civil, criminal and administrative penalties, damages or fines.</w:t>
      </w:r>
    </w:p>
    <w:p>
      <w:pPr>
        <w:spacing w:after="0" w:line="4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payor. A number of states require pharmaceutical companies to report expenses relating to the marketing and promotion of pharmaceutical products and to report gifts and payments to individual physicians in the states.</w:t>
      </w:r>
    </w:p>
    <w:p>
      <w:pPr>
        <w:ind w:right="20"/>
        <w:spacing w:after="0" w:line="254" w:lineRule="auto"/>
        <w:rPr>
          <w:sz w:val="20"/>
          <w:szCs w:val="20"/>
          <w:color w:val="auto"/>
        </w:rPr>
      </w:pPr>
      <w:r>
        <w:rPr>
          <w:rFonts w:ascii="Arial" w:cs="Arial" w:eastAsia="Arial" w:hAnsi="Arial"/>
          <w:sz w:val="18"/>
          <w:szCs w:val="18"/>
          <w:color w:val="auto"/>
        </w:rPr>
        <w:t>Other states restrict when pharmaceutical companies may provide meals to prescribers or engage in other marketing related activities. Still other states require the posting of information relating to clinical studies and their outcomes. In addition, California, Connecticut, Massachusetts and Nevada require pharmaceutical companies to implement compliance programs or marketing codes of conduct. Outside the U.S., we are subject to similar regulations in those countries where we market and sell products.</w:t>
      </w:r>
    </w:p>
    <w:p>
      <w:pPr>
        <w:spacing w:after="0" w:line="55" w:lineRule="exact"/>
        <w:rPr>
          <w:sz w:val="20"/>
          <w:szCs w:val="20"/>
          <w:color w:val="auto"/>
        </w:rPr>
      </w:pPr>
    </w:p>
    <w:p>
      <w:pPr>
        <w:ind w:right="60" w:firstLine="378"/>
        <w:spacing w:after="0" w:line="270" w:lineRule="auto"/>
        <w:rPr>
          <w:sz w:val="20"/>
          <w:szCs w:val="20"/>
          <w:color w:val="auto"/>
        </w:rPr>
      </w:pPr>
      <w:r>
        <w:rPr>
          <w:rFonts w:ascii="Arial" w:cs="Arial" w:eastAsia="Arial" w:hAnsi="Arial"/>
          <w:sz w:val="17"/>
          <w:szCs w:val="17"/>
          <w:color w:val="auto"/>
        </w:rPr>
        <w:t>In May 2016, we received a subpoena from the U.S. Attorney’s Office for the District of Massachusetts requesting documents related to our support of 501(c)(3) organizations that provide financial assistance to Medicare patients, and, for Xyrem, documents concerning our provision of financial assistance to Medicare patients. Other companies have disclosed similar inquiries. We are cooperating with this subpoena. We are unable to predict how long this investigation will continue or its outcome, but we expect that we will incur significant costs in connection with the investigation, regardless of the outcome. We may also become subject to similar investigations by other state or federal governmental agencies. The investigation by the U.S. Attorney’s Office and any additional investigations of our patient assistance programs or other business practices may result in damages, fines, penalties or other administrative sanctions against us, negative publicity or other negative actions that could harm our reputation, reduce demand for Xyrem and/or reduce coverage of Xyrem, including by federal health care programs and state health care programs. If any or all of these events occur, our business and stock price could be materially and adversely affected.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In the EU, the advertising and promotion of our products are subject to EU member states’ laws governing promotion of medicinal products, interactions with physicians, misleading and comparative advertising and unfair commercial practices. In addition, other legislation adopted by individual EU member states may apply to the advertising and promotion of medicinal products. These laws require that promotional materials and advertising in relation to medicinal products comply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The off-label promotion of medicinal products is prohibited in the EU. The applicable laws at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3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Interactions between pharmaceutical companies and physicians are also governed by strict laws, regulations, industry self-regulation codes of conduct and physicians’ codes of professional conduct in the individual EU member states.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the EU member states. One example is the U.K. Bribery Act. As further discussed below, the U.K. Bribery Act applies to any company incorporated in or “carrying on business” in the U.K., irrespective of where in the world the alleged bribery activity occurs, which could have implications for our interactions with physicians both in and outside of the U.K. Violation of these laws could result in substantial fines and imprisonment. Certain EU member states require that payments made to physicians must be publicly disclosed. Moreover, agreements with physicians must often be the subject of prior notification and approval by the physician’s employer, his/her competent professional organization, and/or the competent authorities of the individual EU member states. Failure to comply with these requirements could result in reputational risk, public reprimands, administrative penalties, fines or imprisonment.</w:t>
      </w:r>
    </w:p>
    <w:p>
      <w:pPr>
        <w:spacing w:after="0" w:line="43"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Our business activities outside of the U.S. are subject to the U.S. Foreign Corrupt Practices Act, or FCPA, and similar anti-bribery or anti-corruption laws, regulations or rules of other countries in which we operate, including the U.K. Bribery Act. The FCPA and similar anti-corruption laws generally prohibit the offering, promising, giving, or authorizing others to give anything of value, either directly or indirectly, to non-U.S. government officials in order to improperly influence any act or decision, secure any other improper advantage, or obtain or retain business. The FCPA also requires public companies to make and keep books and records that accurately and fairly reflect the transactions of the company and to devise and maintain an adequate system of internal accounting controls. The U.K. Bribery Act prohibits giving, offering, or promising bribes to any person, including both U.K. and non-U.K. government officials and private persons, as well as requesting, agreeing to receive, or accepting bribes from any person. In addition, under the U.K. Bribery Act, companies which carry on a business or part of a business in the U.K. may be held liable for bribes given, offered or promised to any person, including non-U.K. government officials and private persons, in another country by employees and persons associated with the company in order to obtain or retain business or a business advantage for the company. Liability is strict, with no element of a corrupt state of mind, but having in place adequate procedures designed to prevent bribery is an available defense. Furthermore, under the U.K. Bribery Act there is no exception for facilitation payments. As described above,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may be subject to regulation under the FCPA. Recently the SEC and the DOJ have increased their FCPA enforcement activities with respect to pharmaceutical companies. In addition, under the Dodd-Frank Wall Street Reform and Consumer Protection Act, private individuals who report to the SEC original information that leads to successful enforcement actions may be eligible for a monetary award. We are engaged in ongoing efforts that are designed to ensure our compliance with these laws, including due diligence, training, policies, procedures and internal controls. However, there is no certainty that all employees and third party business partners (including our distributors, wholesalers, agents, contractors, and other partners) will comply with anti-bribery laws. In particular, we do not control the actions of suppliers and other third party agents, although we may be liable for their actions. Violation of these laws may result in civil or criminal sanctions, which could include monetary fines, criminal penalties, and disgorgement of past profits, which could have a material adverse impact on our business and financial condition.</w:t>
      </w:r>
    </w:p>
    <w:p>
      <w:pPr>
        <w:spacing w:after="0" w:line="47"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are also subject to laws and regulations covering data privacy and the protection of health-related and other personal information. The legislative and regulatory landscape for privacy and data protection continues to evolve, and there has been an increasing focus on privacy and data protection issues which may affect our business. Numerous federal and state laws and regulations, including state security breach notification laws, state health information privacy laws and federal and state consumer protection laws, govern the collection, use, disclosure, and protection of personal information. Failure to comply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with such laws and regulations, could create liability for us (including the imposition of significant penalties), result in adverse publicity and negatively affect our business. In addition, healthcare providers who prescribe our products and research institutions we collaborate with are subject to privacy and security requirements under the Health Insurance Portability and Accountability Act of 1996, or HIPAA, as amended by the Health Information Technology for Economic and Clinical Health Act. Although we are not directly subject to HIPAA other than with respect to providing certain employee benefits, we could potentially be subject to criminal penalties if we knowingly obtain or disclose individually identifiable health information maintained by a HIPAA-covered entity in a manner that is not authorized or permitted by HIPAA. In addition, EU member states and other jurisdictions where we operate have adopted data protection laws and regulations, which impose significant compliance obligations. For example, the EU Data Protection Directive, as implemented into national laws by the EU member states, imposes strict obligations and restrictions on the ability to collect, analyze and transfer personal data, including health data from clinical trials and adverse event reporting. The EU Data Protection Directive prohibits the transfer of personal data to countries outside of the European Economic Area, or EEA, such as the U.S., which are not considered by the EC to provide an adequate level of data protection. Switzerland has adopted similar restrictions. Although there are legal mechanisms to allow for the transfer of personal data from the EEA and Switzerland to the U.S., a recent decision of the European Court of Justice that invalidated the safe harbor framework on which we have relied has increased uncertainty around compliance with EU privacy law requirements. As a result of the decision, it will no longer be possible to rely on safe harbor certification as a legal basis for the transfer of personal data from the EU to entities in the U.S. In addition, data protection authorities from the different EU member states may interpret the EU Data Protection Directive and national laws differently, and guidance on implementation and compliance practices are often updated or otherwise revised, which adds to the complexity of processing personal data in the EU. In February 2016, the EC announced an agreement with the DOC to replace the invalidated Safe Harbor framework with a new EU-US “Privacy Shield.” On July 12, 2016, the EC adopted a decision on the adequacy of the protection provided by the Privacy Shield. The Privacy Shield is intended to address the requirements set out by the European Court of Justice in its recent ruling by imposing more stringent obligations on companies, providing stronger monitoring and enforcement by the DOC and FTC, and making commitments on the part of public authorities regarding access to information. U.S.-based companies will be able to certify to the U.S. Department of Commerce their compliance with the privacy principles of the Privacy Shield starting from August 1, 2016. If we or our vendors fail to comply with applicable data privacy laws, or if the legal mechanisms we or our vendors rely upon to allow for the transfer of personal data from the EEA or Switzerland to the U.S. (or other countries not considered by the EC to provide an adequate level of data protection) are not considered adequate, we could be subject to government enforcement actions and significant penalties against us, and our business could be adversely impacted if our ability to transfer personal data outside of the EEA or Switzerland is restricted, which could adversely impact our operating results. In December 2015, a proposal for an EU General Data Protection Regulation, intended to replace the current EU Data Protection Directive, was agreed between the European Parliament, the Council of the European Union and the EC. The EU General Data Protection Regulation, which was officially adopted in April 2016 and will be applicable in May 2018, will introduce new data protection requirements in the EU, as well as substantial fines for breaches of the data protection rules. The EU General Data Protection Regulation will increase our responsibility and liability in relation to personal data that we process, and we may be required to put in place additional mechanisms to ensure compliance with the new EU data protection rules.</w:t>
      </w:r>
    </w:p>
    <w:p>
      <w:pPr>
        <w:spacing w:after="0" w:line="250"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The number and complexity of both U.S. federal and state laws continue to increase, and additional governmental resources are being added to enforce these laws and to prosecute companies and individuals who are believed to be violating them. In addition, we expect private plaintiffs to continue to file lawsuits against pharmaceutical manufacturers under the whistleblower provisions of the False Claims Act and state equivalents and to seek out new theories of liability under those statutes. We also expect government enforcement agencies to continue to “intervene” in private whistleblower lawsuits, effectively converting the private lawsuit into a lawsuit by the government, which typically increases the likelihood that the lawsuit will result in increased expense for the company and/or a burdensome settlement. For example, federal enforcement agencies recently have shown interest in pharmaceutical companies’ product and patient assistance programs, including manufacturer reimbursement support services and relationships with specialty pharmacies. Some of these investigations have resulted in government enforcement authorities intervening in related whistleblower lawsuits and obtaining significant civil and criminal settlements. Other private whistleblowers have proceeded without government invention, causing considerable expense to targeted companies.</w:t>
      </w:r>
    </w:p>
    <w:p>
      <w:pPr>
        <w:spacing w:after="0" w:line="3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Recent changes in the law have reinforced and facilitated these trends. In particular, the Healthcare Reform Act includes a number of provisions aimed at strengthening the government’s ability to pursue anti-kickback and false claims cases against pharmaceutical manufacturers and other healthcare entities, including substantially increased funding for healthcare fraud enforcement activities, enhanced investigative powers, and amendments to the False Claims Act that make it easier for the government and whistleblowers to pursue cases for alleged kickback and false claim violations, such as defining a “false” claim to include any claim based on a violation of the anti-kickback statute. While we cannot say with certainty what effect these changes have had or will have on our business, we anticipate that increased enforcement and litigation, including through government intervention in whistleblower lawsuits and private whistleblowers proceeding on their own, will continue for the foreseeable future. Responding to a whistleblower lawsuit, government investigation or enforcement action, defending any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claims raised, and paying any resulting fines, damages, penalties or settlement amounts would be expensive and time-consuming, and could have a material adverse effect on our reputation, business, financial condition, results of operations and growth prospects.</w:t>
      </w:r>
    </w:p>
    <w:p>
      <w:pPr>
        <w:spacing w:after="0" w:line="35" w:lineRule="exact"/>
        <w:rPr>
          <w:sz w:val="20"/>
          <w:szCs w:val="20"/>
          <w:color w:val="auto"/>
        </w:rPr>
      </w:pPr>
    </w:p>
    <w:p>
      <w:pPr>
        <w:ind w:firstLine="378"/>
        <w:spacing w:after="0" w:line="267" w:lineRule="auto"/>
        <w:rPr>
          <w:sz w:val="20"/>
          <w:szCs w:val="20"/>
          <w:color w:val="auto"/>
        </w:rPr>
      </w:pPr>
      <w:r>
        <w:rPr>
          <w:rFonts w:ascii="Arial" w:cs="Arial" w:eastAsia="Arial" w:hAnsi="Arial"/>
          <w:sz w:val="17"/>
          <w:szCs w:val="17"/>
          <w:color w:val="auto"/>
        </w:rPr>
        <w:t>Compliance with U.S. federal and state, EU and EU member state national laws that apply to pharmaceutical manufacturers is difficult and time-consuming, and companies that violate these laws may face substantial penalties. The potential sanctions include civil monetary penalties, exclusion of a company’s products from reimbursement under government programs, criminal fines and imprisonment. Because of the breadth of these laws and, in some cases, the lack of extensive legal guidance in the form of regulations or court decisions, it is possible that some of our business activities could be subject to challenge under one or more of these laws. For example, the FTC has been paying increasing attention to the use of REMS by companies selling branded products, in particular to whether REMS may be being deliberately used to reduce the risk of competition from generic drugs in a way that may be deemed to be anticompetitive. It is possible that the FTC, other governmental authorities or others could claim or determine that we are using the Xyrem REMS in an anticompetitive manner (including in light of the FDA’s statement in the Xyrem REMS approval letter that the Xyrem REMS could be used in an anticompetitive manner inconsistent with applicable provisions of the FDCA) or have engaged in other anticompetitive practices. The FDCA further states that a REMS shall not be used by an NDA holder to block or delay generic drugs from entering the market. Several of the ANDA applicants have asserted that our patents covering the distribution system for Xyrem should not have been listed in the Orange Book, and that the Xyrem REMS is blocking competition. We cannot predict the outcome of these claims in the ongoing litigation, or the impact of any similar claims that may be made in the future. Such a challenge or any other challenge that we or our business partners have failed to comply with applicable laws and regulations could have a material adverse effect on our business, financial condition, results of operations and growth prospects. If we or the other parties with whom we work fail to comply with applicable regulatory requirements, we or they could be subject to a range of regulatory actions that could affect our ability to commercialize our products and could harm or prevent sales of the affected products,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5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manufacture certain active pharmaceutical ingredients, including the defibrotide drug substance, at our manufacturing facilities in Italy. In addition, we have engaged a third party supplier to process defibrotide into the finished product in Italy. Our manufacturing facilities and those of our third party manufacturer are subject to continuing regulation by the Italian Health Authority and other Italian regulatory authorities with respect to the manufacturing of active pharmaceutical ingredients and drug products, including the defibrotide drug substance and its finished form. These facilities are also subject to inspection and regulation by the EMA. Also, part of the process to obtain approval for defibrotide is to pass a pre-approval inspection by the EMA, Italian Health Authority and the FDA to ensure that these facilities are in compliance with cGMP. Following initial approval in a jurisdiction, the applicable authorities will continue to inspect our manufacturing facilities and those of our third party supplier, in some cases, unannounced, to confirm ongoing compliance with cGMP. The cGMP requirements govern quality control of the manufacturing process and documentation policies and procedures, and we and our third party suppliers will need to ensure that all of our processes, methods and equipment are compliant with cGMP. If these authorities determine that either our facilities or our third party supplier’s facility in Italy do not meet the standards of compliance required under applicable regulations, they may deny approval to manufacture our products, require us to stop manufacturing our products, deny approval to the sale of our products or suspend the sale of our products.</w:t>
      </w:r>
    </w:p>
    <w:p>
      <w:pPr>
        <w:spacing w:after="0" w:line="12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46" w:lineRule="exact"/>
        <w:rPr>
          <w:sz w:val="20"/>
          <w:szCs w:val="20"/>
          <w:color w:val="auto"/>
        </w:rPr>
      </w:pPr>
    </w:p>
    <w:p>
      <w:pPr>
        <w:ind w:right="600" w:firstLine="432"/>
        <w:spacing w:after="0" w:line="308" w:lineRule="auto"/>
        <w:rPr>
          <w:sz w:val="20"/>
          <w:szCs w:val="20"/>
          <w:color w:val="auto"/>
        </w:rPr>
      </w:pPr>
      <w:r>
        <w:rPr>
          <w:rFonts w:ascii="Arial" w:cs="Arial" w:eastAsia="Arial" w:hAnsi="Arial"/>
          <w:sz w:val="17"/>
          <w:szCs w:val="17"/>
          <w:color w:val="auto"/>
        </w:rPr>
        <w:t>We participate in and have certain price reporting obligations to the Medicaid Drug Rebate program, several state Medicaid supplemental rebate programs and other governmental pricing programs, and we have obligations to report average sales price under the Medicare program.</w:t>
      </w:r>
    </w:p>
    <w:p>
      <w:pPr>
        <w:spacing w:after="0" w:line="1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Such data previously have not been submitted for Quadramet® (samarium sm 153 lexidronam injection) and ProstaScint® (capromab pendetide), which are radiopharmaceutical products. We engaged in interactions with CMS and a trade group, the Council on Radionuclides and Radiopharmaceuticals, or CORAR, regarding the reporting of Medicaid pricing data and paying Medicaid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rebates for radiopharmaceutical products. In addition to the discussions with CMS as part of CORAR, we have had separate discussions with CMS directly regarding Quadramet. We sold Quadramet to a third party in December 2013, but we retained any liabilities related to sales of the product during prior periods. Similarly, we sold ProstaScint to a third party in May 2015, but we retained any liabilities related to sales of the product during prior periods. We are currently unable to predict whether price reporting and rebates will be required for Quadramet and ProstaScint for some or all of the period during which we were responsible for sales of these products. We are currently unable to reasonably estimate an amount or range of a potential contingent loss. Any material liability resulting from radiopharmaceutical price reporting and rebates would negatively impact our financial results.</w:t>
      </w:r>
    </w:p>
    <w:p>
      <w:pPr>
        <w:spacing w:after="0" w:line="3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Healthcare Reform Act made significant changes to the Medicaid Drug Rebate program, such as expanding rebate liability from fee-for-service Medicaid utilization to include the utilization of Medicaid managed care organizations as well and changing the definition of average manufacturer price. The Healthcare Reform Act also increased the minimum Medicaid rebate; changed the calculation of the rebate for certain innovator products that qualify as line extensions of existing drugs; and capped the total rebate amount for innovator drugs at 100% of the average manufacturer price. Finally, the Healthcare Reform Act requires pharmaceutical manufacturers of branded prescription drugs to pay a branded prescription drug fee to the federal government. Congress could enact additional legislation that further increases Medicaid drug rebates or other costs and charges associated with participating in the Medicaid Drug Rebate program. As noted above, CMS recently issued a final regulation, which became effective on April 1, 2016, to implement the changes to the Medicaid Drug Rebate program under the Healthcare Reform Act. The issuance of the final regulation, as well as any other regulations and coverage expansion by various governmental agencies relating to the Medicaid Drug Rebate program, has and will continue to increase our costs and the complexity of compliance, has been and will continue to be time-consuming, and could have a material adverse effect on our results of operations.</w:t>
      </w:r>
    </w:p>
    <w:p>
      <w:pPr>
        <w:spacing w:after="0" w:line="34"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drug pricing discount program in order for federal funds to be available for the manufacturer’s drugs under Medicaid and Medicare Part B. The 340B pricing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Healthcare Reform Act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based on the average manufacturer price and rebate amount for the covered outpatient drug as calculated under the Medicaid Drug Rebate program. For example, the initiation of any reporting of Medicaid pricing data for ProstaScint and Quadramet for some or all of the period during which we were responsible for sales of these products could result in retroactive 340B ceiling price liability for these two products. We are currently unable to reasonably estimate an amount or range of a contingent loss. Any material liability resulting from radiopharmaceutical price reporting would negatively impact our financial results. Any additional future changes to the definition of average manufacturer price and the Medicaid rebate amount under the Healthcare Reform Act could affect our 340B ceiling price calculations and negatively impact our results of operations.</w:t>
      </w:r>
    </w:p>
    <w:p>
      <w:pPr>
        <w:spacing w:after="0" w:line="4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Healthcare Reform Act obligates the Secretary of the HHS to create regulations and processes to improve the integrity of the 340B program and to update the agreement that manufacturers must sign to participate in the 340B program to obligate a manufacturer to offer the 340B price to covered entities if the manufacturer makes the drug available to any other purchaser at any price and to report to the government the ceiling prices for its drugs. In 2015, the Health Resources and Services Administration, or HRSA, issued a proposed regulation regarding the calculation of the 340B ceiling price and the imposition of civil monetary penalties on manufacturers that knowingly and intentionally overcharge covered entities, as well as proposed omnibus guidance that addresses many aspects of the 340B program. HRSA is currently expected to issue additional proposed regulations in 2016. Any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4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Federal law also requires that a company that participates in the Medicaid Drug Rebate program report average sales price information each quarter to CMS for certain categories of drugs that are paid under the Medicare Part B program. Manufacturers calculate the average sales price based on a statutorily defined formula as well as regulations and interpretations of the statute by CMS. CMS uses these submissions to determine payment rates for drugs under Medicare Part B. Statutory or regulatory changes or CMS binding guidance could affect the average sales price calculations for our products and the resulting Medicare payment rate, and could negatively impact our results of operations.</w:t>
      </w:r>
    </w:p>
    <w:p>
      <w:pPr>
        <w:spacing w:after="0" w:line="3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125" w:right="2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drug discount program.</w:t>
      </w:r>
    </w:p>
    <w:p>
      <w:pPr>
        <w:spacing w:after="0" w:line="12"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Civil monetary penalties can be applied if we are found to have knowingly submitted any false price information to the government, if we are found to have made a misrepresentation in the reporting of our average sales price, or if we fail to submit the required price data on a timely basis. Such conduct also could be grounds for CMS to terminate our Medicaid drug rebate agreement, in which case federal payments may not be available under Medicaid or Medicare Part B for our covered outpatient drugs. We cannot assure you that our submissions will not be found by CMS to be incomplete or incorrect.</w:t>
      </w:r>
    </w:p>
    <w:p>
      <w:pPr>
        <w:spacing w:after="0" w:line="19"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In order to be eligible to have our products paid for with federal funds under the Medicaid and Medicare Part B programs and purchased by certain federal agencies and grantees, we participate in the U.S. Department of Veterans Affairs, or VA, Federal Supply Schedule, or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penalties of $100,000 for each item of false information. These obligations also contain extensive disclosure and certification requirements.</w:t>
      </w:r>
    </w:p>
    <w:p>
      <w:pPr>
        <w:spacing w:after="0" w:line="57"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3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Price approvals and reimbursement may not be available for our products, which could diminish our sales or affect our ability to sell our products profitably.*</w:t>
      </w:r>
    </w:p>
    <w:p>
      <w:pPr>
        <w:spacing w:after="0" w:line="35"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In both U.S. and non-U.S. markets, our ability to commercialize our products successfully, and to attract commercialization partners for our products, depends in significant part on the availability of adequate financial coverage and reimbursement from third party payors, including, in the U.S., governmental payors such as the Medicare and Medicaid programs, managed care organizations and private health insurers. In many countries, price approvals must be obtained before products can be placed on the market or submitted for reimbursement. Third party payors, including government payors, decide which drugs can be reimbursed and establish reimbursement and co-pay levels and conditions for reimbursement. Third party payors are increasingly challenging the prices charged for medical products and services and examining their cost effectiveness, in addition to their safety and efficacy. In some cases, for example, third party payors try to encourage the use of less expensive generic products through their prescription benefits coverage and reimbursement and co-pay policies. We may need to conduct expensive pharmacoeconomic and/or clinical studies in order to demonstrate the cost-effectiveness of our products. Even with such studies, our products may be considered less safe, less effective or less cost-effective than other products, and third party payors may not provide and maintain price approvals, coverage and reimbursement for our products or any of our product candidates that we commercialize, in whole or in part.</w:t>
      </w:r>
    </w:p>
    <w:p>
      <w:pPr>
        <w:spacing w:after="0" w:line="3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Political, economic and regulatory influences are subjecting the healthcare industry in the U.S. to fundamental changes. There have been, and we expect there will continue to be, legislative and regulatory proposals to change the healthcare system in ways that could impact our ability to sell our products profitably. We anticipate that the U.S. Congress, state legislatures and the private sector will continue to consider and may adopt healthcare policies and reforms intended to curb healthcare costs, particularly given the current atmosphere of mounting criticism of prescription costs in the U.S. These cost containment measures may include controls on government-funded reimbursement for drugs; new or increased requirements to pay prescription drug rebates to government health care programs; pharmaceutical cost transparency bills that aim to require drug companies to justify their prices; controls on healthcare providers; challenges to the pricing of drugs, or limits or prohibitions on reimbursement for specific products through other means; requirements to try less expensive products or generics before a more expensive branded product; changes in drug importation laws; expansion of use of managed care systems in which healthcare providers contract to provide comprehensive healthcare for a fixed cost per person; and public funding for cost effectiveness research, which may be used by government and private third party payors to make coverage and payment decisions. For example, in March 2016, CMS proposed to conduct a demonstration project that would reduce the Medicare payment rates for most Part B drugs from average sales price plus 6% to average sales price plus 2% for approximately half of</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the country. CMS indicated that it intends to implement this model in 2016. Additionally, drug pricing by pharmaceutical companies has recently come under close scrutiny, particularly with respect to companies that have increased the price of products after acquiring those products from other companies. For example, in late 2015 the U.S. House of Representatives formed an Affordable Drug Pricing Task Force to advance legislation intended to control pharmaceutical drug costs and investigate pharmaceutical drug pricing. Since then, both the U.S. House of Representatives and the U.S. Senate have conducted numerous hearings with respect to pharmaceutical drug pricing practices, including in connection with the investigation of specific price increases by several pharmaceutical companies. If we become the subject of government investigation with respect to our drug pricing or other business practices, we could incur significant expense and could be distracted from execution of our strategy. Any such investigation could also result in reduced market acceptance and demand for our products, could harm our ability to market our products in the future, and could have a material adverse effect on our business, financial condition, results of operations and growth prospects. In May 2016, we received a subpoena from the U.S. Attorney’s Office for the District of Massachusetts requesting documents related to our support of 501(c)(3) organizations that provide financial assistance to Medicare patients, and, for Xyrem, documents concerning our provision of financial assistance to Medicare patients. For more information, see the risk factor under the heading </w:t>
      </w:r>
      <w:r>
        <w:rPr>
          <w:rFonts w:ascii="Arial" w:cs="Arial" w:eastAsia="Arial" w:hAnsi="Arial"/>
          <w:sz w:val="17"/>
          <w:szCs w:val="17"/>
          <w:i w:val="1"/>
          <w:iCs w:val="1"/>
          <w:color w:val="auto"/>
        </w:rPr>
        <w:t>“We are subject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significant ongoing regulatory obligations and oversight, which may result in significant additional expense and limit our ability to commercialize our products” </w:t>
      </w:r>
      <w:r>
        <w:rPr>
          <w:rFonts w:ascii="Arial" w:cs="Arial" w:eastAsia="Arial" w:hAnsi="Arial"/>
          <w:sz w:val="17"/>
          <w:szCs w:val="17"/>
          <w:color w:val="auto"/>
        </w:rPr>
        <w:t>in Part II, Item 1A of this Quarterly Report on Form 10-Q. If healthcare policies or reforms intended to curb healthcare costs are adopted or if we</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negative publicity with respect to pricing of our products or the pricing of pharmaceutical drugs generally, the prices that we charge for our products, including Xyrem, may be limited, our commercial opportunity may be limited and/or our revenues from sales of our products may be negatively impacted.</w:t>
      </w:r>
    </w:p>
    <w:p>
      <w:pPr>
        <w:spacing w:after="0" w:line="4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 addition, much attention has been paid to legislation proposing federal rebates on Medicare Part D and Medicare Advantage utilization for drugs issued to certain groups of lower income beneficiaries and the desire to change the provisions that treat these dual-eligible patients differently from traditional Medicare patients. Any such changes could have a negative impact on revenues from sales of our products.</w:t>
      </w:r>
    </w:p>
    <w:p>
      <w:pPr>
        <w:spacing w:after="0" w:line="46"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Further, beginning April 1, 2013, Medicare payments for all items and services, including drugs and biologics, were reduced by 2% under the sequestration (i.e., automatic spending reductions) required by the Budget Control Act of 2011, as amended by the American Taxpayer Relief Act of 2012. Subsequent legislation extended the 2% reduction, on average, to 2025. These cuts reduce reimbursement payments related to our products, which could potentially negatively impact our revenue.</w:t>
      </w:r>
    </w:p>
    <w:p>
      <w:pPr>
        <w:spacing w:after="0" w:line="52"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Third party payors’ practices may affect the conditions required for reimbursement and the availability of reimbursement for our products, including Xyrem and Defitelio. Our business could be materially harmed if the Medicaid program, Medicare program or other third party payors in the U.S. or elsewhere were to deny reimbursement for our products, limit the indications for which our products will be reimbursed, or provide reimbursement only on unfavorable terms. This risk is particularly significant with respect to Xyrem and Defitelio, in part due to payor sensitivity to the price of these products. Third party payors often require prior authorization for, require reauthorization for continuation of, or refuse to provide reimbursement for our products, and others may do so in the future. As a result of such practices, patients may not be able to obtain prescribed medications due to an inability to afford the medication. For example, we are experiencing increasingly restrictive conditions for reimbursement required by some third party payors for Xyrem, which may have a material effect on the overall level of reimbursement coverage for Xyrem. In addition, increases in reimbursement-related activities have extended the time required to fill prescriptions and could continue to do so in the future. Further, increasing consolidation among third party payors has led to fewer and larger third party payors with increased negotiating power. In particular, a small number of third party payors cover a significant portion of Xyrem patients. We have experienced and expect to continue to experience increasing pressure from third party payors to agree to discounts, rebates or other restrictive pricing terms for Xyrem. If we are unsuccessful in maintaining reimbursement for our products in a timely manner and at acceptable levels, if reimbursement for our products by third party payors is subject to restrictive pricing terms or overly restrictive reimbursement conditions, or if third party payors limit the indications for which our products will be reimbursed or refuse to provide reimbursement, the level of reimbursement for our products would be negatively impacted, which could have a material adverse effect on our business, financial condition, results of operations and growth prospects.</w:t>
      </w:r>
    </w:p>
    <w:p>
      <w:pPr>
        <w:spacing w:after="0" w:line="34"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In many countries, procedures to obtain price approvals, coverage and reimbursement can take considerable time after the receipt of marketing approval. We launched Defitelio in certain European countries in 2014 and continue to launch in additional European countries on a rolling basis. We are in the process of making pricing and reimbursement submissions with respect to Defitelio in those European countries where Defitelio is not yet launched, including in countries where pricing and reimbursement approvals are required for launch. We cannot predict the timing of Defitelio’s launch in countries where we are engaged in pricing and reimbursement submissions. If we experience delays or unforeseen difficulties in obtaining favorable pricing and reimbursement approvals, planned launches in the affected countries would be delayed, or, if we are unable to ultimately obtain favorable pricing and reimbursement approvals in countries that represent significant markets, especially where a country’s reimbursed price influences other countries, our growth prospects in Europe could be negatively affected. In addition, on March 30, 2016, the FDA approved our NDA for defibrotide for the treatment of adult and pediatric patients with</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VOD, also known as SOS, with renal or pulmonary dysfunction following HSCT. We launched Defitelio in the U.S. shortly after FDA approval. Our ability to commercialize Defitelio successfully in the U.S. will depend on, among other things, the availability of adequate coverage or reimbursement by U.S. government programs and third party payors. For more information, see the risk factor under the heading “</w:t>
      </w:r>
      <w:r>
        <w:rPr>
          <w:rFonts w:ascii="Arial" w:cs="Arial" w:eastAsia="Arial" w:hAnsi="Arial"/>
          <w:sz w:val="18"/>
          <w:szCs w:val="18"/>
          <w:i w:val="1"/>
          <w:iCs w:val="1"/>
          <w:color w:val="auto"/>
        </w:rPr>
        <w:t>While Xyrem remains our largest product, our</w:t>
      </w:r>
      <w:r>
        <w:rPr>
          <w:rFonts w:ascii="Arial" w:cs="Arial" w:eastAsia="Arial" w:hAnsi="Arial"/>
          <w:sz w:val="18"/>
          <w:szCs w:val="18"/>
          <w:color w:val="auto"/>
        </w:rPr>
        <w:t xml:space="preserve"> </w:t>
      </w:r>
      <w:r>
        <w:rPr>
          <w:rFonts w:ascii="Arial" w:cs="Arial" w:eastAsia="Arial" w:hAnsi="Arial"/>
          <w:sz w:val="18"/>
          <w:szCs w:val="18"/>
          <w:i w:val="1"/>
          <w:iCs w:val="1"/>
          <w:color w:val="auto"/>
        </w:rPr>
        <w:t>success also depends on our ability to effectively commercialize our other products and, in the case of our newly acquired product candidate, Vyxeos, our ability to obtain regulatory approval in the United States and Europe and, if approved, to successfully launch and commercialize Vyxeos. Our inability to do so could have a material adverse effect on our business, financial condition, results of operations and growth prospects</w:t>
      </w:r>
      <w:r>
        <w:rPr>
          <w:rFonts w:ascii="Arial" w:cs="Arial" w:eastAsia="Arial" w:hAnsi="Arial"/>
          <w:sz w:val="18"/>
          <w:szCs w:val="18"/>
          <w:color w:val="auto"/>
        </w:rPr>
        <w:t>” in Part II, Item 1A of this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10-Q.</w:t>
      </w:r>
    </w:p>
    <w:p>
      <w:pPr>
        <w:spacing w:after="0" w:line="54"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cannot predict actions third party payors may take, or whether they will limit the price approvals, coverage and level of reimbursement for our products or refuse to provide and maintain any approvals or coverage at all. For example, because some of our products compete in a market with both branded and generic products, obtaining and maintaining price approvals and reimbursement coverage by government and private payors may be more challenging than for new chemical entities for which no therapeutic alternatives exist. Additionally, in many countries, reimbursement guidelines and incentives provided to prescribing physicians by third party payors may have a significant impact on the prescribing physicians’ willingness to prescribe our products. For example, the U.S. federal government follows a Medicare severity diagnosis-related group, or MS-DRG, payment system for certain institutional services provided under Medicare, which some states also use for Medicaid. The MS-DRG system entitles a healthcare facility to a fixed reimbursement based on discharge diagnoses rather than actual costs incurred in providing inpatient treatment, thereby increasing the incentive for the facility to limit or control expenditures for many healthcare products. For our products used in the inpatient setting, there may not be sufficient reimbursement under the MS-DRG to fully cover the cost of our products. We cannot be sure that reimbursement amounts, or the lack of reimbursement, will not reduce the demand for, or the price of, our products. If reimbursement is not available or is available only at limited levels, we may not be able to effectively commercialize our products.</w:t>
      </w:r>
    </w:p>
    <w:p>
      <w:pPr>
        <w:spacing w:after="0" w:line="4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Third party payors frequently require that drug companies negotiate agreements with them that provide discounts or rebates from list prices or include other restrictive pricing terms. We have experienced increasing pressure from third party payors to agree to discounts, rebates or other restrictive pricing terms for products such as Xyrem. In addition, if our competitors reduce the prices of their products, or otherwise demonstrate that they are better or more cost effective than our products, this may result in a greater level of reimbursement for their products relative to our products, which would reduce our sales and harm our results of operations. The process for determining whether a payor will provide coverage for a product may be separate from the process for setting the price or reimbursement rate that the payor will pay for the product once coverage is approved. Third party payors may limit coverage to specific products on an approved list, or formulary, which might not include all of the approved products for a particular indication. Any such requirements could have a negative impact on revenues from sales of our products.</w:t>
      </w:r>
    </w:p>
    <w:p>
      <w:pPr>
        <w:spacing w:after="0" w:line="4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Payors also are increasingly considering new metrics as the basis for reimbursement rates, such as average sales price, average manufacturer price and actual acquisition cost. Certain states have begun to survey acquisition cost data for the purpose of setting Medicaid reimbursement rates. CMS surveys and publishes retail community pharmacy acquisition cost information to provide state Medicaid agencies with a basis of comparison for their own reimbursement and pricing methodologies and rates. It may be difficult to project the impact of these evolving reimbursement mechanics on the willingness of payors to cover our products. Any failure to cover our products appropriately, in addition to legislative and regulatory changes and others that may occur in the future, could impact our ability to maximize revenues in the federal marketplace. A significant portion of our revenue from sales of Erwinaze is obtained through government payors, including Medicaid, and any failure to qualify for reimbursement for Erwinaze under those programs, including as a result of legislative changes to these programs, would have a material adverse effect on revenues from sales of Erwinaze.</w:t>
      </w:r>
    </w:p>
    <w:p>
      <w:pPr>
        <w:spacing w:after="0" w:line="44"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We expect to experience pricing pressure in the U.S. in connection with the sale of our products due to managed healthcare, the increasing influence of health maintenance organizations, additional legislative proposals to curb healthcare costs and negative publicity regarding pricing and price increases generally, which could limit the prices that we charge for our products, including Xyrem, limit our commercial opportunity and/or negatively impact revenues from sales of our products. In various EU member states we expect to be subject to continuous cost-cutting measures, such as lower maximum prices, lower or lack of reimbursement coverage and incentives to use cheaper, usually generic, products as an alternative. If we fail to successfully secure and maintain reimbursement coverage for our products or are significantly delayed in doing so, we will have difficulty achieving market acceptance of our products and our business will be harmed. We have periodically increased the price of Xyrem, most recently in February 2016, and we have made and may in the future make similar price increases on our other products. We cannot assure you that such price adjustments will not negatively affect our ability to secure and maintain reimbursement coverage for our products, which could negatively impact our sales volumes and revenue.</w:t>
      </w:r>
    </w:p>
    <w:p>
      <w:pPr>
        <w:spacing w:after="0" w:line="3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Health Care Technology Assessment, or HTA, of medicinal products is becoming an increasingly common part of the pricing and reimbursement procedures in some EU member states. These EU member states include the United Kingdom, France, Germany, Ireland, Italy, Spain, and Sweden. The HTA process, which is governed by the national laws of these countries, is the procedure according to which the assessment of the public health impact, therapeutic impact and the economic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and societal impact of use of a given medicinal product in the national healthcare systems of the individual country is conducted. HTA generally focuses on the clinical efficacy and effectiveness, safety, cost, and cost-effectiveness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of individual EU member states. The extent to which pricing and reimbursement decisions are influenced by the HTA of the specific medicinal product vary between EU member states and cannot be determined or anticipated in relation to our products at the present time. If we are unable to ultimately obtain favorable pricing and reimbursement approvals in countries that represent significant markets, especially where a country’s reimbursed price influences other countries, our growth prospects in Europe could be negatively affected.</w:t>
      </w:r>
    </w:p>
    <w:p>
      <w:pPr>
        <w:spacing w:after="0" w:line="4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In the EU, our products are marketed through various channels and within different legal frameworks. In certain EU member states, reimbursement for unauthorized products may be provided through national named patient programs. Such reimbursement may no longer be available if authorization for named patient programs expire or are terminated or when marketing authorization is granted. In other EU member states, authorization and reimbursement policies may also delay commercialization of our products, or may adversely affect our ability to sell our products on a profitable basis. After initial price and reimbursement approvals, reductions in prices and changes in reimbursement levels can be triggered by multiple factors, including reference pricing systems and publication of discounts by third party payors or authorities in other countries. In the EU, prices can be reduced further by parallel distribution and parallel trade, or arbitrage between low-priced and high-priced member states.</w:t>
      </w:r>
    </w:p>
    <w:p>
      <w:pPr>
        <w:spacing w:after="0" w:line="43" w:lineRule="exact"/>
        <w:rPr>
          <w:sz w:val="20"/>
          <w:szCs w:val="20"/>
          <w:color w:val="auto"/>
        </w:rPr>
      </w:pPr>
    </w:p>
    <w:p>
      <w:pPr>
        <w:jc w:val="both"/>
        <w:ind w:right="580" w:firstLine="432"/>
        <w:spacing w:after="0" w:line="312" w:lineRule="auto"/>
        <w:rPr>
          <w:sz w:val="20"/>
          <w:szCs w:val="20"/>
          <w:color w:val="auto"/>
        </w:rPr>
      </w:pPr>
      <w:r>
        <w:rPr>
          <w:rFonts w:ascii="Arial" w:cs="Arial" w:eastAsia="Arial" w:hAnsi="Arial"/>
          <w:sz w:val="16"/>
          <w:szCs w:val="16"/>
          <w:color w:val="auto"/>
        </w:rPr>
        <w:t>We are unable to predict what additional legislation, regulations or policies, if any, relating to the healthcare industry or third party coverage and reimbursement may be enacted in the future or what effect such legislation, regulations or policies would have on our business. Any cost containment measures, including those listed above, or other healthcare system reforms that are adopted, could negatively affect our growth prospects in Europe.</w:t>
      </w:r>
    </w:p>
    <w:p>
      <w:pPr>
        <w:spacing w:after="0" w:line="12"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There also continue to be legislative proposals to amend U.S. laws to allow the importation into the U.S. of prescription drugs, which can be sold at prices that are regulated by the governments of various non-U.S. countries. The potential importation of prescription drugs could pose significant safety concerns for patients, increase the risk of counterfeit products becoming available in the market, and could also have a negative impact on prescription drug prices in the U.S. For example, the potential importation of Xyrem without the safeguard of our Xyrem REMS could harm patients and could also negatively impact Xyrem revenues.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product recalls could harm our business.</w:t>
      </w:r>
    </w:p>
    <w:p>
      <w:pPr>
        <w:spacing w:after="0" w:line="9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development, manufacture, testing, marketing and sale of pharmaceutical products are associated with significant risks of product liability claims or recalls. Side effects or adverse events known or reported to be associated with, or manufacturing defects in, the products sold by us could exacerbate a patient’s condition, or could result in serious injury or impairments or even death. This could result in product liability claims and/or recalls of one or more of our products. Some of our products, including Xyrem and Prialt, have boxed warnings in their labels. In addition, in the EU, Defitelio’s label includes an inverted black triangle that indicates the product is subject to additional monitoring to permit quick identification of new safety information, as a condition of authorization of Defitelio under “exceptional circumstances.” In many countries, including in EU member states, national laws provide for strict (no-fault) liability which applies even where damages are caused both by a defect in a product and by the act or omission of a third party.</w:t>
      </w:r>
    </w:p>
    <w:p>
      <w:pPr>
        <w:spacing w:after="0" w:line="3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Product liability claims may be brought by individuals seeking relief for themselves or by groups seeking to represent a class of injured patients. Further, third party payors, either individually or as a putative class, may bring actions seeking to recover monies spent on one of our products. The risk of product liability claims may also increase if a company receives a warning letter from a regulatory agency. Product liability claims are an inherent risk in our business, but we cannot predict the frequency, outcome or cost to defend any such claims.</w:t>
      </w:r>
    </w:p>
    <w:p>
      <w:pPr>
        <w:spacing w:after="0" w:line="52"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In addition, we may not continue to be able to obtain insurance on satisfactory terms or in adequate amounts.</w:t>
      </w:r>
    </w:p>
    <w:p>
      <w:pPr>
        <w:spacing w:after="0" w:line="46"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 In addition, defending a product liability lawsuit is expensive and can divert the attention of key employees from operating our business.</w:t>
      </w:r>
    </w:p>
    <w:p>
      <w:pPr>
        <w:spacing w:after="0" w:line="52"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our products could materially adversely affect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business by rendering us unable to sell that product for some time and by adversely affecting our reputation. A recall could also result in product liability claims by individuals and third party payors. In addition, product liability claims could result in an investigation of the safety or efficacy of our products, our manufacturing processes and facilities, or our marketing programs conducted by the FDA, the EMA, or the competent authorities of the EU member states. Such investigations could also potentially lead to a recall of our products or more serious enforcement actions, limitations on the indications for which they may be used, or suspension, variation, or withdrawal of approval. Any such regulatory action by the FDA, the EC or the competent authorities of the EU member states could lead to product liability lawsuits as well.</w:t>
      </w:r>
    </w:p>
    <w:p>
      <w:pPr>
        <w:spacing w:after="0" w:line="13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use hazardous materials in our manufacturing facilities, and any claims relating to the improper handling, storage, release or disposal of these materials could be time-consuming and expensive.</w:t>
      </w:r>
    </w:p>
    <w:p>
      <w:pPr>
        <w:spacing w:after="0" w:line="35"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Our operations are subject to complex and increasingly stringent environmental, health and safety laws and regulations in the countries where we operate and, in particular, in Italy and Ireland where we have manufacturing facilities. Environmental and health and safety authorities in the relevant jurisdictions administer laws, which implement EU directives and regulations governing,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In certain cases, such laws, directives and regulations may impose strict liability for pollution of the environment and contamination resulting from spills, disposals or other releases of hazardous substances or waste or any migration of such hazardous substances or waste.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 Our manufacturing activities in Italy and Ireland involve the controlled storage, use and disposal of chemicals and solvents. Our environmental policy is designed to comply with current EU laws and regulations on environmental protection, to provide for continuous improvement of our manufacturing performance, to protect our employees’ health and safety and to respect the safety of people living close to our plant and in the surrounding community. Although we believe that our safety procedures for handling and disposing of these hazardous materials comply with the standards prescribed by these EU laws and regulations, we cannot completely eliminate the risk of contamination or injury from hazardous materials. If an accident occurs, an injured party could seek to hold us liable for any damages that result and any liability could exceed the limits or fall outside the coverage of our insurance. We may not be able to maintain insurance on acceptable terms, or at all. We may incur significant costs to comply with current or future EU environmental laws and regulations.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substantial debt, which could impair our flexibility and access to capital and adversely affect our financial position.*</w:t>
      </w:r>
    </w:p>
    <w:p>
      <w:pPr>
        <w:spacing w:after="0" w:line="102"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of June 30, 2016, we had total indebtedness of approximately $1.3 billion, which included $721.9 million of outstanding secured indebtedness under a credit agreement that we entered into in June 2015, or the 2015 credit agreement, and $575.0 million of outstanding indebtedness under our 1.875% exchangeable senior notes due 2021, or the 2021 Notes, which were issued in August 2014. On July 12, 2016, we entered into an amendment to our 2015 credit agreement, or the amended credit agreement, that provides for a revolving credit facility of $1.25 billion, which replaced our prior revolving credit facility of $750.0 million, and a $750.0 million term loan facility, of which $721.9 million remained outstanding as of the effective date of the amended credit agreement. We used the proceeds of $1.0 billion of loans under the revolving credit facility, together with cash on hand, to fund the Celator Acquisition, resulting in an increase of the outstanding principal balance of our total indebtedness to approximately $2.3 billion as of July 12, 2016.</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debt may:</w:t>
      </w:r>
    </w:p>
    <w:p>
      <w:pPr>
        <w:spacing w:after="0" w:line="90" w:lineRule="exact"/>
        <w:rPr>
          <w:sz w:val="20"/>
          <w:szCs w:val="20"/>
          <w:color w:val="auto"/>
        </w:rPr>
      </w:pPr>
    </w:p>
    <w:p>
      <w:pPr>
        <w:ind w:left="740" w:hanging="327"/>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90" w:lineRule="exact"/>
        <w:rPr>
          <w:rFonts w:ascii="Arial" w:cs="Arial" w:eastAsia="Arial" w:hAnsi="Arial"/>
          <w:sz w:val="18"/>
          <w:szCs w:val="18"/>
          <w:color w:val="auto"/>
        </w:rPr>
      </w:pPr>
    </w:p>
    <w:p>
      <w:pPr>
        <w:ind w:left="740" w:right="100" w:hanging="327"/>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working capital, capital expenditures, acquisitions or other general business purposes;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make debt service payments;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 in dilution to our existing shareholders in the event exchanges of our 2021 Notes are settled in our ordinary shares;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125"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740" w:hanging="327"/>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ability to meet our debt service obligations will depend on our future performance, which will be subject to financial, business and other factors affecting our operations, many of which are beyond our control. If we do not have sufficient funds to meet our debt service obligations, we may be required to refinance or restructure all or part of our existing debt, sell assets, borrow more money or sell securities, none of which we can assure you that we would be able to do in a timely manner, or at all.</w:t>
      </w:r>
    </w:p>
    <w:p>
      <w:pPr>
        <w:spacing w:after="0" w:line="1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Covenants in our amended credit agreement restrict our business and operations in many ways and if we do not effectively manage our covenants, our financial conditions and results of operations could be adversely affected.*</w:t>
      </w:r>
    </w:p>
    <w:p>
      <w:pPr>
        <w:spacing w:after="0" w:line="35"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The amended credit agreement provides for a $750.0 million principal amount term loan due in July 2021 and a $1.25 billion revolving credit facility, with loans under such revolving credit facility due in July 2021, subject to early mandatory repayments under certain circumstances. The amended credit agreement contains various covenants that limit our ability and/or our restricted subsidiaries’ ability to, among other things:</w:t>
      </w:r>
    </w:p>
    <w:p>
      <w:pPr>
        <w:spacing w:after="0" w:line="57" w:lineRule="exact"/>
        <w:rPr>
          <w:sz w:val="20"/>
          <w:szCs w:val="20"/>
          <w:color w:val="auto"/>
        </w:rPr>
      </w:pPr>
    </w:p>
    <w:p>
      <w:pPr>
        <w:ind w:left="740" w:hanging="32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 redeemable preferred stock;</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loans, investments, acquisitions (including acquisitions of exclusive licenses) and capital expenditures;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certain transactions with affiliates; and</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90"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The amended credit agreement also includes financial covenants that require us to maintain a maximum secured leverage ratio and a minimum interest coverage ratio. Our ability to comply with these financial covenants may be affected by events beyond our control. In addition, the covenants under the amended credit agreement could restrict our operations, particularly our ability to respond to changes in our business or to take specified actions to take advantage of certain business opportunities that may be presented to us. Our failure to comply with any of the covenants could result in a default under the amended credit agreement, which could permit the lenders to declare all or part of any outstanding borrowings to be immediately due and payable, or to refuse to permit additional borrowings under the revolving credit facility. A default under the amended credit agreement could also lead to a default under agreements governing our current or future indebtedness, including the indenture governing our 2021 Notes.</w:t>
      </w:r>
    </w:p>
    <w:p>
      <w:pPr>
        <w:spacing w:after="0" w:line="32"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In addition, the holders of our 2021 Notes have the ability to require us to repurchase their notes for cash if we undergo certain fundamental changes, such as specified change of control transactions, our liquidation or dissolution, or the delisting of our ordinary shares from The NASDAQ Global Select Market. Moreover, upon exchange of the 2021 Notes, unless we elect to cause to be delivered solely ordinary shares to settle such exchange, we will be required to make cash payments in respect of the 2021 Notes being exchanged. In this regard, it is our intent and policy to settle the principal amount of the 2021 Notes in cash upon exchange. However, we may not have enough available cash or be able to obtain financing at the time we are required to make any required repurchases of surrendered 2021 Notes or to pay cash upon exchanges of 2021 Notes. Our failure to repurchase 2021 Notes at a time when the repurchase is required by the indenture governing the 2021 Notes or to pay any cash payable on future exchanges of the 2021 Notes as required by the indenture governing the 2021 Notes would constitute a default under that indenture. A default under that indenture could also lead to a default under agreements governing our current or future indebtedness, including the amended credit agreement. If the repayment of the related indebtedness were to be accelerated, we may not have sufficient funds to repay the related indebtedness, which could have a material adverse effect on our financial condition and our business. In this regard, if we are unable to repay amounts under the amended credit agreement, the lenders under the amended credit agreement could proceed against the collateral granted to them to secure that debt, which would seriously harm our business.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our debt obligations.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ability to make payments on and to refinance our debt will depend on our future financial and operating performance, which is subject to prevailing economic and competitive conditions and to certain financial, business and other factors beyond our control. We may be unable to maintain a level of positive cash flows from operating activities sufficient to permit us to pay the principal and interest on our debt.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If our cash flows and capital resources are insufficient to fund our debt service obligations, we may be forced to reduce or delay investments and capital expenditures, seek additional capital or restructure or refinance our debt. These alternative measures may not be successful and may not permit us to meet our scheduled debt service obligations. In the absence of such cash flows and resources, we could face substantial liquidity problems and might be required to dispose of material assets or operations to meet our debt service and other obligations. The amended credit agreement restricts our ability to dispose of assets, use the proceeds from any disposition of assets and refinance our indebtedness. We may not be able to consummate or obtain proceeds from such dispositions, and any such proceeds may not be adequate to meet any debt service obligations then due.</w:t>
      </w:r>
    </w:p>
    <w:p>
      <w:pPr>
        <w:spacing w:after="0" w:line="43"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In addition, our borrowings under the amended credit agreement are, and are expected to continue to be, at variable rates of interest and expose us to interest rate risk. If interest rates increase, our debt service obligations on the variable rate indebtedness would increase even if the amount borrowed remained the same, and our net income would decrease.</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To continue to grow our business, we will need to commit substantial resources, which could result in future losses or otherwise limit our opportunities or affect our ability to operate our business.*</w:t>
      </w:r>
    </w:p>
    <w:p>
      <w:pPr>
        <w:spacing w:after="0" w:line="3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scope of our business and operations has grown substantially since 2012 through a series of transactions, including the business combination between Jazz Pharmaceuticals, Inc. and Azur Pharma, which we refer to as the Azur Merger, our acquisition of EUSA Pharma Inc., or EUSA Pharma, which we refer to as the EUSA Acquisition, the Gentium Acquisition and the Celator Acquisition. To continue to grow our business over the longer term, we will need to commit substantial additional resources to in-licensing and/or acquiring new products and product candidates, and to costly and time-consuming product development and clinical trials of our product candidates. We also intend to continue to invest in our commercial operations in an effort to grow sales of our current products. Our future capital requirements will depend on many factors, including many of those discussed above, such as:</w:t>
      </w:r>
    </w:p>
    <w:p>
      <w:pPr>
        <w:spacing w:after="0" w:line="30" w:lineRule="exact"/>
        <w:rPr>
          <w:sz w:val="20"/>
          <w:szCs w:val="20"/>
          <w:color w:val="auto"/>
        </w:rPr>
      </w:pPr>
    </w:p>
    <w:p>
      <w:pPr>
        <w:ind w:left="740" w:hanging="327"/>
        <w:spacing w:after="0"/>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revenues from our commercial products, which may be affected by many factors, including the extent of generic competition for our products;</w:t>
      </w:r>
    </w:p>
    <w:p>
      <w:pPr>
        <w:spacing w:after="0" w:line="113" w:lineRule="exact"/>
        <w:rPr>
          <w:rFonts w:ascii="Arial" w:cs="Arial" w:eastAsia="Arial" w:hAnsi="Arial"/>
          <w:sz w:val="16"/>
          <w:szCs w:val="16"/>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our commercial operations;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integration activities related to any future strategic transactions we may engage in;</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acquiring and/or in-licensing any new products and product candidates;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rate of progress, results and costs of our development and clinical activities;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and timing of obtaining regulatory approvals and of compliance with laws and regulations;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preparing, filing, prosecuting, defending and enforcing patent claims and other intellectual property rights;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investigations, litigation and/or settlements related to regulatory oversight and third party claims;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laws and regulations, including, for example, healthcare reform legislation.</w:t>
      </w:r>
    </w:p>
    <w:p>
      <w:pPr>
        <w:spacing w:after="0" w:line="9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strategy includes the expansion of our business through the acquisition or in-licensing and development of additional marketed products or product candidates that are in late-stage development. We cannot assure you that we will continue to identify attractive opportunities. Even if appropriate opportunities are available, in order to compete successfully to acquire attractive products or product candidates in the current business climate, we may have to pay higher prices for assets than may have been paid historically, and we may not have the financial resources necessary to pursue them. As a result, we may be unable to expand our business if we do not have sufficient capital or cannot borrow or raise additional capital on attractive terms. In particular, our substantial indebtedness may limit our ability to borrow additional funds for acquisitions or to use our cash flow or obtain additional financing for future acquisitions. In addition, if we use a substantial amount of our funds to acquire or in-license products or product candidates, we may not have sufficient additional funds to conduct all of our operations in the manner we would otherwise choose.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access the capital and credit markets on terms that are favorable to us, or at all.*</w:t>
      </w:r>
    </w:p>
    <w:p>
      <w:pPr>
        <w:spacing w:after="0" w:line="90"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During the past several years, domestic and international financial markets have experienced extreme disruption from time to time, including, among other things, high volatility and significant declines in stock prices and severely diminished liquidity and credit availability for both borrowers and investors. We expect to opportunistically seek access to the capital and credit markets to supplement our existing cash balances, cash we expect to generate from operations and funds available under our revolving credit facility to satisfy our needs for working capital, capital expenditures and debt service requirements or to continue to grow our business over the longer term through product acquisition and in-licensing, product development and clinical trials of product candidates, and expansion of our commercial operations. In the event of adverse capital and credit market conditions, including as a result of the potential for Brexit to contribute to sustained instability in the global financial markets, we may not be able to obtain capital market financing or credit on favorable terms, or at all, which could have a material adverse effect on our business and growth prospects. Changes in our credit ratings issued by nationally recognized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125" w:right="2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credit rating agencies could adversely affect our cost of financing and have an adverse effect on the market price of our securities. See also the discussion under the heading “</w:t>
      </w:r>
      <w:r>
        <w:rPr>
          <w:rFonts w:ascii="Arial" w:cs="Arial" w:eastAsia="Arial" w:hAnsi="Arial"/>
          <w:sz w:val="18"/>
          <w:szCs w:val="18"/>
          <w:i w:val="1"/>
          <w:iCs w:val="1"/>
          <w:color w:val="auto"/>
        </w:rPr>
        <w:t>We are subject to a requirement under Irish law to periodically obtain new authorities from our shareholders to issue ordinary shares,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which we may be unable to obtain” </w:t>
      </w:r>
      <w:r>
        <w:rPr>
          <w:rFonts w:ascii="Arial" w:cs="Arial" w:eastAsia="Arial" w:hAnsi="Arial"/>
          <w:sz w:val="18"/>
          <w:szCs w:val="18"/>
          <w:color w:val="auto"/>
        </w:rPr>
        <w:t>in Part II, Item 1A of this Quarterly Report on Form 10-Q.</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maintain our tax rates, which could adversely affect our business and financial condition, results of operations and growth prospects.*</w:t>
      </w:r>
    </w:p>
    <w:p>
      <w:pPr>
        <w:spacing w:after="0" w:line="35"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We are incorporated in Ireland and maintain subsidiaries in North America and a number of other foreign jurisdictions. We are able to achieve a low average tax rate through the performance of certain functions and ownership of certain assets in tax-efficient jurisdictions, together with intra-group service and transfer pricing agreements, each on an arm’s length basis. However, changes in tax laws in any of these jurisdictions could adversely affect our ability to do so in the future. Taxing authorities, such as the U.S. Internal Revenue Service, or the IRS, actively audit and otherwise challenge these types of arrangements, and have done so in the pharmaceutical industry. We are subject to reviews and audits by the IRS and other taxing authorities from time to time, and the IRS or other taxing authority may challenge our structure and transfer pricing arrangements through an audit or lawsuit. For example, in December 2015, we received proposed tax assessment notices from the French tax authorities for 2012 and 2013 relating to certain transfer pricing adjustments. The notices propose additional taxes of approximately $42.4 million, including interest and penalties, through the date of the assessment translated at the foreign exchange rate at June 30, 2016. Responding to or defending against this and other challenges from taxing authorities could be expensive and consume time and other resources, and divert management’s time and focus from operating our business. We generally cannot predict whether taxing authorities will conduct an audit or file a lawsuit challenging this structure, the cost involved in responding to any such audit or lawsuit, or the outcome. If we are unsuccessful, we may be required to pay taxes for prior periods, interest, fines or penalties, and may be obligated to pay increased taxes in the future, any of which could require us to reduce our operating expenses, decrease efforts in support of our products or seek to raise additional funds, all of which could have a material adverse effect on our business, financial condition, results of operations and growth prospects.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w:t>
      </w:r>
    </w:p>
    <w:p>
      <w:pPr>
        <w:spacing w:after="0" w:line="90"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Although we are incorporated in Ireland, the IRS may assert that we should be treated as a U.S. corporation (and, therefore, a U.S. tax resident) for U.S. federal tax purposes pursuant to Section 7874 of the Internal Revenue Code of 1986, as amended, or the Code. For U.S. federal tax purposes, a corporation generally is considered a tax resident in the jurisdiction of its organization 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in the Azur Merger, the IRS could assert that we should be treated as a U.S. corporation for U.S. federal tax purposes under Section 7874. For us to be treated as a foreign corporation for U.S. federal tax purposes under Section 7874 of the Code, either (1) the former stockholders of Jazz Pharmaceuticals, Inc. must have owned (within the meaning of Section 7874 of the Code) less than 80% (by both vote and value) of our ordinary shares by reason of holding shares in Jazz Pharmaceuticals, Inc. (the “ownership test”), or (2) we must have substantial business activities in Ireland after the Azur Merger (taking into account the activities of our expanded affiliated group). The Jazz Pharmaceuticals, Inc. stockholders owned less than 80% of our share capital immediately after the Azur Merger by reason of their ownership of shares of Jazz Pharmaceuticals, Inc. common stock. As a result, we believe that we should be treated as a foreign corporation for U.S. federal tax purposes under current law. It is possible that the IRS could disagree with the position that the ownership test is satisfied and assert that Section 7874 of the Code applies to treat us as a U.S. corporation following the Azur Merger. There is limited guidance regarding the Code Section 7874 provisions, including the application of the ownership test described above. The IRS continues to scrutinize transactions that are potentially subject to Section 7874, and has issued several sets of final and temporary regulations under Section 7874 since 2012. Most recently, in April 2016, the IRS issued temporary regulations under Section 7874 reflecting guidance that the IRS previously announced in notices dated September 2014 and November 2015, as well as additional guidance. We do not expect these regulations to affect the U.S. tax consequences of the Azur Merger. Nevertheless, new statutory and/or regulatory provisions under Section 7874 of the Code or otherwise could be enacted that adversely affect our status as a foreign corporation for U.S. federal tax purposes, and any such provisions could have retroactive application to us, Jazz Pharmaceuticals, Inc., our respective shareholders and/or the Azur Merger. For more information, see the risk factor under the heading “</w:t>
      </w:r>
      <w:r>
        <w:rPr>
          <w:rFonts w:ascii="Arial" w:cs="Arial" w:eastAsia="Arial" w:hAnsi="Arial"/>
          <w:sz w:val="16"/>
          <w:szCs w:val="16"/>
          <w:i w:val="1"/>
          <w:iCs w:val="1"/>
          <w:color w:val="auto"/>
        </w:rPr>
        <w:t>Future changes to the tax laws under which we expect to be treated as a foreign corporation for U.S. federal tax purposes</w:t>
      </w:r>
      <w:r>
        <w:rPr>
          <w:rFonts w:ascii="Arial" w:cs="Arial" w:eastAsia="Arial" w:hAnsi="Arial"/>
          <w:sz w:val="16"/>
          <w:szCs w:val="16"/>
          <w:color w:val="auto"/>
        </w:rPr>
        <w:t xml:space="preserve"> </w:t>
      </w:r>
      <w:r>
        <w:rPr>
          <w:rFonts w:ascii="Arial" w:cs="Arial" w:eastAsia="Arial" w:hAnsi="Arial"/>
          <w:sz w:val="16"/>
          <w:szCs w:val="16"/>
          <w:i w:val="1"/>
          <w:iCs w:val="1"/>
          <w:color w:val="auto"/>
        </w:rPr>
        <w:t>or in other tax laws relating to multinational corporations could adversely affect us,</w:t>
      </w:r>
      <w:r>
        <w:rPr>
          <w:rFonts w:ascii="Arial" w:cs="Arial" w:eastAsia="Arial" w:hAnsi="Arial"/>
          <w:sz w:val="16"/>
          <w:szCs w:val="16"/>
          <w:color w:val="auto"/>
        </w:rPr>
        <w:t>” in Part II, Item 1A of this Quarterly Report on Form 10-Q.</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Section 7874 of the Code limits Jazz Pharmaceuticals, Inc.’s ability to utilize its U.S. tax attributes to offset certain U.S. taxable income, if any, generated by certain taxable transactions.</w:t>
      </w:r>
    </w:p>
    <w:p>
      <w:pPr>
        <w:spacing w:after="0" w:line="35"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Following certain acquisitions of a U.S. corporation by a foreign corporation, Section 7874 of the Code can limit the ability of the acquired U.S. corporation and its U.S. affiliates to utilize U.S. tax attributes such as net operating losses, or NOLs, to offset U.S. taxable income resulting from certain transactions. Based on the limited guidance available, this limitation applies to us. As a result, after the Azur Merger, Jazz Pharmaceuticals, Inc. has not been able and will continue to be unable, for a period of time, to utilize its U.S. tax attributes to offset its U.S. taxable income, if any, resulting from certain taxable transactions. Notwithstanding this limitation, we plan to fully utilize Jazz Pharmaceuticals, Inc.’s U.S. NOLs prior to their expiration. As a result of this limitation, however, it may take Jazz Pharmaceuticals, Inc. longer to use its NOLs. Moreover, contrary to these plans, it is possible that the limitation under Section 7874 of the Code on the utilization of U.S. tax attributes could prevent Jazz Pharmaceuticals, Inc. from fully utilizing its U.S. tax attributes prior to their expiration if Jazz Pharmaceuticals, Inc. does not generate sufficient taxable income.</w:t>
      </w:r>
    </w:p>
    <w:p>
      <w:pPr>
        <w:spacing w:after="0" w:line="1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Jazz Pharmaceuticals, Inc.’s ability to use its net operating losses to offset potential taxable income and related income taxes that would otherwise be due could be subject to further limitations if we do not generate taxable income in a timely manner or if the “ownership change” provisions of Sections 382 and 383 of the Code result in further annual limitations.*</w:t>
      </w:r>
    </w:p>
    <w:p>
      <w:pPr>
        <w:spacing w:after="0" w:line="46"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Jazz Pharmaceuticals, Inc. has a significant amount of NOLs. Our ability to use these NOLs to offset potential future taxable income and related income taxes that would otherwise be due is dependent upon our generation of future taxable income before the expiration dates of the NOLs, and we cannot predict with certainty when, or whether, Jazz Pharmaceuticals, Inc. will generate sufficient taxable income to use all of the NOLs. In addition, realization of NOLs to offset potential future taxable income and related income taxes that would otherwise be due is subject to annual limitations under the “ownership change” provisions of Sections 382 and 383 of the Code and similar state provisions, which may result in the expiration of additional NOLs before future utilization. In general, an “ownership change” occurs if, during a three-year rolling period, there is a change of 50% or more in the percentage ownership of a company by 5% shareholders (and certain persons treated as 5% shareholders), as defined in the Code and the U.S. Treasury Department regulations, or Treasury Regulations, promulgated thereunder. In this regard, we currently estimate that, as a result of these ownership change provisions, we have an annual limitation on the utilization of certain NOLs and credits of $28.9 million, before tax effect, for 2016 and a combined total of $29.7 million, before tax effect, for 2017 to 2026.</w:t>
      </w:r>
    </w:p>
    <w:p>
      <w:pPr>
        <w:spacing w:after="0" w:line="60"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However, Sections 382 and 383 of the Code are extremely complex provisions with respect to which there are many uncertainties, and we have not requested a ruling from the IRS to confirm our analysis of the ownership change limitations related to the NOLs generated by Jazz Pharmaceuticals, Inc. Therefore, we have not established whether the IRS would agree with our analysis regarding the application of Sections 382 and 383 of the Code. If the IRS were to disagree with our analysis, or if Jazz Pharmaceuticals, Inc. experiences additional ownership changes in the future, we could be subject to further annual limitations on the use of the NOLs to offset potential taxable income and related income taxes that would otherwise be due.</w:t>
      </w:r>
    </w:p>
    <w:p>
      <w:pPr>
        <w:spacing w:after="0" w:line="1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Future changes to the tax laws under which we expect to be treated as a foreign corporation for U.S. federal tax purposes or in other tax laws relating to multinational corporations could adversely affect us.*</w:t>
      </w:r>
    </w:p>
    <w:p>
      <w:pPr>
        <w:spacing w:after="0" w:line="3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As described above, under current law, we believe that we should be treated as a foreign corporation for U.S. federal tax purposes. However, changes to the Code or the Treasury Regulations or other IRS guidance promulgated thereunder, including under Section 7874 of the Code, could adversely affect our status as a foreign corporation for U.S. federal tax purposes or could otherwise affect our effective tax rate, and any such changes could have prospective or retroactive application. In addition, recent legislative proposals have aimed to expand the scope of U.S. corporate tax residence. This legislation, if passed, could adversely affect us.</w:t>
      </w:r>
    </w:p>
    <w:p>
      <w:pPr>
        <w:spacing w:after="0" w:line="53" w:lineRule="exact"/>
        <w:rPr>
          <w:sz w:val="20"/>
          <w:szCs w:val="20"/>
          <w:color w:val="auto"/>
        </w:rPr>
      </w:pPr>
    </w:p>
    <w:p>
      <w:pPr>
        <w:jc w:val="both"/>
        <w:ind w:right="60" w:firstLine="432"/>
        <w:spacing w:after="0" w:line="257" w:lineRule="auto"/>
        <w:rPr>
          <w:sz w:val="20"/>
          <w:szCs w:val="20"/>
          <w:color w:val="auto"/>
        </w:rPr>
      </w:pPr>
      <w:r>
        <w:rPr>
          <w:rFonts w:ascii="Arial" w:cs="Arial" w:eastAsia="Arial" w:hAnsi="Arial"/>
          <w:sz w:val="18"/>
          <w:szCs w:val="18"/>
          <w:color w:val="auto"/>
        </w:rPr>
        <w:t>In addition, the U.S. Congress, the EU, the Organization for Economic Co-operation and Development and other government agencies in jurisdictions where we and our affiliates do business have had an extended focus on issues related to the taxation of multinational corporations. One example is in the area of “base erosion and profit shifting,” where payments are made between affiliates from a jurisdiction with high tax rates to a jurisdiction with lower tax rates. As a result, the tax laws in Ireland, the U.S. and other countries in which we and our affiliates do business could change on a prospective or retroactive basis, and any such changes could adversely affect us.</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significant intangible assets and goodwill. Consequently, the future impairment of our intangible assets and goodwill may significantly impact our profitability.*</w:t>
      </w:r>
    </w:p>
    <w:p>
      <w:pPr>
        <w:spacing w:after="0" w:line="35" w:lineRule="exact"/>
        <w:rPr>
          <w:sz w:val="20"/>
          <w:szCs w:val="20"/>
          <w:color w:val="auto"/>
        </w:rPr>
      </w:pPr>
    </w:p>
    <w:p>
      <w:pPr>
        <w:jc w:val="both"/>
        <w:ind w:right="280" w:firstLine="432"/>
        <w:spacing w:after="0" w:line="312" w:lineRule="auto"/>
        <w:rPr>
          <w:sz w:val="20"/>
          <w:szCs w:val="20"/>
          <w:color w:val="auto"/>
        </w:rPr>
      </w:pPr>
      <w:r>
        <w:rPr>
          <w:rFonts w:ascii="Arial" w:cs="Arial" w:eastAsia="Arial" w:hAnsi="Arial"/>
          <w:sz w:val="16"/>
          <w:szCs w:val="16"/>
          <w:color w:val="auto"/>
        </w:rPr>
        <w:t>Our intangible assets and goodwill are significant. As of June 30, 2016, we had recorded $2.0 billion of intangible assets and goodwill related to our past acquisitions. Intangible assets and goodwill are subject to an impairment analysis whenever events or changes in circumstances indicate the carrying amount of the asset may not be recoverable. Additionally, goodwill and indefinite-lived assets are subject to an impairment test at least annually.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5"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 xml:space="preserve">Events giving rise to impairment are an inherent risk in the pharmaceutical industry and cannot be predicted. For example, in January 2016, we terminated a pivotal Phase 2 clinical trial of JZP-416 (pegcrisantaspase), a PEGylated recombinant </w:t>
      </w:r>
      <w:r>
        <w:rPr>
          <w:rFonts w:ascii="Arial" w:cs="Arial" w:eastAsia="Arial" w:hAnsi="Arial"/>
          <w:sz w:val="17"/>
          <w:szCs w:val="17"/>
          <w:i w:val="1"/>
          <w:iCs w:val="1"/>
          <w:color w:val="auto"/>
        </w:rPr>
        <w:t>Erwinia chrysanthemi</w:t>
      </w:r>
      <w:r>
        <w:rPr>
          <w:rFonts w:ascii="Arial" w:cs="Arial" w:eastAsia="Arial" w:hAnsi="Arial"/>
          <w:sz w:val="17"/>
          <w:szCs w:val="17"/>
          <w:color w:val="auto"/>
        </w:rPr>
        <w:t xml:space="preserve"> L-asparaginase being developed for the treatment of patients with ALL who are hypersensitive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 As a result, in the fourth quarter of 2015, we recorded an impairment charge of $31.5 million to our acquired in-process research and development. Our results of operations and financial position in future periods could be negatively impacted should similar or other future impairments of intangible assets or goodwill occur.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have been and may continue to be adversely affected by foreign currency exchange rate fluctuations.</w:t>
      </w:r>
    </w:p>
    <w:p>
      <w:pPr>
        <w:spacing w:after="0" w:line="90"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We have significant operations in Europe as well as in the U.S., but we report revenues, costs and earnings in U.S. dollars. Our primary currency translation exposure relates to our subsidiaries that have functional currencies denominated in the euro. Exchange rates between the U.S. dollar and the euro have fluctuated and are likely to continue to fluctuate from period to period. Because our financial results are reported in U.S. dollars, we are exposed to foreign currency exchange risk as the functional currency financial statements of non-U.S. subsidiaries are translated to U.S. dollars for reporting purposes. To the extent that revenue and expense transactions are not denominated in the functional currency, we are also subject to the risk of transaction losses. For example, because our Defitelio and Erwinase product sales outside of the U.S. are primarily denominated in the euro, our sales of those products have been and may continue to be adversely affected by fluctuations in foreign currency exchange rates. In this regard, when the U.S. dollar strengthens against a foreign currency, the relative value of sales made in the foreign currency decreases. Conversely, when the U.S. dollar weakens against a foreign currency, the relative value of such sales increases. Accordingly, increases in the value of the U.S. dollar relative to foreign currencies, primarily the euro, could adversely affect our foreign revenues, perhaps significantly. In addition, as we continue to expand our international operations, we will conduct more transactions in currencies other than the U.S. dollar, which could increase our foreign currency exchange risk. Given the volatility of exchange rates, continued concerns regarding European sovereign debt and instability of the euro, as well as our expanding operations, we cannot assure you that we will be able to effectively manage currency transaction and/or translation risks. We have not entered into derivative instruments to offset the impact of foreign currency exchange rate fluctuations. Fluctuations in foreign currency exchange rates could have a material adverse effect on our results of operations and financial condition.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3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has been volatile and may continue to be volatile in the future, and the value of your investment could decline significantly.*</w:t>
      </w:r>
    </w:p>
    <w:p>
      <w:pPr>
        <w:spacing w:after="0" w:line="3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The market price for our ordinary shares has fluctuated significantly from time to time, for example, varying between a high of $194.73 on July 31, 2015 and a low of $108.50 on February 11, 2016 during the period from December 31, 2014 through June 30, 2016. The market price of our ordinary shares is likely to continue to be volatile and subject to significant price and volume fluctuations in response to market, industry and other factors, including the risk factors described above. The stock market in general, including the market for life sciences companies, has experienced extreme price and volume fluctuations that have often been unrelated or disproportionate to the operating performance of those companies. In particular, recent negative publicity regarding pricing and price increases by pharmaceutical companies has negatively impacted, and may continue to negatively impact, the market for life sciences companies. These broad market and industry factors have harmed, and in the future may seriously harm, the market price of our ordinary shares, regardless of our operating performance.</w:t>
      </w:r>
    </w:p>
    <w:p>
      <w:pPr>
        <w:spacing w:after="0" w:line="5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Our ability to meet analysts’ forecasts, investors’ expectations and our financial guidance is substantially dependent on our ability to maintain or increase sales of Xyrem. In addition, we will need to minimize future supply interruptions of Erwinaze in order to meet revenue expectations for Erwinaze. The risks and uncertainties associated with our ability to maintain or increase sales of Xyrem and Erwinaze include those discussed elsewhere in these risk factors. In the past, following periods of volatility in the market or significant price decline,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3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the market price of our ordinary shares may decline if the effects of our transactions, including the Gentium Acquisition, the Celator Acquisition and/or potential future acquisitions, on the financial results of our company are not consistent with the expectations of financial analysts or investors. The market price of our ordinary shares could also be affected by possible sales of our ordinary shares by holders of our 2021 Notes who may view the 2021 Notes as a more attractive means of equity participation in our company and by hedging or arbitrage trading activity involving our ordinary shares by the holders of these notes.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125" w:right="27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ordinary shares in the public market could cause our share price to fall.*</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Sales of a substantial number of our ordinary shares in the public market, including sales by members of our management or board of directors, or the perception that these sales might occur, could depress the market price of our ordinary shares and could impair our ability to raise capital through the sale of additional equity or equity-related securities. As of August 2, 2016, we had 60,532,109 ordinary shares outstanding, all of which shares are eligible for sale in the public market, subject in some cases to the volume limitations and manner of sale and other requirements under Rule 144. In addition, future issuances by us of our ordinary shares upon the exercise or settlement of equity-based awards and exchanges of our 2021 Notes would dilute existing shareholders’ ownership interests in our company, and any sales in the public market of these ordinary shares, or the perception that these sales might occur, could also adversely affect the market price of our ordinary shares.</w:t>
      </w:r>
    </w:p>
    <w:p>
      <w:pPr>
        <w:spacing w:after="0" w:line="43"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Moreover, we have in the past and may in the future grant rights to some of our shareholders that require us to register the resale of our ordinary shares on behalf of these shareholders and/or facilitate offerings of ordinary shares held by these shareholders, including in connection with potential future acquisitions of additional products, product candidates or companies. For example, consistent with our obligations under then-existing registration rights agreements, we entered into underwriting agreements with certain underwriters and selling shareholders pursuant to which selling shareholders sold an aggregate of approximately 13 million ordinary shares in two separate registered public offerings in March 2012 and in March 2013. We have also filed registration statements to register the sale of our ordinary shares reserved for issuance under our equity incentive and employee stock purchase plans, and we intend to file additional registration statements to register any shares automatically added each year to the share reserves under these plans.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Irish law, which differs from the laws in effect in the U.S. and may afford less protection to holders of our securities.*</w:t>
      </w:r>
    </w:p>
    <w:p>
      <w:pPr>
        <w:spacing w:after="0" w:line="102"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3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are generally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Provisions of our articles of association, Irish law and the indenture governing our 2021 Notes could delay or prevent a takeover of us by a third party.*</w:t>
      </w:r>
    </w:p>
    <w:p>
      <w:pPr>
        <w:spacing w:after="0" w:line="1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Our articles of association could delay, defer or prevent a third party from acquiring us, despite the possible benefit to our shareholders, or otherwise adversely affect the price of our ordinary shares. For example, our articles of association:</w:t>
      </w:r>
    </w:p>
    <w:p>
      <w:pPr>
        <w:spacing w:after="0" w:line="35" w:lineRule="exact"/>
        <w:rPr>
          <w:sz w:val="20"/>
          <w:szCs w:val="20"/>
          <w:color w:val="auto"/>
        </w:rPr>
      </w:pPr>
    </w:p>
    <w:p>
      <w:pPr>
        <w:ind w:left="740" w:hanging="327"/>
        <w:spacing w:after="0"/>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impose advance notice requirements for shareholder proposals and nominations of directors to be considered at shareholder meetings;</w:t>
      </w:r>
    </w:p>
    <w:p>
      <w:pPr>
        <w:spacing w:after="0" w:line="101" w:lineRule="exact"/>
        <w:rPr>
          <w:rFonts w:ascii="Arial" w:cs="Arial" w:eastAsia="Arial" w:hAnsi="Arial"/>
          <w:sz w:val="17"/>
          <w:szCs w:val="17"/>
          <w:color w:val="auto"/>
        </w:rPr>
      </w:pPr>
    </w:p>
    <w:p>
      <w:pPr>
        <w:ind w:left="740" w:hanging="32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stagger the terms of our board of directors into three classes;</w:t>
      </w:r>
    </w:p>
    <w:p>
      <w:pPr>
        <w:spacing w:after="0" w:line="90" w:lineRule="exact"/>
        <w:rPr>
          <w:rFonts w:ascii="Arial" w:cs="Arial" w:eastAsia="Arial" w:hAnsi="Arial"/>
          <w:sz w:val="18"/>
          <w:szCs w:val="18"/>
          <w:color w:val="auto"/>
        </w:rPr>
      </w:pPr>
    </w:p>
    <w:p>
      <w:pPr>
        <w:ind w:left="740" w:right="80" w:hanging="327"/>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the approval of a supermajority of the voting power of the shares of our share capital entitled to vote generally at a meeting of shareholders to amend or repeal our articles of association; and</w:t>
      </w:r>
    </w:p>
    <w:p>
      <w:pPr>
        <w:spacing w:after="0" w:line="35" w:lineRule="exact"/>
        <w:rPr>
          <w:rFonts w:ascii="Arial" w:cs="Arial" w:eastAsia="Arial" w:hAnsi="Arial"/>
          <w:sz w:val="18"/>
          <w:szCs w:val="18"/>
          <w:color w:val="auto"/>
        </w:rPr>
      </w:pPr>
    </w:p>
    <w:p>
      <w:pPr>
        <w:ind w:left="740" w:right="380" w:hanging="327"/>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permit our board of directors to issue one or more series of preferred shares with rights and preferences, as our shareholders may determine by ordinary resolution.</w:t>
      </w:r>
    </w:p>
    <w:p>
      <w:pPr>
        <w:spacing w:after="0" w:line="35"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In addition, several mandatory provisions of Irish law could prevent or delay an acquisition of us. For example, Irish law does not permit shareholders of an Irish public limited company to take action by written consent with less than unanimous consent, and the shareholder approval requirements for certain types of transactions differ from those in the U.S., and in some cases are greater, under Irish law. We are also subject to various provisions of Irish law relating to mandatory bids, voluntary bids, requirements to make a cash offer and minimum price requirements, as well as substantial acquisition rules and rules requiring the disclosure of interests in our shares in certain circumstances. Furthermore, the indenture governing our 2021 Notes requires us to repurchase the notes for cash if we undergo certain fundamental changes and, in certain circumstances, to</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125" w:right="2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increase the exchange rate for a holder of 2021 Notes. A takeover of us may trigger the requirement that we purchase our 2021 Notes and/or increase the exchange rate, which could make it more costly for a potential acquiror to engage in a business combination transaction with us.</w:t>
      </w:r>
    </w:p>
    <w:p>
      <w:pPr>
        <w:spacing w:after="0" w:line="11"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These provisions may discourage potential takeover attempts, discourage bids for our ordinary shares at a premium over the market price or adversely affect the market price of, and the voting and other rights of the holders of, our ordinary shares. These provisions could also discourage proxy contests and make it more difficult for you and other shareholders to elect directors other than the candidates nominated by our board.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declared or paid dividends on our capital stock and we do not anticipate paying dividends in the foreseeable future.</w:t>
      </w:r>
    </w:p>
    <w:p>
      <w:pPr>
        <w:spacing w:after="0" w:line="90"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Other than funds we have allocated for the purposes of supporting our share repurchase program authorized in November 2015, we anticipate that we will retain all earnings, if any, to support our operations and our proprietary drug development programs, acquire or in-license additional products and product candidates, and pursue other opportunities. If we propose to pay dividends in the future, we must do so in accordance with Irish law, which provides that distributions including dividend payments, share repurchases and redemptions be funded from “distributable reserves.” In addition, our ability to pay cash dividends on or repurchase our ordinary shares is restricted under the terms of the amended credit agreement. Any future determination as to the payment of dividends will, subject to Irish legal requirements, be at the sole discretion of our board of directors and will depend on our financial condition, results of operations, capital requirements, compliance with the terms of the amended credit agreement and other factors our board of directors deems relevant. Accordingly, holders of our ordinary shares must rely on increases in the trading price of their shares for returns on their investment in the foreseeable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transfer of our ordinary shares may be subject to Irish stamp duty.</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certain circumstances, the transfer of shares in an Irish incorporated company will be subject to Irish stamp duty, which is a legal obligation of the buyer. This duty is currently charged at the rate of 1.0% of the price paid or the market value of the shares acquired, if higher. Because our ordinary shares are traded on a recognized stock exchange in the U.S., an exemption from this stamp duty is available to transfers by shareholders who hold our ordinary shares beneficially through brokers which in turn hold those shares through the Depositary Trust Company, or DTC, to holders who also hold through DTC. However, a transfer by a record holder who holds our ordinary shares directly in his, her or its own name could be subject to this stamp duty. We, in our absolute discretion and insofar as the Irish Companies Act 2014 or any other applicable law permit, may, or may provide that a subsidiary of ours will, pay Irish stamp duty arising on a transfer of our ordinary shares on behalf of the transferee of such ordinary shares. If stamp duty resulting from the transfer of our ordinary shares which would otherwise be payable by the transferee is paid by us or any of our subsidiaries on behalf of the transferee, then in those circumstances, we will, on our behalf or on behalf of our subsidiary (as the case may be), be entitled to (i) seek reimbursement of the stamp duty from the transferee, (ii) set-off the stamp duty against any dividends payable to the transferee of those ordinary shares and (iii) claim a first and permanent lien on the ordinary shares on which stamp duty has been paid by us or our subsidiary for the amount of stamp duty paid. Our lien shall extend to all dividends paid on those ordinary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paid by us may be subject to Irish dividend withholding tax.</w:t>
      </w:r>
    </w:p>
    <w:p>
      <w:pPr>
        <w:spacing w:after="0" w:line="9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certain circumstances, as an Irish tax resident company, we will be required to deduct Irish dividend withholding tax (currently at the rate of 20%) from dividends paid to our shareholders. Shareholders that are resident in the U.S., EU countries (other than Ireland) or other countries with which Ireland has signed a tax treaty (whether the treaty has been ratified or not) generally should not be subject to Irish withholding tax so long as the shareholder has provided its broker, for onward transmission to our qualifying intermediary or other designated agent (in the case of shares held beneficially), or us or our transfer agent (in the case of shares held directly), with all the necessary documentation by the appropriate due date prior to payment of the dividend. However, some shareholders may be subject to withholding tax, which could adversely affect the price of our ordinary shares.</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auditor, like other independent registered public accounting firms operating in Ireland and a number of other European countries, is not currently permitted to be subject to inspection by the U.S. Public Company Accounting Oversight Board, or the PCAOB, and as such, our investors currently do not have the benefits of PCAOB oversight.</w:t>
      </w:r>
    </w:p>
    <w:p>
      <w:pPr>
        <w:spacing w:after="0" w:line="46"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As an auditor of companies that are publicly-traded in the U.S. and as a firm registered with the PCAOB, our independent registered public accounting firm is required by the laws of the U.S. to undergo regular inspections by the PCAOB to assess its compliance with the laws of the U.S. and the professional standards of the PCAOB. However, because our auditor is located in Ireland, a jurisdiction where the PCAOB is currently unable to conduct inspections, our auditor is not currently inspected by the PCAOB. Inspections of other auditors conducted by the PCAOB outside of Ireland have at times identified deficiencies in those auditor’s audit procedures and quality control procedures, which may be addressed as part of the inspection process to improve future audit quality. The lack of PCAOB inspections in Ireland prevents the PCAOB from regularly evaluating our auditor’s audits and its quality control procedures. In addition, the inability of the PCAOB to conduct auditor inspections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5"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Ireland makes it more difficult to evaluate the effectiveness of our auditor’s audit procedures or quality control procedures as compared to auditors located outside of Ireland that are subject to regular PCAOB inspections. As a result, our investors are deprived of the benefits of PCAOB inspections, and may lose confidence in our reported financial information and procedures and the quality of our financial statements.</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80"/>
          </w:cols>
          <w:pgMar w:left="240" w:top="125" w:right="3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purchases of our ordinary shares made by or on behalf of us or any of our “affiliated purchasers” as defined in Rule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10b-18(a)(3) under the Securities Exchange Act of 1934, as amended, during each fiscal month during the three-month period ended June 30, 2016:</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8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Share (2)</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or Programs (4)</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 April 30, 2016</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109,807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137.57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109,807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110,320,469</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May 1 - May 31, 2016</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87,649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148.43</w:t>
            </w:r>
          </w:p>
        </w:tc>
        <w:tc>
          <w:tcPr>
            <w:tcW w:w="10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87,649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7"/>
              <w:spacing w:after="0"/>
              <w:rPr>
                <w:sz w:val="20"/>
                <w:szCs w:val="20"/>
                <w:color w:val="auto"/>
              </w:rPr>
            </w:pPr>
            <w:r>
              <w:rPr>
                <w:rFonts w:ascii="Arial" w:cs="Arial" w:eastAsia="Arial" w:hAnsi="Arial"/>
                <w:sz w:val="18"/>
                <w:szCs w:val="18"/>
                <w:color w:val="auto"/>
              </w:rPr>
              <w:t>97,313,056</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 June 30, 2016</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152.58</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96,550,303</w:t>
            </w:r>
          </w:p>
        </w:tc>
        <w:tc>
          <w:tcPr>
            <w:tcW w:w="0" w:type="dxa"/>
            <w:vAlign w:val="bottom"/>
          </w:tcPr>
          <w:p>
            <w:pPr>
              <w:spacing w:after="0"/>
              <w:rPr>
                <w:sz w:val="1"/>
                <w:szCs w:val="1"/>
                <w:color w:val="auto"/>
              </w:rPr>
            </w:pPr>
          </w:p>
        </w:tc>
      </w:tr>
      <w:tr>
        <w:trPr>
          <w:trHeight w:val="257"/>
        </w:trPr>
        <w:tc>
          <w:tcPr>
            <w:tcW w:w="3760" w:type="dxa"/>
            <w:vAlign w:val="bottom"/>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202,456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142.65</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202,456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ind w:left="40"/>
              <w:spacing w:after="0"/>
              <w:rPr>
                <w:sz w:val="20"/>
                <w:szCs w:val="20"/>
                <w:color w:val="auto"/>
              </w:rPr>
            </w:pPr>
            <w:r>
              <w:rPr>
                <w:rFonts w:ascii="Arial" w:cs="Arial" w:eastAsia="Arial" w:hAnsi="Arial"/>
                <w:sz w:val="18"/>
                <w:szCs w:val="18"/>
                <w:color w:val="auto"/>
              </w:rPr>
              <w:t>_________________________</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100" w:hanging="316"/>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table does not include ordinary shares that we withheld in order to satisfy minimum tax withholding requirements in connection with the vesting and release of restricted stock units.</w:t>
      </w:r>
    </w:p>
    <w:p>
      <w:pPr>
        <w:ind w:left="540" w:hanging="316"/>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Average price paid per ordinary share includes brokerage commissions.</w:t>
      </w:r>
    </w:p>
    <w:p>
      <w:pPr>
        <w:spacing w:after="0" w:line="9" w:lineRule="exact"/>
        <w:rPr>
          <w:rFonts w:ascii="Arial" w:cs="Arial" w:eastAsia="Arial" w:hAnsi="Arial"/>
          <w:sz w:val="18"/>
          <w:szCs w:val="18"/>
          <w:color w:val="auto"/>
        </w:rPr>
      </w:pPr>
    </w:p>
    <w:p>
      <w:pPr>
        <w:jc w:val="both"/>
        <w:ind w:left="540" w:right="60" w:hanging="316"/>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ordinary shares reported in the table above were purchased pursuant to our publicly announced share repurchase program. In November 2015, we announced that our board of directors authorized the use of up to $300 million to repurchase our ordinary shares. This authorization has no expiration date.</w:t>
      </w:r>
    </w:p>
    <w:p>
      <w:pPr>
        <w:spacing w:after="0" w:line="1" w:lineRule="exact"/>
        <w:rPr>
          <w:rFonts w:ascii="Arial" w:cs="Arial" w:eastAsia="Arial" w:hAnsi="Arial"/>
          <w:sz w:val="18"/>
          <w:szCs w:val="18"/>
          <w:color w:val="auto"/>
        </w:rPr>
      </w:pPr>
    </w:p>
    <w:p>
      <w:pPr>
        <w:ind w:left="540" w:right="20" w:hanging="316"/>
        <w:spacing w:after="0" w:line="290"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dollar amount shown represents, as of the end of each period, the approximate dollar value of ordinary shares that may yet be purchased under our publicly announced share repurchase program, exclusive of any brokerage commissions. The timing and amount of repurchases will depend on a variety of factors, including the price of our ordinary shares, alternative investment opportunities, restrictions under our credit agreement, corporate and regulatory requirements and market conditions. We temporarily suspended our share repurchase program in June 2016 in connection with the Celator Acquisition. The share repurchase program may be modified, suspended, otherwise discontinued or resumed at any time without prior notice. As of June 30, 2016, the remaining amount authorized under the share repurchase program was approximately $96.6 million.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Matters Presented at the 2016 Annual General Meeting of Shareholders</w:t>
      </w:r>
    </w:p>
    <w:p>
      <w:pPr>
        <w:spacing w:after="0" w:line="175" w:lineRule="exact"/>
        <w:rPr>
          <w:sz w:val="20"/>
          <w:szCs w:val="20"/>
          <w:color w:val="auto"/>
        </w:rPr>
      </w:pPr>
    </w:p>
    <w:p>
      <w:pPr>
        <w:jc w:val="both"/>
        <w:ind w:right="80" w:firstLine="432"/>
        <w:spacing w:after="0" w:line="279" w:lineRule="auto"/>
        <w:rPr>
          <w:sz w:val="20"/>
          <w:szCs w:val="20"/>
          <w:color w:val="auto"/>
        </w:rPr>
      </w:pPr>
      <w:r>
        <w:rPr>
          <w:rFonts w:ascii="Arial" w:cs="Arial" w:eastAsia="Arial" w:hAnsi="Arial"/>
          <w:sz w:val="17"/>
          <w:szCs w:val="17"/>
          <w:color w:val="auto"/>
        </w:rPr>
        <w:t>On August 4, 2016, we held our 2016 annual general meeting of shareholders, or the Annual Meeting, at our corporate headquarters in Dublin, Ireland. At the Annual Meeting, our shareholders voted on 10 proposals, each of which is described in more detail in our definitive proxy statement on Schedule 14A as filed with the SEC on June 20, 2016, or the Proxy Statement. The results of the matters presented at the Annual Meeting, based on the presence in person or by proxy of holders of 54,896,544 of the 60,486,047 ordinary shares entitled to vote, are described below.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w:t>
      </w:r>
    </w:p>
    <w:p>
      <w:pPr>
        <w:spacing w:after="0" w:line="175"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Proposal 1 was to elect each of the four nominees for director to a three-year term as a Class II director of the company to serve until our 2019 annual general meeting of shareholders and until his successor is elected and qualified. Each of the four nominees for director was elected as follows:</w:t>
      </w:r>
    </w:p>
    <w:p>
      <w:pPr>
        <w:spacing w:after="0" w:line="88" w:lineRule="exact"/>
        <w:rPr>
          <w:sz w:val="20"/>
          <w:szCs w:val="20"/>
          <w:color w:val="auto"/>
        </w:rPr>
      </w:pPr>
    </w:p>
    <w:tbl>
      <w:tblPr>
        <w:tblLayout w:type="fixed"/>
        <w:tblInd w:w="720" w:type="dxa"/>
        <w:tblCellMar>
          <w:top w:w="0" w:type="dxa"/>
          <w:left w:w="0" w:type="dxa"/>
          <w:bottom w:w="0" w:type="dxa"/>
          <w:right w:w="0" w:type="dxa"/>
        </w:tblCellMar>
      </w:tblPr>
      <w:tr>
        <w:trPr>
          <w:trHeight w:val="186"/>
        </w:trPr>
        <w:tc>
          <w:tcPr>
            <w:tcW w:w="3320" w:type="dxa"/>
            <w:vAlign w:val="bottom"/>
            <w:gridSpan w:val="2"/>
          </w:tcPr>
          <w:p>
            <w:pPr>
              <w:ind w:left="1020"/>
              <w:spacing w:after="0"/>
              <w:rPr>
                <w:sz w:val="20"/>
                <w:szCs w:val="20"/>
                <w:color w:val="auto"/>
              </w:rPr>
            </w:pPr>
            <w:r>
              <w:rPr>
                <w:rFonts w:ascii="Arial" w:cs="Arial" w:eastAsia="Arial" w:hAnsi="Arial"/>
                <w:sz w:val="14"/>
                <w:szCs w:val="14"/>
                <w:b w:val="1"/>
                <w:bCs w:val="1"/>
                <w:color w:val="auto"/>
              </w:rPr>
              <w:t>Director Nominees</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1700" w:type="dxa"/>
            <w:vAlign w:val="bottom"/>
            <w:gridSpan w:val="2"/>
          </w:tcPr>
          <w:p>
            <w:pPr>
              <w:ind w:left="540"/>
              <w:spacing w:after="0"/>
              <w:rPr>
                <w:sz w:val="20"/>
                <w:szCs w:val="20"/>
                <w:color w:val="auto"/>
              </w:rPr>
            </w:pPr>
            <w:r>
              <w:rPr>
                <w:rFonts w:ascii="Arial" w:cs="Arial" w:eastAsia="Arial" w:hAnsi="Arial"/>
                <w:sz w:val="14"/>
                <w:szCs w:val="14"/>
                <w:b w:val="1"/>
                <w:bCs w:val="1"/>
                <w:color w:val="auto"/>
              </w:rPr>
              <w:t>Against</w:t>
            </w: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Abstain</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53"/>
        </w:trPr>
        <w:tc>
          <w:tcPr>
            <w:tcW w:w="32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44"/>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Paul L. Berns</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47,121,531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5,256,991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135,885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2,382,137</w:t>
            </w: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Patrick G. Enright</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47,113,428</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5,265,094</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135,885</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2,382,137</w:t>
            </w: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Seamus Mulligan</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52,018,607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353,103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142,697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2,382,137</w:t>
            </w: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Norbert G. Riedel, Ph.D.</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47,117,752</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5,260,318</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136,337</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2,382,137</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Proposal 2 was to ratify, on an advisory basis, the appointment of KPMG, Dublin as the independent auditors of the company for the fiscal year ending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and to authorize, in a binding vote, the board of directors, acting through the audit committee, to determine the auditors’ remuneration.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proposal was approved as follows:</w:t>
      </w:r>
    </w:p>
    <w:p>
      <w:pPr>
        <w:spacing w:after="0" w:line="175"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2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w:t>
            </w: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53"/>
        </w:trPr>
        <w:tc>
          <w:tcPr>
            <w:tcW w:w="2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r>
      <w:tr>
        <w:trPr>
          <w:trHeight w:val="237"/>
        </w:trPr>
        <w:tc>
          <w:tcPr>
            <w:tcW w:w="26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53,815,308</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rPr>
              <w:t>974,735</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rPr>
              <w:t>106,501</w:t>
            </w: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Proposal 3 was to approve, on an advisory basis, the compensation of the company’s named executive officers as disclosed in the Proxy Statement. This proposal was approved as follows:</w:t>
      </w:r>
    </w:p>
    <w:p>
      <w:pPr>
        <w:spacing w:after="0" w:line="135"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2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w:t>
            </w: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53"/>
        </w:trPr>
        <w:tc>
          <w:tcPr>
            <w:tcW w:w="2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r>
      <w:tr>
        <w:trPr>
          <w:trHeight w:val="237"/>
        </w:trPr>
        <w:tc>
          <w:tcPr>
            <w:tcW w:w="26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48,537,536</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3,852,062</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rPr>
              <w:t>124,809</w:t>
            </w: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2,382,137</w:t>
            </w:r>
          </w:p>
        </w:tc>
      </w:tr>
      <w:tr>
        <w:trPr>
          <w:trHeight w:val="27"/>
        </w:trPr>
        <w:tc>
          <w:tcPr>
            <w:tcW w:w="2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4A</w:t>
      </w:r>
    </w:p>
    <w:p>
      <w:pPr>
        <w:spacing w:after="0" w:line="175" w:lineRule="exact"/>
        <w:rPr>
          <w:sz w:val="20"/>
          <w:szCs w:val="20"/>
          <w:color w:val="auto"/>
        </w:rPr>
      </w:pPr>
    </w:p>
    <w:p>
      <w:pPr>
        <w:jc w:val="both"/>
        <w:ind w:right="440" w:firstLine="432"/>
        <w:spacing w:after="0" w:line="277" w:lineRule="auto"/>
        <w:rPr>
          <w:sz w:val="20"/>
          <w:szCs w:val="20"/>
          <w:color w:val="auto"/>
        </w:rPr>
      </w:pPr>
      <w:r>
        <w:rPr>
          <w:rFonts w:ascii="Arial" w:cs="Arial" w:eastAsia="Arial" w:hAnsi="Arial"/>
          <w:sz w:val="18"/>
          <w:szCs w:val="18"/>
          <w:color w:val="auto"/>
        </w:rPr>
        <w:t>Proposal 4A was to approve amendments to the company’s memorandum of association to make certain administrative adjustments to address the enactment of the Irish Companies Act 2014 and a minor housekeeping matter. This proposal was approved as follows:</w:t>
      </w:r>
    </w:p>
    <w:p>
      <w:pPr>
        <w:spacing w:after="0" w:line="135"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2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w:t>
            </w: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53"/>
        </w:trPr>
        <w:tc>
          <w:tcPr>
            <w:tcW w:w="2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r>
      <w:tr>
        <w:trPr>
          <w:trHeight w:val="237"/>
        </w:trPr>
        <w:tc>
          <w:tcPr>
            <w:tcW w:w="26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54,654,864</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rPr>
              <w:t>106,105</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rPr>
              <w:t>135,575</w:t>
            </w: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4B</w:t>
      </w:r>
    </w:p>
    <w:p>
      <w:pPr>
        <w:spacing w:after="0" w:line="17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Proposal 4B was to approve amendments to the company’s articles of association to make certain administrative adjustments to address the enactment of the Irish Companies Act 2014 and certain minor housekeeping matters. This proposal was approved as follows:</w:t>
      </w:r>
    </w:p>
    <w:p>
      <w:pPr>
        <w:spacing w:after="0" w:line="135"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2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w:t>
            </w: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53"/>
        </w:trPr>
        <w:tc>
          <w:tcPr>
            <w:tcW w:w="2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r>
      <w:tr>
        <w:trPr>
          <w:trHeight w:val="237"/>
        </w:trPr>
        <w:tc>
          <w:tcPr>
            <w:tcW w:w="26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54,668,667</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rPr>
              <w:t>104,310</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rPr>
              <w:t>123,567</w:t>
            </w: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w:t>
      </w:r>
    </w:p>
    <w:p>
      <w:pPr>
        <w:spacing w:after="0" w:line="17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Proposal 5 was to authorize the company and/or any subsidiary of the company to make open market purchases of the company’s ordinary shares. This proposal was approved as follows:</w:t>
      </w:r>
    </w:p>
    <w:p>
      <w:pPr>
        <w:spacing w:after="0" w:line="135"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2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w:t>
            </w:r>
          </w:p>
        </w:tc>
        <w:tc>
          <w:tcPr>
            <w:tcW w:w="1980" w:type="dxa"/>
            <w:vAlign w:val="bottom"/>
          </w:tcPr>
          <w:p>
            <w:pPr>
              <w:jc w:val="center"/>
              <w:ind w:left="419"/>
              <w:spacing w:after="0"/>
              <w:rPr>
                <w:sz w:val="20"/>
                <w:szCs w:val="20"/>
                <w:color w:val="auto"/>
              </w:rPr>
            </w:pPr>
            <w:r>
              <w:rPr>
                <w:rFonts w:ascii="Arial" w:cs="Arial" w:eastAsia="Arial" w:hAnsi="Arial"/>
                <w:sz w:val="14"/>
                <w:szCs w:val="14"/>
                <w:b w:val="1"/>
                <w:bCs w:val="1"/>
                <w:color w:val="auto"/>
                <w:w w:val="93"/>
              </w:rPr>
              <w:t>Against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53"/>
        </w:trPr>
        <w:tc>
          <w:tcPr>
            <w:tcW w:w="2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r>
      <w:tr>
        <w:trPr>
          <w:trHeight w:val="244"/>
        </w:trPr>
        <w:tc>
          <w:tcPr>
            <w:tcW w:w="26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rPr>
              <w:t>52,200,550</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8"/>
                <w:szCs w:val="18"/>
                <w:color w:val="auto"/>
              </w:rPr>
              <w:t>308,894</w:t>
            </w:r>
          </w:p>
        </w:tc>
        <w:tc>
          <w:tcPr>
            <w:tcW w:w="3120" w:type="dxa"/>
            <w:vAlign w:val="bottom"/>
            <w:tcBorders>
              <w:bottom w:val="single" w:sz="8" w:color="CCEEFF"/>
            </w:tcBorders>
            <w:gridSpan w:val="3"/>
            <w:shd w:val="clear" w:color="auto" w:fill="CCEEFF"/>
          </w:tcPr>
          <w:p>
            <w:pPr>
              <w:jc w:val="right"/>
              <w:ind w:right="968"/>
              <w:spacing w:after="0"/>
              <w:rPr>
                <w:sz w:val="20"/>
                <w:szCs w:val="20"/>
                <w:color w:val="auto"/>
              </w:rPr>
            </w:pPr>
            <w:r>
              <w:rPr>
                <w:rFonts w:ascii="Arial" w:cs="Arial" w:eastAsia="Arial" w:hAnsi="Arial"/>
                <w:sz w:val="18"/>
                <w:szCs w:val="18"/>
                <w:color w:val="auto"/>
              </w:rPr>
              <w:t>4,963</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rPr>
              <w:t>2,382,137</w:t>
            </w:r>
          </w:p>
        </w:tc>
      </w:tr>
      <w:tr>
        <w:trPr>
          <w:trHeight w:val="459"/>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6</w:t>
      </w:r>
    </w:p>
    <w:p>
      <w:pPr>
        <w:spacing w:after="0" w:line="17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Proposal 6 was to renew our board of directors’ existing authority under Irish law to allot and issue ordinary shares. This proposal was approved as follows:</w:t>
      </w:r>
    </w:p>
    <w:p>
      <w:pPr>
        <w:spacing w:after="0" w:line="135"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2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w:t>
            </w: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Against</w:t>
            </w:r>
          </w:p>
        </w:tc>
        <w:tc>
          <w:tcPr>
            <w:tcW w:w="2620" w:type="dxa"/>
            <w:vAlign w:val="bottom"/>
            <w:gridSpan w:val="2"/>
          </w:tcPr>
          <w:p>
            <w:pPr>
              <w:ind w:left="1020"/>
              <w:spacing w:after="0"/>
              <w:rPr>
                <w:sz w:val="20"/>
                <w:szCs w:val="20"/>
                <w:color w:val="auto"/>
              </w:rPr>
            </w:pPr>
            <w:r>
              <w:rPr>
                <w:rFonts w:ascii="Arial" w:cs="Arial" w:eastAsia="Arial" w:hAnsi="Arial"/>
                <w:sz w:val="14"/>
                <w:szCs w:val="14"/>
                <w:b w:val="1"/>
                <w:bCs w:val="1"/>
                <w:color w:val="auto"/>
              </w:rPr>
              <w:t>Abstain</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53"/>
        </w:trPr>
        <w:tc>
          <w:tcPr>
            <w:tcW w:w="2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r>
      <w:tr>
        <w:trPr>
          <w:trHeight w:val="237"/>
        </w:trPr>
        <w:tc>
          <w:tcPr>
            <w:tcW w:w="26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46,510,176</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8,356,995</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29,373</w:t>
            </w: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7</w:t>
      </w:r>
    </w:p>
    <w:p>
      <w:pPr>
        <w:spacing w:after="0" w:line="175"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Proposal 7 was to renew our board of directors’ existing authority under Irish law to allot and issue ordinary shares for cash without first offering those ordinary shares to existing shareholders pursuant to the statutory pre-emption right that would otherwise apply. This proposal was approved as follows:</w:t>
      </w:r>
    </w:p>
    <w:p>
      <w:pPr>
        <w:spacing w:after="0" w:line="88"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2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w:t>
            </w: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Against</w:t>
            </w:r>
          </w:p>
        </w:tc>
        <w:tc>
          <w:tcPr>
            <w:tcW w:w="2620" w:type="dxa"/>
            <w:vAlign w:val="bottom"/>
            <w:gridSpan w:val="2"/>
          </w:tcPr>
          <w:p>
            <w:pPr>
              <w:ind w:left="1020"/>
              <w:spacing w:after="0"/>
              <w:rPr>
                <w:sz w:val="20"/>
                <w:szCs w:val="20"/>
                <w:color w:val="auto"/>
              </w:rPr>
            </w:pPr>
            <w:r>
              <w:rPr>
                <w:rFonts w:ascii="Arial" w:cs="Arial" w:eastAsia="Arial" w:hAnsi="Arial"/>
                <w:sz w:val="14"/>
                <w:szCs w:val="14"/>
                <w:b w:val="1"/>
                <w:bCs w:val="1"/>
                <w:color w:val="auto"/>
              </w:rPr>
              <w:t>Abstain</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53"/>
        </w:trPr>
        <w:tc>
          <w:tcPr>
            <w:tcW w:w="2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r>
      <w:tr>
        <w:trPr>
          <w:trHeight w:val="237"/>
        </w:trPr>
        <w:tc>
          <w:tcPr>
            <w:tcW w:w="26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44,266,284</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10,596,246</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34,014</w:t>
            </w: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8</w:t>
      </w:r>
    </w:p>
    <w:p>
      <w:pPr>
        <w:spacing w:after="0" w:line="17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Proposal 8 was to approve any motion to adjourn the Annual Meeting, or any adjournments thereof, to another time and place to solicit additional proxies if there were insufficient votes at the time of the Annual Meeting to approve any or all of Proposals 4A, 4B and/or 7. Proposal 8 was not put to a vote of the shareholders at the Annual Meeting since there were sufficient votes at the time of the Annual Meeting to approve each of Proposals 4A, 4B and 7.</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9</w:t>
      </w:r>
    </w:p>
    <w:p>
      <w:pPr>
        <w:spacing w:after="0" w:line="17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Proposal 9 was to approve an amendment and restatement of the company’s 2011 Equity Incentive Plan in order to renew the company’s ability to grant awards thereunder that may qualify as “performance-based compensation” under section 162(m) of the U.S. Internal Revenue Code. This proposal was approved as follows:</w:t>
      </w:r>
    </w:p>
    <w:p>
      <w:pPr>
        <w:spacing w:after="0" w:line="146"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2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w:t>
            </w: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53"/>
        </w:trPr>
        <w:tc>
          <w:tcPr>
            <w:tcW w:w="2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r>
      <w:tr>
        <w:trPr>
          <w:trHeight w:val="237"/>
        </w:trPr>
        <w:tc>
          <w:tcPr>
            <w:tcW w:w="26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30,488,133</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21,882,677</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rPr>
              <w:t>143,597</w:t>
            </w: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2,382,137</w:t>
            </w:r>
          </w:p>
        </w:tc>
      </w:tr>
      <w:tr>
        <w:trPr>
          <w:trHeight w:val="27"/>
        </w:trPr>
        <w:tc>
          <w:tcPr>
            <w:tcW w:w="2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10</w:t>
      </w:r>
    </w:p>
    <w:p>
      <w:pPr>
        <w:spacing w:after="0" w:line="17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Proposal 10 was to approve an amendment and restatement of the company’s Amended and Restated 2007 Non-Employee Directors Stock Option Plan in order to (i) expand the types of stock awards that may be granted thereunder to the company’s non-employee directors and (ii) eliminate the final automatic annual increase to the share reserve that was otherwise scheduled to occur in 2017 pursuant to the “evergreen” provision included therein. This proposal was approved as follows:</w:t>
      </w:r>
    </w:p>
    <w:p>
      <w:pPr>
        <w:spacing w:after="0" w:line="152"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2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w:t>
            </w:r>
          </w:p>
        </w:tc>
        <w:tc>
          <w:tcPr>
            <w:tcW w:w="2000" w:type="dxa"/>
            <w:vAlign w:val="bottom"/>
          </w:tcPr>
          <w:p>
            <w:pPr>
              <w:jc w:val="center"/>
              <w:ind w:left="399"/>
              <w:spacing w:after="0"/>
              <w:rPr>
                <w:sz w:val="20"/>
                <w:szCs w:val="20"/>
                <w:color w:val="auto"/>
              </w:rPr>
            </w:pPr>
            <w:r>
              <w:rPr>
                <w:rFonts w:ascii="Arial" w:cs="Arial" w:eastAsia="Arial" w:hAnsi="Arial"/>
                <w:sz w:val="14"/>
                <w:szCs w:val="14"/>
                <w:b w:val="1"/>
                <w:bCs w:val="1"/>
                <w:color w:val="auto"/>
                <w:w w:val="93"/>
              </w:rPr>
              <w:t>Against</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2"/>
          </w:tcPr>
          <w:p>
            <w:pPr>
              <w:ind w:left="1020"/>
              <w:spacing w:after="0"/>
              <w:rPr>
                <w:sz w:val="20"/>
                <w:szCs w:val="20"/>
                <w:color w:val="auto"/>
              </w:rPr>
            </w:pPr>
            <w:r>
              <w:rPr>
                <w:rFonts w:ascii="Arial" w:cs="Arial" w:eastAsia="Arial" w:hAnsi="Arial"/>
                <w:sz w:val="14"/>
                <w:szCs w:val="14"/>
                <w:b w:val="1"/>
                <w:bCs w:val="1"/>
                <w:color w:val="auto"/>
              </w:rPr>
              <w:t>Abstain</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53"/>
        </w:trPr>
        <w:tc>
          <w:tcPr>
            <w:tcW w:w="2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r>
      <w:tr>
        <w:trPr>
          <w:trHeight w:val="244"/>
        </w:trPr>
        <w:tc>
          <w:tcPr>
            <w:tcW w:w="26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rPr>
              <w:t>47,927,845</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rPr>
              <w:t>4,534,137</w:t>
            </w:r>
          </w:p>
        </w:tc>
        <w:tc>
          <w:tcPr>
            <w:tcW w:w="3100" w:type="dxa"/>
            <w:vAlign w:val="bottom"/>
            <w:tcBorders>
              <w:bottom w:val="single" w:sz="8" w:color="CCEEFF"/>
            </w:tcBorders>
            <w:gridSpan w:val="3"/>
            <w:shd w:val="clear" w:color="auto" w:fill="CCEEFF"/>
          </w:tcPr>
          <w:p>
            <w:pPr>
              <w:ind w:left="1600"/>
              <w:spacing w:after="0"/>
              <w:rPr>
                <w:sz w:val="20"/>
                <w:szCs w:val="20"/>
                <w:color w:val="auto"/>
              </w:rPr>
            </w:pPr>
            <w:r>
              <w:rPr>
                <w:rFonts w:ascii="Arial" w:cs="Arial" w:eastAsia="Arial" w:hAnsi="Arial"/>
                <w:sz w:val="18"/>
                <w:szCs w:val="18"/>
                <w:color w:val="auto"/>
              </w:rPr>
              <w:t>52,425</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rPr>
              <w:t>2,382,137</w:t>
            </w:r>
          </w:p>
        </w:tc>
      </w:tr>
      <w:tr>
        <w:trPr>
          <w:trHeight w:val="891"/>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Item 6.</w:t>
            </w:r>
          </w:p>
        </w:tc>
        <w:tc>
          <w:tcPr>
            <w:tcW w:w="1066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400" w:type="dxa"/>
            <w:vAlign w:val="bottom"/>
          </w:tcPr>
          <w:p>
            <w:pPr>
              <w:spacing w:after="0"/>
              <w:rPr>
                <w:sz w:val="24"/>
                <w:szCs w:val="24"/>
                <w:color w:val="auto"/>
              </w:rPr>
            </w:pPr>
          </w:p>
        </w:tc>
        <w:tc>
          <w:tcPr>
            <w:tcW w:w="10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8"/>
        </w:trPr>
        <w:tc>
          <w:tcPr>
            <w:tcW w:w="76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3"/>
                <w:szCs w:val="13"/>
                <w:color w:val="auto"/>
              </w:rPr>
            </w:pPr>
          </w:p>
        </w:tc>
        <w:tc>
          <w:tcPr>
            <w:tcW w:w="10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Agreement and Plan of Merger and Reorganization, dated as of September 19, 2011, by and among Azur Pharma Limited (now Jazz</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Pharmaceuticals plc), Jaguar Merger Sub Inc., Jazz Pharmaceuticals, Inc. and Seamus Mulligan, solely in his capacity as the Indemnitors’</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Representative (incorporated herein by reference to Exhibit 2.1 in Jazz Pharmaceuticals, Inc.’s current report on Form 8-K (File No. 001-</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33500), as filed with the SEC on September 19, 2011).</w:t>
            </w:r>
          </w:p>
        </w:tc>
        <w:tc>
          <w:tcPr>
            <w:tcW w:w="0" w:type="dxa"/>
            <w:vAlign w:val="bottom"/>
          </w:tcPr>
          <w:p>
            <w:pPr>
              <w:spacing w:after="0"/>
              <w:rPr>
                <w:sz w:val="1"/>
                <w:szCs w:val="1"/>
                <w:color w:val="auto"/>
              </w:rPr>
            </w:pPr>
          </w:p>
        </w:tc>
      </w:tr>
      <w:tr>
        <w:trPr>
          <w:trHeight w:val="229"/>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0"/>
              </w:rPr>
              <w:t>Letter Agreement, dated as of January 17, 2012, by and among Jazz Pharmaceuticals plc, Jaguar Merger Sub Inc. Jazz Pharmaceuticals, Inc.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and Seamus Mulligan, solely in his capacity as the Indemnitors’ Representative (incorporated by reference to Exhibit 2.2 in Jazz</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Pharmaceuticals plc’s current report on Form 8-K (File No. 001-33500), as filed with the SEC on January 18, 2012).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Agreement and Plan of Merger, dated as of April 26, 2012, by and among Jazz Pharmaceuticals plc, Jewel Merger Sub Inc., EUSA Pharma</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Inc., and Essex Woodlands Health Ventures, Inc., Mayflower L.P., and Bryan Morton, in their capacity as the representatives of the equity</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holders of EUSA Pharma Inc. (incorporated herein by reference to Exhibit 2.1 in Jazz Pharmaceuticals plc’s current report on Form 8-K</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(File No. 001-33500), as filed with the SEC on April 27, 2012).</w:t>
            </w:r>
          </w:p>
        </w:tc>
        <w:tc>
          <w:tcPr>
            <w:tcW w:w="0" w:type="dxa"/>
            <w:vAlign w:val="bottom"/>
          </w:tcPr>
          <w:p>
            <w:pPr>
              <w:spacing w:after="0"/>
              <w:rPr>
                <w:sz w:val="1"/>
                <w:szCs w:val="1"/>
                <w:color w:val="auto"/>
              </w:rPr>
            </w:pPr>
          </w:p>
        </w:tc>
      </w:tr>
      <w:tr>
        <w:trPr>
          <w:trHeight w:val="229"/>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Assignment, dated as of June 11, 2012, by and between Jazz Pharmaceuticals plc and Jazz Pharmaceuticals, Inc. (incorporated herein by</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reference to Exhibit 2.1B in Jazz Pharmaceuticals plc’s current report on Form 8-K (File No. 001-33500), as filed with the SEC on June 12,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2"/>
          </w:tcPr>
          <w:p>
            <w:pPr>
              <w:ind w:left="42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Tender Offer Agreement, dated December 19, 2013, by and among Jazz Pharmaceuticals Public Limited Company, Jazz Pharmaceuticals</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Italy S.r.l. and Gentium S.p.A. (incorporated herein by reference to Exhibit 2.1 in Jazz Pharmaceuticals plc’s current report on Form 8-K/A</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(File No. 001-33500), as filed with the SEC on December 20, 2013).</w:t>
            </w:r>
          </w:p>
        </w:tc>
        <w:tc>
          <w:tcPr>
            <w:tcW w:w="0" w:type="dxa"/>
            <w:vAlign w:val="bottom"/>
          </w:tcPr>
          <w:p>
            <w:pPr>
              <w:spacing w:after="0"/>
              <w:rPr>
                <w:sz w:val="1"/>
                <w:szCs w:val="1"/>
                <w:color w:val="auto"/>
              </w:rPr>
            </w:pPr>
          </w:p>
        </w:tc>
      </w:tr>
      <w:tr>
        <w:trPr>
          <w:trHeight w:val="229"/>
        </w:trPr>
        <w:tc>
          <w:tcPr>
            <w:tcW w:w="760" w:type="dxa"/>
            <w:vAlign w:val="bottom"/>
            <w:gridSpan w:val="3"/>
          </w:tcPr>
          <w:p>
            <w:pPr>
              <w:ind w:left="40"/>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9"/>
                <w:szCs w:val="19"/>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Asset Purchase Agreement, dated January 13, 2014, by and among Jazz Pharmaceuticals International III Limited, Aerial BioPharma,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and Jazz Pharmaceuticals plc (incorporated herein by reference to Exhibit 2.1 in Jazz Pharmaceuticals plc’s current report on Form 8-K (File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No. 001-33500), as filed with the SEC on January 13, 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2.7†</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2.8</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2.9</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4.1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4.2A</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Assignment Agreement, dated July 1, 2014, by and among Jazz Pharmaceuticals International II Limited, Sigma-Tau Pharmaceuticals, Inc., Jazz Pharmaceuticals plc and Gentium S.p.A. (incorporated herein by reference to Exhibit 2.1 in Jazz Pharmaceuticals plc’s current report on Form 8-K (File No. 001-33500), as filed with the SEC on August 5, 2014).</w:t>
      </w:r>
    </w:p>
    <w:p>
      <w:pPr>
        <w:spacing w:after="0" w:line="1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Amended and Restated Agreement for the Acquisition of the Topaz Portfolio Business of Jazz Pharmaceuticals plc, dated March 20, 2015, between Jazz Pharmaceuticals plc and Essex Bidco Limited (incorporated herein by reference to Exhibit 2.1 in Jazz Pharmaceuticals plc’s current report on Form 8-K (File No. 001-33500), as filed with the SEC on March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4445</wp:posOffset>
            </wp:positionV>
            <wp:extent cx="7246620"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right="360"/>
        <w:spacing w:after="0" w:line="264" w:lineRule="auto"/>
        <w:rPr>
          <w:sz w:val="20"/>
          <w:szCs w:val="20"/>
          <w:color w:val="auto"/>
        </w:rPr>
      </w:pPr>
      <w:r>
        <w:rPr>
          <w:rFonts w:ascii="Arial" w:cs="Arial" w:eastAsia="Arial" w:hAnsi="Arial"/>
          <w:sz w:val="18"/>
          <w:szCs w:val="18"/>
          <w:color w:val="auto"/>
        </w:rPr>
        <w:t>Agreement and Plan of Merger, dated as of May 27, 2016, by and among Jazz Pharmaceuticals plc, Plex Merger Sub, Inc. and Celator Pharmaceuticals, Inc. (incorporated herein by reference to Exhibit 2.1 in Jazz Pharmaceuticals plc’s current report on Form 8-K (File No. 001-33500), as filed with the SEC on May 31, 2016).</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Memorandum and Articles of Association of Jazz Pharmaceuticals plc, as amended on August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83185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Exhibit 3.1.</w:t>
      </w:r>
    </w:p>
    <w:p>
      <w:pPr>
        <w:spacing w:after="0" w:line="14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Investor Rights Agreement, dated July 7, 2009 by and between Jazz Pharmaceuticals, Inc. and the other parties named therein (incorporated herein by reference to Exhibit 10.88 in Jazz Pharmaceuticals, Inc.’s current report on Form 8-K (File No. 001-33500), as filed with the SEC on July 7, 2009).</w:t>
      </w:r>
    </w:p>
    <w:p>
      <w:pPr>
        <w:spacing w:after="0" w:line="88" w:lineRule="exact"/>
        <w:rPr>
          <w:sz w:val="20"/>
          <w:szCs w:val="20"/>
          <w:color w:val="auto"/>
        </w:rPr>
      </w:pPr>
    </w:p>
    <w:p>
      <w:pPr>
        <w:sectPr>
          <w:pgSz w:w="11900" w:h="16838" w:orient="portrait"/>
          <w:cols w:equalWidth="0" w:num="2">
            <w:col w:w="460" w:space="720"/>
            <w:col w:w="102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4.2B</w:t>
            </w:r>
          </w:p>
        </w:tc>
        <w:tc>
          <w:tcPr>
            <w:tcW w:w="106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6"/>
              </w:rPr>
              <w:t>Assignment, Assumption and Amendment Agreement, dated as of January 18, 2012, by and among Jazz Pharmaceuticals, Inc., Jazz</w:t>
            </w:r>
          </w:p>
        </w:tc>
      </w:tr>
      <w:tr>
        <w:trPr>
          <w:trHeight w:val="216"/>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Pharmaceuticals plc and the other parties named therein (incorporated herein by reference to Exhibit 4.7B in the annual report on Form 10-K</w:t>
            </w:r>
          </w:p>
        </w:tc>
      </w:tr>
      <w:tr>
        <w:trPr>
          <w:trHeight w:val="216"/>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(File No. 001-33500) for the period ended December 31, 2011, as filed by Jazz Pharmaceuticals plc on behalf of and as successor to Jazz</w:t>
            </w:r>
          </w:p>
        </w:tc>
      </w:tr>
      <w:tr>
        <w:trPr>
          <w:trHeight w:val="237"/>
        </w:trPr>
        <w:tc>
          <w:tcPr>
            <w:tcW w:w="780" w:type="dxa"/>
            <w:vAlign w:val="bottom"/>
            <w:tcBorders>
              <w:bottom w:val="single" w:sz="8" w:color="CCEEFF"/>
            </w:tcBorders>
            <w:shd w:val="clear" w:color="auto" w:fill="CCEEFF"/>
          </w:tcPr>
          <w:p>
            <w:pPr>
              <w:spacing w:after="0"/>
              <w:rPr>
                <w:sz w:val="20"/>
                <w:szCs w:val="20"/>
                <w:color w:val="auto"/>
              </w:rPr>
            </w:pPr>
          </w:p>
        </w:tc>
        <w:tc>
          <w:tcPr>
            <w:tcW w:w="10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Pharmaceuticals, Inc. with the SEC on February 28, 2012).</w:t>
            </w: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4.2C</w:t>
            </w:r>
          </w:p>
        </w:tc>
        <w:tc>
          <w:tcPr>
            <w:tcW w:w="10640" w:type="dxa"/>
            <w:vAlign w:val="bottom"/>
          </w:tcPr>
          <w:p>
            <w:pPr>
              <w:ind w:left="400"/>
              <w:spacing w:after="0"/>
              <w:rPr>
                <w:sz w:val="20"/>
                <w:szCs w:val="20"/>
                <w:color w:val="auto"/>
              </w:rPr>
            </w:pPr>
            <w:r>
              <w:rPr>
                <w:rFonts w:ascii="Arial" w:cs="Arial" w:eastAsia="Arial" w:hAnsi="Arial"/>
                <w:sz w:val="18"/>
                <w:szCs w:val="18"/>
                <w:color w:val="auto"/>
                <w:w w:val="96"/>
              </w:rPr>
              <w:t>Indenture, dated as of August 13, 2014, by and among Jazz Pharmaceuticals plc, Jazz Investments I Limited and U.S. Bank National</w:t>
            </w:r>
          </w:p>
        </w:tc>
      </w:tr>
      <w:tr>
        <w:trPr>
          <w:trHeight w:val="216"/>
        </w:trPr>
        <w:tc>
          <w:tcPr>
            <w:tcW w:w="780" w:type="dxa"/>
            <w:vAlign w:val="bottom"/>
          </w:tcPr>
          <w:p>
            <w:pPr>
              <w:spacing w:after="0"/>
              <w:rPr>
                <w:sz w:val="18"/>
                <w:szCs w:val="18"/>
                <w:color w:val="auto"/>
              </w:rPr>
            </w:pPr>
          </w:p>
        </w:tc>
        <w:tc>
          <w:tcPr>
            <w:tcW w:w="10640" w:type="dxa"/>
            <w:vAlign w:val="bottom"/>
          </w:tcPr>
          <w:p>
            <w:pPr>
              <w:ind w:left="400"/>
              <w:spacing w:after="0"/>
              <w:rPr>
                <w:sz w:val="20"/>
                <w:szCs w:val="20"/>
                <w:color w:val="auto"/>
              </w:rPr>
            </w:pPr>
            <w:r>
              <w:rPr>
                <w:rFonts w:ascii="Arial" w:cs="Arial" w:eastAsia="Arial" w:hAnsi="Arial"/>
                <w:sz w:val="18"/>
                <w:szCs w:val="18"/>
                <w:color w:val="auto"/>
                <w:w w:val="96"/>
              </w:rPr>
              <w:t>Association (incorporated herein by reference to Exhibit 4.1 in Jazz Pharmaceuticals plc’s Current Report on Form 8-K (File No. 001-</w:t>
            </w:r>
          </w:p>
        </w:tc>
      </w:tr>
      <w:tr>
        <w:trPr>
          <w:trHeight w:val="230"/>
        </w:trPr>
        <w:tc>
          <w:tcPr>
            <w:tcW w:w="780" w:type="dxa"/>
            <w:vAlign w:val="bottom"/>
          </w:tcPr>
          <w:p>
            <w:pPr>
              <w:spacing w:after="0"/>
              <w:rPr>
                <w:sz w:val="20"/>
                <w:szCs w:val="20"/>
                <w:color w:val="auto"/>
              </w:rPr>
            </w:pPr>
          </w:p>
        </w:tc>
        <w:tc>
          <w:tcPr>
            <w:tcW w:w="10640" w:type="dxa"/>
            <w:vAlign w:val="bottom"/>
          </w:tcPr>
          <w:p>
            <w:pPr>
              <w:ind w:left="400"/>
              <w:spacing w:after="0"/>
              <w:rPr>
                <w:sz w:val="20"/>
                <w:szCs w:val="20"/>
                <w:color w:val="auto"/>
              </w:rPr>
            </w:pPr>
            <w:r>
              <w:rPr>
                <w:rFonts w:ascii="Arial" w:cs="Arial" w:eastAsia="Arial" w:hAnsi="Arial"/>
                <w:sz w:val="18"/>
                <w:szCs w:val="18"/>
                <w:color w:val="auto"/>
              </w:rPr>
              <w:t>33500), as filed with the SEC on August 13, 2014).</w:t>
            </w:r>
          </w:p>
        </w:tc>
      </w:tr>
      <w:tr>
        <w:trPr>
          <w:trHeight w:val="486"/>
        </w:trPr>
        <w:tc>
          <w:tcPr>
            <w:tcW w:w="780" w:type="dxa"/>
            <w:vAlign w:val="bottom"/>
          </w:tcPr>
          <w:p>
            <w:pPr>
              <w:spacing w:after="0"/>
              <w:rPr>
                <w:sz w:val="24"/>
                <w:szCs w:val="24"/>
                <w:color w:val="auto"/>
              </w:rPr>
            </w:pPr>
          </w:p>
        </w:tc>
        <w:tc>
          <w:tcPr>
            <w:tcW w:w="10640" w:type="dxa"/>
            <w:vAlign w:val="bottom"/>
          </w:tcPr>
          <w:p>
            <w:pPr>
              <w:ind w:left="4840"/>
              <w:spacing w:after="0"/>
              <w:rPr>
                <w:sz w:val="20"/>
                <w:szCs w:val="20"/>
                <w:color w:val="auto"/>
              </w:rPr>
            </w:pPr>
            <w:r>
              <w:rPr>
                <w:rFonts w:ascii="Arial" w:cs="Arial" w:eastAsia="Arial" w:hAnsi="Arial"/>
                <w:sz w:val="18"/>
                <w:szCs w:val="18"/>
                <w:color w:val="auto"/>
              </w:rPr>
              <w:t>93</w:t>
            </w:r>
          </w:p>
        </w:tc>
      </w:tr>
    </w:tbl>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w:t>
            </w:r>
          </w:p>
        </w:tc>
        <w:tc>
          <w:tcPr>
            <w:tcW w:w="10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8"/>
        </w:trPr>
        <w:tc>
          <w:tcPr>
            <w:tcW w:w="116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Number</w:t>
            </w:r>
          </w:p>
        </w:tc>
        <w:tc>
          <w:tcPr>
            <w:tcW w:w="10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1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4.2D</w:t>
            </w: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Form of 1.875% Exchangeable Senior Note due 2021 (incorporated herein by reference to Exhibit 4.2 in Jazz Pharmaceuticals plc’s Current</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 on Form 8-K (File No. 001-33500), as filed with the SEC on August 13, 2014).</w:t>
            </w:r>
          </w:p>
        </w:tc>
        <w:tc>
          <w:tcPr>
            <w:tcW w:w="0" w:type="dxa"/>
            <w:vAlign w:val="bottom"/>
          </w:tcPr>
          <w:p>
            <w:pPr>
              <w:spacing w:after="0"/>
              <w:rPr>
                <w:sz w:val="1"/>
                <w:szCs w:val="1"/>
                <w:color w:val="auto"/>
              </w:rPr>
            </w:pPr>
          </w:p>
        </w:tc>
      </w:tr>
      <w:tr>
        <w:trPr>
          <w:trHeight w:val="229"/>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19"/>
                <w:szCs w:val="19"/>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Amendment No. 1, dated as of July 12, 2016, to Credit Agreement, dated as of June 18, 2015, among Jazz Pharmaceuticals plc, Jazz</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Securities Limited, Jazz Pharmaceuticals, Inc., Jazz Financing I Limited, Jazz Pharmaceuticals Ireland Limited, the lenders party thereto and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Bank of America, N.A., as Collateral Agent, Administrative Agent, Swing Line Lender and L/C Issuer.</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10.2</w:t>
            </w:r>
          </w:p>
        </w:tc>
        <w:tc>
          <w:tcPr>
            <w:tcW w:w="620" w:type="dxa"/>
            <w:vAlign w:val="bottom"/>
            <w:shd w:val="clear" w:color="auto" w:fill="CCEEFF"/>
          </w:tcPr>
          <w:p>
            <w:pPr>
              <w:spacing w:after="0"/>
              <w:rPr>
                <w:sz w:val="19"/>
                <w:szCs w:val="19"/>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Tender and Support Agreement, dated as of May 27, 2016, by and among Jazz Pharmaceuticals plc, Plex Merger Sub, Inc. and each of the</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persons set forth on Schedule A attached thereto (incorporated herein by reference to Exhibit 99.1 in Jazz Pharmaceuticals plc’s current</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 on Form 8-K (File No. 001-33500), as filed with the SEC on May 31, 2016).</w:t>
            </w:r>
          </w:p>
        </w:tc>
        <w:tc>
          <w:tcPr>
            <w:tcW w:w="0" w:type="dxa"/>
            <w:vAlign w:val="bottom"/>
          </w:tcPr>
          <w:p>
            <w:pPr>
              <w:spacing w:after="0"/>
              <w:rPr>
                <w:sz w:val="1"/>
                <w:szCs w:val="1"/>
                <w:color w:val="auto"/>
              </w:rPr>
            </w:pPr>
          </w:p>
        </w:tc>
      </w:tr>
      <w:tr>
        <w:trPr>
          <w:trHeight w:val="243"/>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6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7"/>
              </w:rPr>
              <w:t>Amended and Restated Schedule 3 to Employment Agreement by and between Jazz Pharmaceuticals Ireland Ltd. and Paul Treacy.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10.4+</w:t>
            </w:r>
          </w:p>
        </w:tc>
        <w:tc>
          <w:tcPr>
            <w:tcW w:w="620" w:type="dxa"/>
            <w:vAlign w:val="bottom"/>
            <w:tcBorders>
              <w:bottom w:val="single" w:sz="8" w:color="CCEEFF"/>
            </w:tcBorders>
            <w:shd w:val="clear" w:color="auto" w:fill="CCEEFF"/>
          </w:tcPr>
          <w:p>
            <w:pPr>
              <w:spacing w:after="0"/>
              <w:rPr>
                <w:sz w:val="21"/>
                <w:szCs w:val="21"/>
                <w:color w:val="auto"/>
              </w:rPr>
            </w:pP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Control Stock Award Acceleration Agreement by and between Jazz Pharmaceuticals plc and Paul Treacy.</w:t>
            </w:r>
          </w:p>
        </w:tc>
        <w:tc>
          <w:tcPr>
            <w:tcW w:w="0" w:type="dxa"/>
            <w:vAlign w:val="bottom"/>
          </w:tcPr>
          <w:p>
            <w:pPr>
              <w:spacing w:after="0"/>
              <w:rPr>
                <w:sz w:val="1"/>
                <w:szCs w:val="1"/>
                <w:color w:val="auto"/>
              </w:rPr>
            </w:pPr>
          </w:p>
        </w:tc>
      </w:tr>
      <w:tr>
        <w:trPr>
          <w:trHeight w:val="243"/>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Amended and Restated Schedule 3 to Employment Agreement by and between Jazz Pharmaceuticals UK Ltd and Iain McGill.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10.6+</w:t>
            </w:r>
          </w:p>
        </w:tc>
        <w:tc>
          <w:tcPr>
            <w:tcW w:w="620" w:type="dxa"/>
            <w:vAlign w:val="bottom"/>
            <w:tcBorders>
              <w:bottom w:val="single" w:sz="8" w:color="CCEEFF"/>
            </w:tcBorders>
            <w:shd w:val="clear" w:color="auto" w:fill="CCEEFF"/>
          </w:tcPr>
          <w:p>
            <w:pPr>
              <w:spacing w:after="0"/>
              <w:rPr>
                <w:sz w:val="21"/>
                <w:szCs w:val="21"/>
                <w:color w:val="auto"/>
              </w:rPr>
            </w:pP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Control Stock Award Acceleration Agreement by and between Jazz Pharmaceuticals plc and Iain McGill.</w:t>
            </w:r>
          </w:p>
        </w:tc>
        <w:tc>
          <w:tcPr>
            <w:tcW w:w="0" w:type="dxa"/>
            <w:vAlign w:val="bottom"/>
          </w:tcPr>
          <w:p>
            <w:pPr>
              <w:spacing w:after="0"/>
              <w:rPr>
                <w:sz w:val="1"/>
                <w:szCs w:val="1"/>
                <w:color w:val="auto"/>
              </w:rPr>
            </w:pPr>
          </w:p>
        </w:tc>
      </w:tr>
      <w:tr>
        <w:trPr>
          <w:trHeight w:val="243"/>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10.7+</w:t>
            </w:r>
          </w:p>
        </w:tc>
        <w:tc>
          <w:tcPr>
            <w:tcW w:w="6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Amended and Restated Non-Employee Director Compensation Policy (approved May 5, 2016).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10.8+</w:t>
            </w:r>
          </w:p>
        </w:tc>
        <w:tc>
          <w:tcPr>
            <w:tcW w:w="620" w:type="dxa"/>
            <w:vAlign w:val="bottom"/>
            <w:tcBorders>
              <w:bottom w:val="single" w:sz="8" w:color="CCEEFF"/>
            </w:tcBorders>
            <w:shd w:val="clear" w:color="auto" w:fill="CCEEFF"/>
          </w:tcPr>
          <w:p>
            <w:pPr>
              <w:spacing w:after="0"/>
              <w:rPr>
                <w:sz w:val="21"/>
                <w:szCs w:val="21"/>
                <w:color w:val="auto"/>
              </w:rPr>
            </w:pP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Amended and Restated 2011 Equity Incentive Plan (approved August 4, 2016).</w:t>
            </w:r>
          </w:p>
        </w:tc>
        <w:tc>
          <w:tcPr>
            <w:tcW w:w="0" w:type="dxa"/>
            <w:vAlign w:val="bottom"/>
          </w:tcPr>
          <w:p>
            <w:pPr>
              <w:spacing w:after="0"/>
              <w:rPr>
                <w:sz w:val="1"/>
                <w:szCs w:val="1"/>
                <w:color w:val="auto"/>
              </w:rPr>
            </w:pPr>
          </w:p>
        </w:tc>
      </w:tr>
      <w:tr>
        <w:trPr>
          <w:trHeight w:val="243"/>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10.9+</w:t>
            </w:r>
          </w:p>
        </w:tc>
        <w:tc>
          <w:tcPr>
            <w:tcW w:w="6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Amended and Restated 2007 Non-Employee Directors Stock Option Plan (approved August 4, 2016).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620" w:type="dxa"/>
            <w:vAlign w:val="bottom"/>
            <w:shd w:val="clear" w:color="auto" w:fill="CCEEFF"/>
          </w:tcPr>
          <w:p>
            <w:pPr>
              <w:spacing w:after="0"/>
              <w:rPr>
                <w:sz w:val="19"/>
                <w:szCs w:val="19"/>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Certification of Chief Executive Officer pursuant to Rules 13a-14(a) and 15d-14(a) promulgated under the Securities Exchange Act of 1934,</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amended.</w:t>
            </w:r>
          </w:p>
        </w:tc>
        <w:tc>
          <w:tcPr>
            <w:tcW w:w="0" w:type="dxa"/>
            <w:vAlign w:val="bottom"/>
          </w:tcPr>
          <w:p>
            <w:pPr>
              <w:spacing w:after="0"/>
              <w:rPr>
                <w:sz w:val="1"/>
                <w:szCs w:val="1"/>
                <w:color w:val="auto"/>
              </w:rPr>
            </w:pPr>
          </w:p>
        </w:tc>
      </w:tr>
      <w:tr>
        <w:trPr>
          <w:trHeight w:val="229"/>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620" w:type="dxa"/>
            <w:vAlign w:val="bottom"/>
          </w:tcPr>
          <w:p>
            <w:pPr>
              <w:spacing w:after="0"/>
              <w:rPr>
                <w:sz w:val="19"/>
                <w:szCs w:val="19"/>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Certification of Chief Financial Officer pursuant to Rules 13a-14(a) and 15d-14(a) promulgated under the Securities Exchange Act of 1934,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as amended.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32.1*</w:t>
            </w:r>
          </w:p>
        </w:tc>
        <w:tc>
          <w:tcPr>
            <w:tcW w:w="620" w:type="dxa"/>
            <w:vAlign w:val="bottom"/>
            <w:shd w:val="clear" w:color="auto" w:fill="CCEEFF"/>
          </w:tcPr>
          <w:p>
            <w:pPr>
              <w:spacing w:after="0"/>
              <w:rPr>
                <w:sz w:val="19"/>
                <w:szCs w:val="19"/>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Certifications of Chief Executive Officer and Chief Financial Officer pursuant to 18 U.S.C. Section 1350, as adopted pursuant to Section 906</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r>
        <w:trPr>
          <w:trHeight w:val="243"/>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10260" w:type="dxa"/>
            <w:vAlign w:val="bottom"/>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43"/>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43"/>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25"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w:t>
      </w:r>
    </w:p>
    <w:p>
      <w:pPr>
        <w:spacing w:after="0" w:line="9" w:lineRule="exact"/>
        <w:rPr>
          <w:sz w:val="20"/>
          <w:szCs w:val="20"/>
          <w:color w:val="auto"/>
        </w:rPr>
      </w:pPr>
    </w:p>
    <w:p>
      <w:pPr>
        <w:ind w:left="500" w:right="80" w:hanging="492"/>
        <w:spacing w:after="0" w:line="255"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35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JAZZ PHARMACEUTICALS PUBLIC LIMITED COMPANY</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31750</wp:posOffset>
            </wp:positionV>
            <wp:extent cx="40049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Bruce C. Cozadd</w:t>
      </w:r>
    </w:p>
    <w:p>
      <w:pPr>
        <w:spacing w:after="0" w:line="63"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Chairman and Chief Executive Officer and Director</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37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Matthew 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31750</wp:posOffset>
            </wp:positionV>
            <wp:extent cx="40049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Matthew P. Young</w:t>
      </w:r>
    </w:p>
    <w:p>
      <w:pPr>
        <w:spacing w:after="0" w:line="63"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37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Karen J.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31750</wp:posOffset>
            </wp:positionV>
            <wp:extent cx="40049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Karen J. Wilson</w:t>
      </w:r>
    </w:p>
    <w:p>
      <w:pPr>
        <w:spacing w:after="0" w:line="63"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Senior Vice President, Finance</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(Principal Accounting Officer)</w:t>
      </w:r>
    </w:p>
    <w:p>
      <w:pPr>
        <w:sectPr>
          <w:pgSz w:w="11900" w:h="16838" w:orient="portrait"/>
          <w:cols w:equalWidth="0" w:num="1">
            <w:col w:w="10720"/>
          </w:cols>
          <w:pgMar w:left="240" w:top="125" w:right="9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20" w:type="dxa"/>
            <w:vAlign w:val="bottom"/>
          </w:tcPr>
          <w:p>
            <w:pPr>
              <w:ind w:left="38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Exhibit</w:t>
            </w:r>
          </w:p>
        </w:tc>
        <w:tc>
          <w:tcPr>
            <w:tcW w:w="10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8"/>
        </w:trPr>
        <w:tc>
          <w:tcPr>
            <w:tcW w:w="11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Number</w:t>
            </w:r>
          </w:p>
        </w:tc>
        <w:tc>
          <w:tcPr>
            <w:tcW w:w="10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2.1</w:t>
            </w:r>
          </w:p>
        </w:tc>
        <w:tc>
          <w:tcPr>
            <w:tcW w:w="600" w:type="dxa"/>
            <w:vAlign w:val="bottom"/>
            <w:shd w:val="clear" w:color="auto" w:fill="CCEEFF"/>
          </w:tcPr>
          <w:p>
            <w:pPr>
              <w:spacing w:after="0"/>
              <w:rPr>
                <w:sz w:val="19"/>
                <w:szCs w:val="19"/>
                <w:color w:val="auto"/>
              </w:rPr>
            </w:pPr>
          </w:p>
        </w:tc>
        <w:tc>
          <w:tcPr>
            <w:tcW w:w="10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Agreement and Plan of Merger and Reorganization, dated as of September 19, 2011, by and among Azur Pharma Limited (now Jazz</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Pharmaceuticals plc), Jaguar Merger Sub Inc., Jazz Pharmaceuticals, Inc. and Seamus Mulligan, solely in his capacity as the Indemnitors’</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Representative (incorporated herein by reference to Exhibit 2.1 in Jazz Pharmaceuticals, Inc.’s current report on Form 8-K (File No. 001-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33500), as filed with the SEC on September 19, 2011).</w:t>
            </w:r>
          </w:p>
        </w:tc>
        <w:tc>
          <w:tcPr>
            <w:tcW w:w="0" w:type="dxa"/>
            <w:vAlign w:val="bottom"/>
          </w:tcPr>
          <w:p>
            <w:pPr>
              <w:spacing w:after="0"/>
              <w:rPr>
                <w:sz w:val="1"/>
                <w:szCs w:val="1"/>
                <w:color w:val="auto"/>
              </w:rPr>
            </w:pPr>
          </w:p>
        </w:tc>
      </w:tr>
      <w:tr>
        <w:trPr>
          <w:trHeight w:val="22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19"/>
                <w:szCs w:val="19"/>
                <w:color w:val="auto"/>
              </w:rPr>
            </w:pPr>
          </w:p>
        </w:tc>
        <w:tc>
          <w:tcPr>
            <w:tcW w:w="10220" w:type="dxa"/>
            <w:vAlign w:val="bottom"/>
          </w:tcPr>
          <w:p>
            <w:pPr>
              <w:ind w:left="40"/>
              <w:spacing w:after="0"/>
              <w:rPr>
                <w:sz w:val="20"/>
                <w:szCs w:val="20"/>
                <w:color w:val="auto"/>
              </w:rPr>
            </w:pPr>
            <w:r>
              <w:rPr>
                <w:rFonts w:ascii="Arial" w:cs="Arial" w:eastAsia="Arial" w:hAnsi="Arial"/>
                <w:sz w:val="18"/>
                <w:szCs w:val="18"/>
                <w:color w:val="auto"/>
                <w:w w:val="89"/>
              </w:rPr>
              <w:t>Letter Agreement, dated as of January 17, 2012, by and among Jazz Pharmaceuticals plc, Jaguar Merger Sub Inc. Jazz Pharmaceuticals,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20" w:type="dxa"/>
            <w:vAlign w:val="bottom"/>
          </w:tcPr>
          <w:p>
            <w:pPr>
              <w:ind w:left="40"/>
              <w:spacing w:after="0"/>
              <w:rPr>
                <w:sz w:val="20"/>
                <w:szCs w:val="20"/>
                <w:color w:val="auto"/>
              </w:rPr>
            </w:pPr>
            <w:r>
              <w:rPr>
                <w:rFonts w:ascii="Arial" w:cs="Arial" w:eastAsia="Arial" w:hAnsi="Arial"/>
                <w:sz w:val="18"/>
                <w:szCs w:val="18"/>
                <w:color w:val="auto"/>
                <w:w w:val="99"/>
              </w:rPr>
              <w:t>and Seamus Mulligan, solely in his capacity as the Indemnitors’ Representative (incorporated by reference to Exhibit 2.2 in Jazz</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20" w:type="dxa"/>
            <w:vAlign w:val="bottom"/>
          </w:tcPr>
          <w:p>
            <w:pPr>
              <w:ind w:left="40"/>
              <w:spacing w:after="0"/>
              <w:rPr>
                <w:sz w:val="20"/>
                <w:szCs w:val="20"/>
                <w:color w:val="auto"/>
              </w:rPr>
            </w:pPr>
            <w:r>
              <w:rPr>
                <w:rFonts w:ascii="Arial" w:cs="Arial" w:eastAsia="Arial" w:hAnsi="Arial"/>
                <w:sz w:val="18"/>
                <w:szCs w:val="18"/>
                <w:color w:val="auto"/>
              </w:rPr>
              <w:t>Pharmaceuticals plc’s current report on Form 8-K (File No. 001-33500), as filed with the SEC on January 18, 2012).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2.3</w:t>
            </w:r>
          </w:p>
        </w:tc>
        <w:tc>
          <w:tcPr>
            <w:tcW w:w="600" w:type="dxa"/>
            <w:vAlign w:val="bottom"/>
            <w:shd w:val="clear" w:color="auto" w:fill="CCEEFF"/>
          </w:tcPr>
          <w:p>
            <w:pPr>
              <w:spacing w:after="0"/>
              <w:rPr>
                <w:sz w:val="19"/>
                <w:szCs w:val="19"/>
                <w:color w:val="auto"/>
              </w:rPr>
            </w:pPr>
          </w:p>
        </w:tc>
        <w:tc>
          <w:tcPr>
            <w:tcW w:w="10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Agreement and Plan of Merger, dated as of April 26, 2012, by and among Jazz Pharmaceuticals plc, Jewel Merger Sub Inc., EUSA Pharma</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Inc., and Essex Woodlands Health Ventures, Inc., Mayflower L.P., and Bryan Morton, in their capacity as the representatives of the equity</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holders of EUSA Pharma Inc. (incorporated herein by reference to Exhibit 2.1 in Jazz Pharmaceuticals plc’s current report on Form 8-K</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(File No. 001-33500), as filed with the SEC on April 27, 2012).</w:t>
            </w:r>
          </w:p>
        </w:tc>
        <w:tc>
          <w:tcPr>
            <w:tcW w:w="0" w:type="dxa"/>
            <w:vAlign w:val="bottom"/>
          </w:tcPr>
          <w:p>
            <w:pPr>
              <w:spacing w:after="0"/>
              <w:rPr>
                <w:sz w:val="1"/>
                <w:szCs w:val="1"/>
                <w:color w:val="auto"/>
              </w:rPr>
            </w:pPr>
          </w:p>
        </w:tc>
      </w:tr>
      <w:tr>
        <w:trPr>
          <w:trHeight w:val="22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19"/>
                <w:szCs w:val="19"/>
                <w:color w:val="auto"/>
              </w:rPr>
            </w:pPr>
          </w:p>
        </w:tc>
        <w:tc>
          <w:tcPr>
            <w:tcW w:w="10220" w:type="dxa"/>
            <w:vAlign w:val="bottom"/>
          </w:tcPr>
          <w:p>
            <w:pPr>
              <w:ind w:left="40"/>
              <w:spacing w:after="0"/>
              <w:rPr>
                <w:sz w:val="20"/>
                <w:szCs w:val="20"/>
                <w:color w:val="auto"/>
              </w:rPr>
            </w:pPr>
            <w:r>
              <w:rPr>
                <w:rFonts w:ascii="Arial" w:cs="Arial" w:eastAsia="Arial" w:hAnsi="Arial"/>
                <w:sz w:val="18"/>
                <w:szCs w:val="18"/>
                <w:color w:val="auto"/>
                <w:w w:val="92"/>
              </w:rPr>
              <w:t>Assignment, dated as of June 11, 2012, by and between Jazz Pharmaceuticals plc and Jazz Pharmaceuticals, Inc. (incorporated herein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20" w:type="dxa"/>
            <w:vAlign w:val="bottom"/>
          </w:tcPr>
          <w:p>
            <w:pPr>
              <w:ind w:left="40"/>
              <w:spacing w:after="0"/>
              <w:rPr>
                <w:sz w:val="20"/>
                <w:szCs w:val="20"/>
                <w:color w:val="auto"/>
              </w:rPr>
            </w:pPr>
            <w:r>
              <w:rPr>
                <w:rFonts w:ascii="Arial" w:cs="Arial" w:eastAsia="Arial" w:hAnsi="Arial"/>
                <w:sz w:val="18"/>
                <w:szCs w:val="18"/>
                <w:color w:val="auto"/>
                <w:w w:val="92"/>
              </w:rPr>
              <w:t>reference to Exhibit 2.1B in Jazz Pharmaceuticals plc’s current report on Form 8-K (File No. 001-33500), as filed with the SEC on June 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20" w:type="dxa"/>
            <w:vAlign w:val="bottom"/>
          </w:tcPr>
          <w:p>
            <w:pPr>
              <w:ind w:left="4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2.5</w:t>
            </w:r>
          </w:p>
        </w:tc>
        <w:tc>
          <w:tcPr>
            <w:tcW w:w="600" w:type="dxa"/>
            <w:vAlign w:val="bottom"/>
            <w:shd w:val="clear" w:color="auto" w:fill="CCEEFF"/>
          </w:tcPr>
          <w:p>
            <w:pPr>
              <w:spacing w:after="0"/>
              <w:rPr>
                <w:sz w:val="19"/>
                <w:szCs w:val="19"/>
                <w:color w:val="auto"/>
              </w:rPr>
            </w:pPr>
          </w:p>
        </w:tc>
        <w:tc>
          <w:tcPr>
            <w:tcW w:w="10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Tender Offer Agreement, dated December 19, 2013, by and among Jazz Pharmaceuticals Public Limited Company, Jazz Pharmaceuticals</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Italy S.r.l. and Gentium S.p.A. (incorporated herein by reference to Exhibit 2.1 in Jazz Pharmaceuticals plc’s current report on Form 8-K/A</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(File No. 001-33500), as filed with the SEC on December 20, 2013).</w:t>
            </w:r>
          </w:p>
        </w:tc>
        <w:tc>
          <w:tcPr>
            <w:tcW w:w="0" w:type="dxa"/>
            <w:vAlign w:val="bottom"/>
          </w:tcPr>
          <w:p>
            <w:pPr>
              <w:spacing w:after="0"/>
              <w:rPr>
                <w:sz w:val="1"/>
                <w:szCs w:val="1"/>
                <w:color w:val="auto"/>
              </w:rPr>
            </w:pPr>
          </w:p>
        </w:tc>
      </w:tr>
      <w:tr>
        <w:trPr>
          <w:trHeight w:val="229"/>
        </w:trPr>
        <w:tc>
          <w:tcPr>
            <w:tcW w:w="1140" w:type="dxa"/>
            <w:vAlign w:val="bottom"/>
            <w:gridSpan w:val="3"/>
          </w:tcPr>
          <w:p>
            <w:pPr>
              <w:ind w:left="20"/>
              <w:spacing w:after="0"/>
              <w:rPr>
                <w:sz w:val="20"/>
                <w:szCs w:val="20"/>
                <w:color w:val="auto"/>
              </w:rPr>
            </w:pPr>
            <w:r>
              <w:rPr>
                <w:rFonts w:ascii="Arial" w:cs="Arial" w:eastAsia="Arial" w:hAnsi="Arial"/>
                <w:sz w:val="18"/>
                <w:szCs w:val="18"/>
                <w:color w:val="auto"/>
              </w:rPr>
              <w:t>2.6†</w:t>
            </w:r>
          </w:p>
        </w:tc>
        <w:tc>
          <w:tcPr>
            <w:tcW w:w="10220" w:type="dxa"/>
            <w:vAlign w:val="bottom"/>
          </w:tcPr>
          <w:p>
            <w:pPr>
              <w:ind w:left="40"/>
              <w:spacing w:after="0"/>
              <w:rPr>
                <w:sz w:val="20"/>
                <w:szCs w:val="20"/>
                <w:color w:val="auto"/>
              </w:rPr>
            </w:pPr>
            <w:r>
              <w:rPr>
                <w:rFonts w:ascii="Arial" w:cs="Arial" w:eastAsia="Arial" w:hAnsi="Arial"/>
                <w:sz w:val="18"/>
                <w:szCs w:val="18"/>
                <w:color w:val="auto"/>
                <w:w w:val="92"/>
              </w:rPr>
              <w:t>Asset Purchase Agreement, dated January 13, 2014, by and among Jazz Pharmaceuticals International III Limited, Aerial BioPharma,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20" w:type="dxa"/>
            <w:vAlign w:val="bottom"/>
          </w:tcPr>
          <w:p>
            <w:pPr>
              <w:ind w:left="40"/>
              <w:spacing w:after="0"/>
              <w:rPr>
                <w:sz w:val="20"/>
                <w:szCs w:val="20"/>
                <w:color w:val="auto"/>
              </w:rPr>
            </w:pPr>
            <w:r>
              <w:rPr>
                <w:rFonts w:ascii="Arial" w:cs="Arial" w:eastAsia="Arial" w:hAnsi="Arial"/>
                <w:sz w:val="18"/>
                <w:szCs w:val="18"/>
                <w:color w:val="auto"/>
                <w:w w:val="91"/>
              </w:rPr>
              <w:t>and Jazz Pharmaceuticals plc (incorporated herein by reference to Exhibit 2.1 in Jazz Pharmaceuticals plc’s current report on Form 8-K (File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20" w:type="dxa"/>
            <w:vAlign w:val="bottom"/>
          </w:tcPr>
          <w:p>
            <w:pPr>
              <w:ind w:left="40"/>
              <w:spacing w:after="0"/>
              <w:rPr>
                <w:sz w:val="20"/>
                <w:szCs w:val="20"/>
                <w:color w:val="auto"/>
              </w:rPr>
            </w:pPr>
            <w:r>
              <w:rPr>
                <w:rFonts w:ascii="Arial" w:cs="Arial" w:eastAsia="Arial" w:hAnsi="Arial"/>
                <w:sz w:val="18"/>
                <w:szCs w:val="18"/>
                <w:color w:val="auto"/>
              </w:rPr>
              <w:t>No. 001-33500), as filed with the SEC on January 13, 2014).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2.7†</w:t>
            </w:r>
          </w:p>
        </w:tc>
        <w:tc>
          <w:tcPr>
            <w:tcW w:w="10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Assignment Agreement, dated July 1, 2014, by and among Jazz Pharmaceuticals International II Limited, Sigma-Tau Pharmaceuticals, Inc.,</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Jazz Pharmaceuticals plc and Gentium S.p.A. (incorporated herein by reference to Exhibit 2.1 in Jazz Pharmaceuticals plc’s current report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 Form 8-K (File No. 001-33500), as filed with the SEC on August 5, 2014).</w:t>
            </w:r>
          </w:p>
        </w:tc>
        <w:tc>
          <w:tcPr>
            <w:tcW w:w="0" w:type="dxa"/>
            <w:vAlign w:val="bottom"/>
          </w:tcPr>
          <w:p>
            <w:pPr>
              <w:spacing w:after="0"/>
              <w:rPr>
                <w:sz w:val="1"/>
                <w:szCs w:val="1"/>
                <w:color w:val="auto"/>
              </w:rPr>
            </w:pPr>
          </w:p>
        </w:tc>
      </w:tr>
      <w:tr>
        <w:trPr>
          <w:trHeight w:val="22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19"/>
                <w:szCs w:val="19"/>
                <w:color w:val="auto"/>
              </w:rPr>
            </w:pPr>
          </w:p>
        </w:tc>
        <w:tc>
          <w:tcPr>
            <w:tcW w:w="10220" w:type="dxa"/>
            <w:vAlign w:val="bottom"/>
          </w:tcPr>
          <w:p>
            <w:pPr>
              <w:ind w:left="40"/>
              <w:spacing w:after="0"/>
              <w:rPr>
                <w:sz w:val="20"/>
                <w:szCs w:val="20"/>
                <w:color w:val="auto"/>
              </w:rPr>
            </w:pPr>
            <w:r>
              <w:rPr>
                <w:rFonts w:ascii="Arial" w:cs="Arial" w:eastAsia="Arial" w:hAnsi="Arial"/>
                <w:sz w:val="18"/>
                <w:szCs w:val="18"/>
                <w:color w:val="auto"/>
                <w:w w:val="92"/>
              </w:rPr>
              <w:t>Amended and Restated Agreement for the Acquisition of the Topaz Portfolio Business of Jazz Pharmaceuticals plc, dated March 20,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20" w:type="dxa"/>
            <w:vAlign w:val="bottom"/>
          </w:tcPr>
          <w:p>
            <w:pPr>
              <w:ind w:left="40"/>
              <w:spacing w:after="0"/>
              <w:rPr>
                <w:sz w:val="20"/>
                <w:szCs w:val="20"/>
                <w:color w:val="auto"/>
              </w:rPr>
            </w:pPr>
            <w:r>
              <w:rPr>
                <w:rFonts w:ascii="Arial" w:cs="Arial" w:eastAsia="Arial" w:hAnsi="Arial"/>
                <w:sz w:val="18"/>
                <w:szCs w:val="18"/>
                <w:color w:val="auto"/>
                <w:w w:val="92"/>
              </w:rPr>
              <w:t>between Jazz Pharmaceuticals plc and Essex Bidco Limited (incorporated herein by reference to Exhibit 2.1 in Jazz Pharmaceuticals plc’s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20" w:type="dxa"/>
            <w:vAlign w:val="bottom"/>
          </w:tcPr>
          <w:p>
            <w:pPr>
              <w:ind w:left="40"/>
              <w:spacing w:after="0"/>
              <w:rPr>
                <w:sz w:val="20"/>
                <w:szCs w:val="20"/>
                <w:color w:val="auto"/>
              </w:rPr>
            </w:pPr>
            <w:r>
              <w:rPr>
                <w:rFonts w:ascii="Arial" w:cs="Arial" w:eastAsia="Arial" w:hAnsi="Arial"/>
                <w:sz w:val="18"/>
                <w:szCs w:val="18"/>
                <w:color w:val="auto"/>
              </w:rPr>
              <w:t>current report on Form 8-K (File No. 001-33500), as filed with the SEC on March 23, 2015).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2.9</w:t>
            </w:r>
          </w:p>
        </w:tc>
        <w:tc>
          <w:tcPr>
            <w:tcW w:w="600" w:type="dxa"/>
            <w:vAlign w:val="bottom"/>
            <w:shd w:val="clear" w:color="auto" w:fill="CCEEFF"/>
          </w:tcPr>
          <w:p>
            <w:pPr>
              <w:spacing w:after="0"/>
              <w:rPr>
                <w:sz w:val="19"/>
                <w:szCs w:val="19"/>
                <w:color w:val="auto"/>
              </w:rPr>
            </w:pPr>
          </w:p>
        </w:tc>
        <w:tc>
          <w:tcPr>
            <w:tcW w:w="10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Agreement and Plan of Merger, dated as of May 27, 2016, by and among Jazz Pharmaceuticals plc, Plex Merger Sub, Inc. and Celator</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Pharmaceuticals, Inc. (incorporated herein by reference to Exhibit 2.1 in Jazz Pharmaceuticals plc’s current report on Form 8-K (File No.</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001-33500), as filed with the SEC on May 31, 2016).</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00"/>
          </w:cols>
          <w:pgMar w:left="240" w:top="125" w:right="259" w:bottom="1440" w:gutter="0" w:footer="0" w:header="0"/>
        </w:sectPr>
      </w:pPr>
    </w:p>
    <w:p>
      <w:pPr>
        <w:ind w:left="60"/>
        <w:spacing w:after="0"/>
        <w:rPr>
          <w:sz w:val="20"/>
          <w:szCs w:val="20"/>
          <w:color w:val="auto"/>
        </w:rPr>
      </w:pPr>
      <w:r>
        <w:rPr>
          <w:rFonts w:ascii="Arial" w:cs="Arial" w:eastAsia="Arial" w:hAnsi="Arial"/>
          <w:sz w:val="18"/>
          <w:szCs w:val="18"/>
          <w:color w:val="auto"/>
        </w:rPr>
        <w:t>3.1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4.1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7"/>
          <w:szCs w:val="17"/>
          <w:color w:val="auto"/>
        </w:rPr>
        <w:t>4.2A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Amended and Restated Memorandum and Articles of Association of Jazz Pharmaceuticals plc, as amended on August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39370</wp:posOffset>
            </wp:positionV>
            <wp:extent cx="72123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Exhibit 3.1.</w:t>
      </w:r>
    </w:p>
    <w:p>
      <w:pPr>
        <w:spacing w:after="0" w:line="14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Investor Rights Agreement, dated July 7, 2009 by and between Jazz Pharmaceuticals, Inc. and the other parties named therein (incorporated herein by reference to Exhibit 10.88 in Jazz Pharmaceuticals, Inc.’s current report on Form 8-K (File No. 001-33500), as filed with the SEC on July 7, 2009).</w:t>
      </w:r>
    </w:p>
    <w:p>
      <w:pPr>
        <w:spacing w:after="0" w:line="88" w:lineRule="exact"/>
        <w:rPr>
          <w:sz w:val="20"/>
          <w:szCs w:val="20"/>
          <w:color w:val="auto"/>
        </w:rPr>
      </w:pPr>
    </w:p>
    <w:p>
      <w:pPr>
        <w:sectPr>
          <w:pgSz w:w="11900" w:h="16838" w:orient="portrait"/>
          <w:cols w:equalWidth="0" w:num="2">
            <w:col w:w="500" w:space="720"/>
            <w:col w:w="10180"/>
          </w:cols>
          <w:pgMar w:left="240" w:top="125" w:right="259" w:bottom="1440" w:gutter="0" w:footer="0" w:header="0"/>
          <w:type w:val="continuous"/>
        </w:sectPr>
      </w:pPr>
    </w:p>
    <w:tbl>
      <w:tblPr>
        <w:tblLayout w:type="fixed"/>
        <w:tblInd w:w="40" w:type="dxa"/>
        <w:tblCellMar>
          <w:top w:w="0" w:type="dxa"/>
          <w:left w:w="0" w:type="dxa"/>
          <w:bottom w:w="0" w:type="dxa"/>
          <w:right w:w="0" w:type="dxa"/>
        </w:tblCellMar>
      </w:tblPr>
      <w:tr>
        <w:trPr>
          <w:trHeight w:val="229"/>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4.2B</w:t>
            </w:r>
          </w:p>
        </w:tc>
        <w:tc>
          <w:tcPr>
            <w:tcW w:w="10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Assignment, Assumption and Amendment Agreement, dated as of January 18, 2012, by and among Jazz Pharmaceuticals, Inc., Jazz</w:t>
            </w:r>
          </w:p>
        </w:tc>
      </w:tr>
      <w:tr>
        <w:trPr>
          <w:trHeight w:val="216"/>
        </w:trPr>
        <w:tc>
          <w:tcPr>
            <w:tcW w:w="760" w:type="dxa"/>
            <w:vAlign w:val="bottom"/>
            <w:shd w:val="clear" w:color="auto" w:fill="CCEEFF"/>
          </w:tcPr>
          <w:p>
            <w:pPr>
              <w:spacing w:after="0"/>
              <w:rPr>
                <w:sz w:val="18"/>
                <w:szCs w:val="18"/>
                <w:color w:val="auto"/>
              </w:rPr>
            </w:pPr>
          </w:p>
        </w:tc>
        <w:tc>
          <w:tcPr>
            <w:tcW w:w="10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Pharmaceuticals plc and the other parties named therein (incorporated herein by reference to Exhibit 4.7B in the annual report on Form 10-K</w:t>
            </w:r>
          </w:p>
        </w:tc>
      </w:tr>
      <w:tr>
        <w:trPr>
          <w:trHeight w:val="216"/>
        </w:trPr>
        <w:tc>
          <w:tcPr>
            <w:tcW w:w="760" w:type="dxa"/>
            <w:vAlign w:val="bottom"/>
            <w:shd w:val="clear" w:color="auto" w:fill="CCEEFF"/>
          </w:tcPr>
          <w:p>
            <w:pPr>
              <w:spacing w:after="0"/>
              <w:rPr>
                <w:sz w:val="18"/>
                <w:szCs w:val="18"/>
                <w:color w:val="auto"/>
              </w:rPr>
            </w:pPr>
          </w:p>
        </w:tc>
        <w:tc>
          <w:tcPr>
            <w:tcW w:w="10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(File No. 001-33500) for the period ended December 31, 2011, as filed by Jazz Pharmaceuticals plc on behalf of and as successor to Jazz</w:t>
            </w:r>
          </w:p>
        </w:tc>
      </w:tr>
      <w:tr>
        <w:trPr>
          <w:trHeight w:val="237"/>
        </w:trPr>
        <w:tc>
          <w:tcPr>
            <w:tcW w:w="760" w:type="dxa"/>
            <w:vAlign w:val="bottom"/>
            <w:tcBorders>
              <w:bottom w:val="single" w:sz="8" w:color="CCEEFF"/>
            </w:tcBorders>
            <w:shd w:val="clear" w:color="auto" w:fill="CCEEFF"/>
          </w:tcPr>
          <w:p>
            <w:pPr>
              <w:spacing w:after="0"/>
              <w:rPr>
                <w:sz w:val="20"/>
                <w:szCs w:val="20"/>
                <w:color w:val="auto"/>
              </w:rPr>
            </w:pPr>
          </w:p>
        </w:tc>
        <w:tc>
          <w:tcPr>
            <w:tcW w:w="10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Pharmaceuticals, Inc. with the SEC on February 28, 2012).</w:t>
            </w: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color w:val="auto"/>
              </w:rPr>
              <w:t>4.2C</w:t>
            </w:r>
          </w:p>
        </w:tc>
        <w:tc>
          <w:tcPr>
            <w:tcW w:w="10600" w:type="dxa"/>
            <w:vAlign w:val="bottom"/>
          </w:tcPr>
          <w:p>
            <w:pPr>
              <w:ind w:left="420"/>
              <w:spacing w:after="0"/>
              <w:rPr>
                <w:sz w:val="20"/>
                <w:szCs w:val="20"/>
                <w:color w:val="auto"/>
              </w:rPr>
            </w:pPr>
            <w:r>
              <w:rPr>
                <w:rFonts w:ascii="Arial" w:cs="Arial" w:eastAsia="Arial" w:hAnsi="Arial"/>
                <w:sz w:val="18"/>
                <w:szCs w:val="18"/>
                <w:color w:val="auto"/>
                <w:w w:val="96"/>
              </w:rPr>
              <w:t>Indenture, dated as of August 13, 2014, by and among Jazz Pharmaceuticals plc, Jazz Investments I Limited and U.S. Bank National</w:t>
            </w:r>
          </w:p>
        </w:tc>
      </w:tr>
      <w:tr>
        <w:trPr>
          <w:trHeight w:val="216"/>
        </w:trPr>
        <w:tc>
          <w:tcPr>
            <w:tcW w:w="76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w w:val="96"/>
              </w:rPr>
              <w:t>Association (incorporated herein by reference to Exhibit 4.1 in Jazz Pharmaceuticals plc’s Current Report on Form 8-K (File No. 001-</w:t>
            </w:r>
          </w:p>
        </w:tc>
      </w:tr>
      <w:tr>
        <w:trPr>
          <w:trHeight w:val="230"/>
        </w:trPr>
        <w:tc>
          <w:tcPr>
            <w:tcW w:w="76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Arial" w:cs="Arial" w:eastAsia="Arial" w:hAnsi="Arial"/>
                <w:sz w:val="18"/>
                <w:szCs w:val="18"/>
                <w:color w:val="auto"/>
              </w:rPr>
              <w:t>33500), as filed with the SEC on August 13, 2014).</w:t>
            </w:r>
          </w:p>
        </w:tc>
      </w:tr>
    </w:tbl>
    <w:p>
      <w:pPr>
        <w:sectPr>
          <w:pgSz w:w="11900" w:h="16838" w:orient="portrait"/>
          <w:cols w:equalWidth="0" w:num="1">
            <w:col w:w="11400"/>
          </w:cols>
          <w:pgMar w:left="240" w:top="125" w:right="25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4.2D</w:t>
            </w:r>
          </w:p>
        </w:tc>
        <w:tc>
          <w:tcPr>
            <w:tcW w:w="10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Form of 1.875% Exchangeable Senior Note due 2021 (incorporated herein by reference to Exhibit 4.2 in Jazz Pharmaceuticals plc’s Current</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10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Report on Form 8-K (File No. 001-33500), as filed with the SEC on August 13, 2014).</w:t>
            </w:r>
          </w:p>
        </w:tc>
      </w:tr>
      <w:tr>
        <w:trPr>
          <w:trHeight w:val="229"/>
        </w:trPr>
        <w:tc>
          <w:tcPr>
            <w:tcW w:w="940" w:type="dxa"/>
            <w:vAlign w:val="bottom"/>
          </w:tcPr>
          <w:p>
            <w:pPr>
              <w:ind w:left="20"/>
              <w:spacing w:after="0"/>
              <w:rPr>
                <w:sz w:val="20"/>
                <w:szCs w:val="20"/>
                <w:color w:val="auto"/>
              </w:rPr>
            </w:pPr>
            <w:r>
              <w:rPr>
                <w:rFonts w:ascii="Arial" w:cs="Arial" w:eastAsia="Arial" w:hAnsi="Arial"/>
                <w:sz w:val="18"/>
                <w:szCs w:val="18"/>
                <w:color w:val="auto"/>
              </w:rPr>
              <w:t>10.1</w:t>
            </w:r>
          </w:p>
        </w:tc>
        <w:tc>
          <w:tcPr>
            <w:tcW w:w="10420" w:type="dxa"/>
            <w:vAlign w:val="bottom"/>
          </w:tcPr>
          <w:p>
            <w:pPr>
              <w:ind w:left="240"/>
              <w:spacing w:after="0"/>
              <w:rPr>
                <w:sz w:val="20"/>
                <w:szCs w:val="20"/>
                <w:color w:val="auto"/>
              </w:rPr>
            </w:pPr>
            <w:r>
              <w:rPr>
                <w:rFonts w:ascii="Arial" w:cs="Arial" w:eastAsia="Arial" w:hAnsi="Arial"/>
                <w:sz w:val="18"/>
                <w:szCs w:val="18"/>
                <w:color w:val="auto"/>
                <w:w w:val="95"/>
              </w:rPr>
              <w:t>Amendment No. 1, dated as of July 12, 2016, to Credit Agreement, dated as of June 18, 2015, among Jazz Pharmaceuticals plc, Jazz</w:t>
            </w:r>
          </w:p>
        </w:tc>
      </w:tr>
      <w:tr>
        <w:trPr>
          <w:trHeight w:val="216"/>
        </w:trPr>
        <w:tc>
          <w:tcPr>
            <w:tcW w:w="9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0"/>
              </w:rPr>
              <w:t>Securities Limited, Jazz Pharmaceuticals, Inc., Jazz Financing I Limited, Jazz Pharmaceuticals Ireland Limited, the lenders party thereto and</w:t>
            </w:r>
          </w:p>
        </w:tc>
      </w:tr>
      <w:tr>
        <w:trPr>
          <w:trHeight w:val="230"/>
        </w:trPr>
        <w:tc>
          <w:tcPr>
            <w:tcW w:w="94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Bank of America, N.A., as Collateral Agent, Administrative Agent, Swing Line Lender and L/C Issuer.</w:t>
            </w:r>
          </w:p>
        </w:tc>
      </w:tr>
      <w:tr>
        <w:trPr>
          <w:trHeight w:val="27"/>
        </w:trPr>
        <w:tc>
          <w:tcPr>
            <w:tcW w:w="94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w:t>
            </w:r>
          </w:p>
        </w:tc>
        <w:tc>
          <w:tcPr>
            <w:tcW w:w="10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Tender and Support Agreement, dated as of May 27, 2016, by and among Jazz Pharmaceuticals plc, Plex Merger Sub, Inc. and each of the</w:t>
            </w:r>
          </w:p>
        </w:tc>
      </w:tr>
      <w:tr>
        <w:trPr>
          <w:trHeight w:val="216"/>
        </w:trPr>
        <w:tc>
          <w:tcPr>
            <w:tcW w:w="940" w:type="dxa"/>
            <w:vAlign w:val="bottom"/>
            <w:shd w:val="clear" w:color="auto" w:fill="CCEEFF"/>
          </w:tcPr>
          <w:p>
            <w:pPr>
              <w:spacing w:after="0"/>
              <w:rPr>
                <w:sz w:val="18"/>
                <w:szCs w:val="18"/>
                <w:color w:val="auto"/>
              </w:rPr>
            </w:pPr>
          </w:p>
        </w:tc>
        <w:tc>
          <w:tcPr>
            <w:tcW w:w="10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persons set forth on Schedule A attached thereto (incorporated herein by reference to Exhibit 99.1 in Jazz Pharmaceuticals plc’s current</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10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report on Form 8-K (File No. 001-33500), as filed with the SEC on May 31, 2016).</w:t>
            </w:r>
          </w:p>
        </w:tc>
      </w:tr>
      <w:tr>
        <w:trPr>
          <w:trHeight w:val="243"/>
        </w:trPr>
        <w:tc>
          <w:tcPr>
            <w:tcW w:w="940" w:type="dxa"/>
            <w:vAlign w:val="bottom"/>
          </w:tcPr>
          <w:p>
            <w:pPr>
              <w:ind w:left="20"/>
              <w:spacing w:after="0"/>
              <w:rPr>
                <w:sz w:val="20"/>
                <w:szCs w:val="20"/>
                <w:color w:val="auto"/>
              </w:rPr>
            </w:pPr>
            <w:r>
              <w:rPr>
                <w:rFonts w:ascii="Arial" w:cs="Arial" w:eastAsia="Arial" w:hAnsi="Arial"/>
                <w:sz w:val="18"/>
                <w:szCs w:val="18"/>
                <w:color w:val="auto"/>
              </w:rPr>
              <w:t>10.3+</w:t>
            </w:r>
          </w:p>
        </w:tc>
        <w:tc>
          <w:tcPr>
            <w:tcW w:w="10420" w:type="dxa"/>
            <w:vAlign w:val="bottom"/>
          </w:tcPr>
          <w:p>
            <w:pPr>
              <w:ind w:left="240"/>
              <w:spacing w:after="0"/>
              <w:rPr>
                <w:sz w:val="20"/>
                <w:szCs w:val="20"/>
                <w:color w:val="auto"/>
              </w:rPr>
            </w:pPr>
            <w:r>
              <w:rPr>
                <w:rFonts w:ascii="Arial" w:cs="Arial" w:eastAsia="Arial" w:hAnsi="Arial"/>
                <w:sz w:val="18"/>
                <w:szCs w:val="18"/>
                <w:color w:val="auto"/>
                <w:w w:val="96"/>
              </w:rPr>
              <w:t>Amended and Restated Schedule 3 to Employment Agreement by and between Jazz Pharmaceuticals Ireland Ltd. and Paul Treacy.</w:t>
            </w:r>
          </w:p>
        </w:tc>
      </w:tr>
      <w:tr>
        <w:trPr>
          <w:trHeight w:val="27"/>
        </w:trPr>
        <w:tc>
          <w:tcPr>
            <w:tcW w:w="94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10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Control Stock Award Acceleration Agreement by and between Jazz Pharmaceuticals plc and Paul Treacy.</w:t>
            </w:r>
          </w:p>
        </w:tc>
      </w:tr>
      <w:tr>
        <w:trPr>
          <w:trHeight w:val="243"/>
        </w:trPr>
        <w:tc>
          <w:tcPr>
            <w:tcW w:w="940" w:type="dxa"/>
            <w:vAlign w:val="bottom"/>
          </w:tcPr>
          <w:p>
            <w:pPr>
              <w:ind w:left="20"/>
              <w:spacing w:after="0"/>
              <w:rPr>
                <w:sz w:val="20"/>
                <w:szCs w:val="20"/>
                <w:color w:val="auto"/>
              </w:rPr>
            </w:pPr>
            <w:r>
              <w:rPr>
                <w:rFonts w:ascii="Arial" w:cs="Arial" w:eastAsia="Arial" w:hAnsi="Arial"/>
                <w:sz w:val="18"/>
                <w:szCs w:val="18"/>
                <w:color w:val="auto"/>
              </w:rPr>
              <w:t>10.5+</w:t>
            </w:r>
          </w:p>
        </w:tc>
        <w:tc>
          <w:tcPr>
            <w:tcW w:w="10420" w:type="dxa"/>
            <w:vAlign w:val="bottom"/>
          </w:tcPr>
          <w:p>
            <w:pPr>
              <w:ind w:left="240"/>
              <w:spacing w:after="0"/>
              <w:rPr>
                <w:sz w:val="20"/>
                <w:szCs w:val="20"/>
                <w:color w:val="auto"/>
              </w:rPr>
            </w:pPr>
            <w:r>
              <w:rPr>
                <w:rFonts w:ascii="Arial" w:cs="Arial" w:eastAsia="Arial" w:hAnsi="Arial"/>
                <w:sz w:val="18"/>
                <w:szCs w:val="18"/>
                <w:color w:val="auto"/>
              </w:rPr>
              <w:t>Amended and Restated Schedule 3 to Employment Agreement by and between Jazz Pharmaceuticals UK Ltd. and Iain McGill.</w:t>
            </w:r>
          </w:p>
        </w:tc>
      </w:tr>
      <w:tr>
        <w:trPr>
          <w:trHeight w:val="27"/>
        </w:trPr>
        <w:tc>
          <w:tcPr>
            <w:tcW w:w="94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10.6+</w:t>
            </w:r>
          </w:p>
        </w:tc>
        <w:tc>
          <w:tcPr>
            <w:tcW w:w="10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Control Stock Award Acceleration Agreement by and between Jazz Pharmaceuticals plc and Iain McGill.</w:t>
            </w:r>
          </w:p>
        </w:tc>
      </w:tr>
      <w:tr>
        <w:trPr>
          <w:trHeight w:val="243"/>
        </w:trPr>
        <w:tc>
          <w:tcPr>
            <w:tcW w:w="940" w:type="dxa"/>
            <w:vAlign w:val="bottom"/>
          </w:tcPr>
          <w:p>
            <w:pPr>
              <w:ind w:left="20"/>
              <w:spacing w:after="0"/>
              <w:rPr>
                <w:sz w:val="20"/>
                <w:szCs w:val="20"/>
                <w:color w:val="auto"/>
              </w:rPr>
            </w:pPr>
            <w:r>
              <w:rPr>
                <w:rFonts w:ascii="Arial" w:cs="Arial" w:eastAsia="Arial" w:hAnsi="Arial"/>
                <w:sz w:val="18"/>
                <w:szCs w:val="18"/>
                <w:color w:val="auto"/>
              </w:rPr>
              <w:t>10.7+</w:t>
            </w:r>
          </w:p>
        </w:tc>
        <w:tc>
          <w:tcPr>
            <w:tcW w:w="10420" w:type="dxa"/>
            <w:vAlign w:val="bottom"/>
          </w:tcPr>
          <w:p>
            <w:pPr>
              <w:ind w:left="240"/>
              <w:spacing w:after="0"/>
              <w:rPr>
                <w:sz w:val="20"/>
                <w:szCs w:val="20"/>
                <w:color w:val="auto"/>
              </w:rPr>
            </w:pPr>
            <w:r>
              <w:rPr>
                <w:rFonts w:ascii="Arial" w:cs="Arial" w:eastAsia="Arial" w:hAnsi="Arial"/>
                <w:sz w:val="18"/>
                <w:szCs w:val="18"/>
                <w:color w:val="auto"/>
              </w:rPr>
              <w:t>Amended and Restated Non-Employee Director Compensation Policy (approved May 5, 2016).</w:t>
            </w:r>
          </w:p>
        </w:tc>
      </w:tr>
      <w:tr>
        <w:trPr>
          <w:trHeight w:val="27"/>
        </w:trPr>
        <w:tc>
          <w:tcPr>
            <w:tcW w:w="94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10.8+</w:t>
            </w:r>
          </w:p>
        </w:tc>
        <w:tc>
          <w:tcPr>
            <w:tcW w:w="10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Amended and Restated 2011 Equity Incentive Plan (approved August 4, 2016)</w:t>
            </w:r>
          </w:p>
        </w:tc>
      </w:tr>
      <w:tr>
        <w:trPr>
          <w:trHeight w:val="243"/>
        </w:trPr>
        <w:tc>
          <w:tcPr>
            <w:tcW w:w="940" w:type="dxa"/>
            <w:vAlign w:val="bottom"/>
          </w:tcPr>
          <w:p>
            <w:pPr>
              <w:ind w:left="20"/>
              <w:spacing w:after="0"/>
              <w:rPr>
                <w:sz w:val="20"/>
                <w:szCs w:val="20"/>
                <w:color w:val="auto"/>
              </w:rPr>
            </w:pPr>
            <w:r>
              <w:rPr>
                <w:rFonts w:ascii="Arial" w:cs="Arial" w:eastAsia="Arial" w:hAnsi="Arial"/>
                <w:sz w:val="18"/>
                <w:szCs w:val="18"/>
                <w:color w:val="auto"/>
              </w:rPr>
              <w:t>10.9+</w:t>
            </w:r>
          </w:p>
        </w:tc>
        <w:tc>
          <w:tcPr>
            <w:tcW w:w="10420" w:type="dxa"/>
            <w:vAlign w:val="bottom"/>
          </w:tcPr>
          <w:p>
            <w:pPr>
              <w:ind w:left="240"/>
              <w:spacing w:after="0"/>
              <w:rPr>
                <w:sz w:val="20"/>
                <w:szCs w:val="20"/>
                <w:color w:val="auto"/>
              </w:rPr>
            </w:pPr>
            <w:r>
              <w:rPr>
                <w:rFonts w:ascii="Arial" w:cs="Arial" w:eastAsia="Arial" w:hAnsi="Arial"/>
                <w:sz w:val="18"/>
                <w:szCs w:val="18"/>
                <w:color w:val="auto"/>
              </w:rPr>
              <w:t>Amended and Restated 2007 Non-Employee Directors Stock Option Plan (approved August 4, 2016).</w:t>
            </w:r>
          </w:p>
        </w:tc>
      </w:tr>
      <w:tr>
        <w:trPr>
          <w:trHeight w:val="27"/>
        </w:trPr>
        <w:tc>
          <w:tcPr>
            <w:tcW w:w="94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31.1</w:t>
            </w:r>
          </w:p>
        </w:tc>
        <w:tc>
          <w:tcPr>
            <w:tcW w:w="10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Certification of Chief Executive Officer pursuant to Rules 13a-14(a) and 15d-14(a) promulgated under the Securities Exchange Act of 1934,</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10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as amended.</w:t>
            </w:r>
          </w:p>
        </w:tc>
      </w:tr>
      <w:tr>
        <w:trPr>
          <w:trHeight w:val="229"/>
        </w:trPr>
        <w:tc>
          <w:tcPr>
            <w:tcW w:w="940" w:type="dxa"/>
            <w:vAlign w:val="bottom"/>
          </w:tcPr>
          <w:p>
            <w:pPr>
              <w:ind w:left="20"/>
              <w:spacing w:after="0"/>
              <w:rPr>
                <w:sz w:val="20"/>
                <w:szCs w:val="20"/>
                <w:color w:val="auto"/>
              </w:rPr>
            </w:pPr>
            <w:r>
              <w:rPr>
                <w:rFonts w:ascii="Arial" w:cs="Arial" w:eastAsia="Arial" w:hAnsi="Arial"/>
                <w:sz w:val="18"/>
                <w:szCs w:val="18"/>
                <w:color w:val="auto"/>
              </w:rPr>
              <w:t>31.2</w:t>
            </w: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pursuant to Rules 13a-14(a) and 15d-14(a) promulgated under the Securities Exchange Act of 1934,</w:t>
            </w:r>
          </w:p>
        </w:tc>
      </w:tr>
      <w:tr>
        <w:trPr>
          <w:trHeight w:val="230"/>
        </w:trPr>
        <w:tc>
          <w:tcPr>
            <w:tcW w:w="94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as amended.</w:t>
            </w:r>
          </w:p>
        </w:tc>
      </w:tr>
      <w:tr>
        <w:trPr>
          <w:trHeight w:val="27"/>
        </w:trPr>
        <w:tc>
          <w:tcPr>
            <w:tcW w:w="94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32.1*</w:t>
            </w:r>
          </w:p>
        </w:tc>
        <w:tc>
          <w:tcPr>
            <w:tcW w:w="10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Certifications of Chief Executive Officer and Chief Financial Officer pursuant to 18 U.S.C. Section 1350, as adopted pursuant to Section</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10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906 of the Sarbanes-Oxley Act of 2002.</w:t>
            </w:r>
          </w:p>
        </w:tc>
      </w:tr>
      <w:tr>
        <w:trPr>
          <w:trHeight w:val="243"/>
        </w:trPr>
        <w:tc>
          <w:tcPr>
            <w:tcW w:w="940" w:type="dxa"/>
            <w:vAlign w:val="bottom"/>
          </w:tcPr>
          <w:p>
            <w:pPr>
              <w:ind w:left="20"/>
              <w:spacing w:after="0"/>
              <w:rPr>
                <w:sz w:val="20"/>
                <w:szCs w:val="20"/>
                <w:color w:val="auto"/>
              </w:rPr>
            </w:pPr>
            <w:r>
              <w:rPr>
                <w:rFonts w:ascii="Arial" w:cs="Arial" w:eastAsia="Arial" w:hAnsi="Arial"/>
                <w:sz w:val="18"/>
                <w:szCs w:val="18"/>
                <w:color w:val="auto"/>
              </w:rPr>
              <w:t>101.INS</w:t>
            </w:r>
          </w:p>
        </w:tc>
        <w:tc>
          <w:tcPr>
            <w:tcW w:w="1042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7"/>
        </w:trPr>
        <w:tc>
          <w:tcPr>
            <w:tcW w:w="94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940" w:type="dxa"/>
            <w:vAlign w:val="bottom"/>
          </w:tcPr>
          <w:p>
            <w:pPr>
              <w:ind w:left="20"/>
              <w:spacing w:after="0"/>
              <w:rPr>
                <w:sz w:val="20"/>
                <w:szCs w:val="20"/>
                <w:color w:val="auto"/>
              </w:rPr>
            </w:pPr>
            <w:r>
              <w:rPr>
                <w:rFonts w:ascii="Arial" w:cs="Arial" w:eastAsia="Arial" w:hAnsi="Arial"/>
                <w:sz w:val="18"/>
                <w:szCs w:val="18"/>
                <w:color w:val="auto"/>
              </w:rPr>
              <w:t>101.CAL</w:t>
            </w:r>
          </w:p>
        </w:tc>
        <w:tc>
          <w:tcPr>
            <w:tcW w:w="1042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94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940" w:type="dxa"/>
            <w:vAlign w:val="bottom"/>
          </w:tcPr>
          <w:p>
            <w:pPr>
              <w:ind w:left="20"/>
              <w:spacing w:after="0"/>
              <w:rPr>
                <w:sz w:val="20"/>
                <w:szCs w:val="20"/>
                <w:color w:val="auto"/>
              </w:rPr>
            </w:pPr>
            <w:r>
              <w:rPr>
                <w:rFonts w:ascii="Arial" w:cs="Arial" w:eastAsia="Arial" w:hAnsi="Arial"/>
                <w:sz w:val="18"/>
                <w:szCs w:val="18"/>
                <w:color w:val="auto"/>
              </w:rPr>
              <w:t>101.LAB</w:t>
            </w:r>
          </w:p>
        </w:tc>
        <w:tc>
          <w:tcPr>
            <w:tcW w:w="1042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 Document</w:t>
            </w:r>
          </w:p>
        </w:tc>
      </w:tr>
      <w:tr>
        <w:trPr>
          <w:trHeight w:val="27"/>
        </w:trPr>
        <w:tc>
          <w:tcPr>
            <w:tcW w:w="94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43"/>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940" w:type="dxa"/>
            <w:vAlign w:val="bottom"/>
            <w:shd w:val="clear" w:color="auto" w:fill="CCEEFF"/>
          </w:tcPr>
          <w:p>
            <w:pPr>
              <w:spacing w:after="0"/>
              <w:rPr>
                <w:sz w:val="2"/>
                <w:szCs w:val="2"/>
                <w:color w:val="auto"/>
              </w:rPr>
            </w:pPr>
          </w:p>
        </w:tc>
        <w:tc>
          <w:tcPr>
            <w:tcW w:w="10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25"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w:t>
      </w:r>
    </w:p>
    <w:p>
      <w:pPr>
        <w:spacing w:after="0" w:line="9" w:lineRule="exact"/>
        <w:rPr>
          <w:sz w:val="20"/>
          <w:szCs w:val="20"/>
          <w:color w:val="auto"/>
        </w:rPr>
      </w:pPr>
    </w:p>
    <w:p>
      <w:pPr>
        <w:ind w:left="500" w:right="60" w:hanging="492"/>
        <w:spacing w:after="0" w:line="255"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ectPr>
          <w:pgSz w:w="11900" w:h="16838" w:orient="portrait"/>
          <w:cols w:equalWidth="0" w:num="1">
            <w:col w:w="11400"/>
          </w:cols>
          <w:pgMar w:left="240" w:top="125" w:right="259" w:bottom="1440" w:gutter="0" w:footer="0" w:header="0"/>
        </w:sectPr>
      </w:pPr>
    </w:p>
    <w:bookmarkStart w:id="97" w:name="page98"/>
    <w:bookmarkEnd w:id="97"/>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640"/>
        <w:spacing w:after="0"/>
        <w:rPr>
          <w:sz w:val="20"/>
          <w:szCs w:val="20"/>
          <w:color w:val="auto"/>
        </w:rPr>
      </w:pPr>
      <w:r>
        <w:rPr>
          <w:rFonts w:ascii="Arial" w:cs="Arial" w:eastAsia="Arial" w:hAnsi="Arial"/>
          <w:sz w:val="20"/>
          <w:szCs w:val="20"/>
          <w:b w:val="1"/>
          <w:bCs w:val="1"/>
          <w:color w:val="auto"/>
        </w:rPr>
        <w:t>Companies Act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40"/>
        <w:spacing w:after="0"/>
        <w:rPr>
          <w:sz w:val="20"/>
          <w:szCs w:val="20"/>
          <w:color w:val="auto"/>
        </w:rPr>
      </w:pPr>
      <w:r>
        <w:rPr>
          <w:rFonts w:ascii="Arial" w:cs="Arial" w:eastAsia="Arial" w:hAnsi="Arial"/>
          <w:sz w:val="20"/>
          <w:szCs w:val="20"/>
          <w:b w:val="1"/>
          <w:bCs w:val="1"/>
          <w:color w:val="auto"/>
        </w:rPr>
        <w:t>A PUBLIC LIMITED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CONSTITUTION</w:t>
      </w:r>
    </w:p>
    <w:p>
      <w:pPr>
        <w:spacing w:after="0" w:line="229"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of</w:t>
      </w:r>
    </w:p>
    <w:p>
      <w:pPr>
        <w:spacing w:after="0" w:line="200" w:lineRule="exact"/>
        <w:rPr>
          <w:sz w:val="20"/>
          <w:szCs w:val="20"/>
          <w:color w:val="auto"/>
        </w:rPr>
      </w:pPr>
    </w:p>
    <w:p>
      <w:pPr>
        <w:spacing w:after="0" w:line="232"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JAZZ PHARMACEUTICALS PUBLIC LIMITED COMPANY</w:t>
      </w:r>
    </w:p>
    <w:p>
      <w:pPr>
        <w:sectPr>
          <w:pgSz w:w="11900" w:h="16838" w:orient="portrait"/>
          <w:cols w:equalWidth="0" w:num="1">
            <w:col w:w="10220"/>
          </w:cols>
          <w:pgMar w:left="1440" w:top="589"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20"/>
          <w:szCs w:val="20"/>
          <w:b w:val="1"/>
          <w:bCs w:val="1"/>
          <w:color w:val="auto"/>
        </w:rPr>
        <w:t>MEMORANDUM OF ASSOCIATION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amended by resolutions passed up to and including 4 August 2016)</w:t>
      </w:r>
    </w:p>
    <w:p>
      <w:pPr>
        <w:spacing w:after="0" w:line="235"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name of the Company is: Jazz Pharmaceuticals public limited company.</w:t>
      </w:r>
    </w:p>
    <w:p>
      <w:pPr>
        <w:spacing w:after="0" w:line="188" w:lineRule="exact"/>
        <w:rPr>
          <w:rFonts w:ascii="Arial" w:cs="Arial" w:eastAsia="Arial" w:hAnsi="Arial"/>
          <w:sz w:val="20"/>
          <w:szCs w:val="20"/>
          <w:color w:val="auto"/>
        </w:rPr>
      </w:pPr>
    </w:p>
    <w:p>
      <w:pPr>
        <w:ind w:left="660" w:hanging="652"/>
        <w:spacing w:after="0"/>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Company is a public limited company deemed to be a PLC to which Part 17 of the Companies Act applies.</w:t>
      </w:r>
    </w:p>
    <w:p>
      <w:pPr>
        <w:spacing w:after="0" w:line="188" w:lineRule="exact"/>
        <w:rPr>
          <w:rFonts w:ascii="Arial" w:cs="Arial" w:eastAsia="Arial" w:hAnsi="Arial"/>
          <w:sz w:val="20"/>
          <w:szCs w:val="20"/>
          <w:color w:val="auto"/>
        </w:rPr>
      </w:pPr>
    </w:p>
    <w:p>
      <w:pPr>
        <w:ind w:left="660" w:hanging="652"/>
        <w:spacing w:after="0"/>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objects for which the Company is established are:</w:t>
      </w:r>
    </w:p>
    <w:p>
      <w:pPr>
        <w:spacing w:after="0" w:line="188" w:lineRule="exact"/>
        <w:rPr>
          <w:rFonts w:ascii="Arial" w:cs="Arial" w:eastAsia="Arial" w:hAnsi="Arial"/>
          <w:sz w:val="20"/>
          <w:szCs w:val="20"/>
          <w:color w:val="auto"/>
        </w:rPr>
      </w:pPr>
    </w:p>
    <w:p>
      <w:pPr>
        <w:jc w:val="both"/>
        <w:ind w:left="1280" w:hanging="651"/>
        <w:spacing w:after="0" w:line="243" w:lineRule="auto"/>
        <w:tabs>
          <w:tab w:leader="none" w:pos="1280" w:val="left"/>
        </w:tabs>
        <w:numPr>
          <w:ilvl w:val="1"/>
          <w:numId w:val="43"/>
        </w:numPr>
        <w:rPr>
          <w:rFonts w:ascii="Arial" w:cs="Arial" w:eastAsia="Arial" w:hAnsi="Arial"/>
          <w:sz w:val="20"/>
          <w:szCs w:val="20"/>
          <w:color w:val="auto"/>
        </w:rPr>
      </w:pPr>
      <w:r>
        <w:rPr>
          <w:rFonts w:ascii="Arial" w:cs="Arial" w:eastAsia="Arial" w:hAnsi="Arial"/>
          <w:sz w:val="20"/>
          <w:szCs w:val="20"/>
          <w:color w:val="auto"/>
        </w:rPr>
        <w:t>To carry on all or any of the businesses of manufacturers, buyers, sellers, and distributing agents of and dealers in all kinds of patent, pharmaceutical, medicinal, and medicated preparations, patent medicines, drugs, herbs, and of and in pharmaceutical, medicinal, proprietary and industrial preparations, compounds, and articles of all kinds; and to manufacture, make up, prepare, buy, sell, and deal in all articles, substances, and things commonly or conveniently used in or for making up, preparing, or packing any of the products in which the Company is authorised to deal, or which may be required by customers of or persons having dealings with the Company.</w:t>
      </w:r>
    </w:p>
    <w:p>
      <w:pPr>
        <w:spacing w:after="0" w:line="169" w:lineRule="exact"/>
        <w:rPr>
          <w:rFonts w:ascii="Arial" w:cs="Arial" w:eastAsia="Arial" w:hAnsi="Arial"/>
          <w:sz w:val="20"/>
          <w:szCs w:val="20"/>
          <w:color w:val="auto"/>
        </w:rPr>
      </w:pPr>
    </w:p>
    <w:p>
      <w:pPr>
        <w:jc w:val="both"/>
        <w:ind w:left="1280" w:hanging="651"/>
        <w:spacing w:after="0" w:line="246" w:lineRule="auto"/>
        <w:tabs>
          <w:tab w:leader="none" w:pos="1280" w:val="left"/>
        </w:tabs>
        <w:numPr>
          <w:ilvl w:val="1"/>
          <w:numId w:val="43"/>
        </w:numPr>
        <w:rPr>
          <w:rFonts w:ascii="Arial" w:cs="Arial" w:eastAsia="Arial" w:hAnsi="Arial"/>
          <w:sz w:val="20"/>
          <w:szCs w:val="20"/>
          <w:color w:val="auto"/>
        </w:rPr>
      </w:pPr>
      <w:r>
        <w:rPr>
          <w:rFonts w:ascii="Arial" w:cs="Arial" w:eastAsia="Arial" w:hAnsi="Arial"/>
          <w:sz w:val="20"/>
          <w:szCs w:val="20"/>
          <w:color w:val="auto"/>
        </w:rPr>
        <w:t>To invest in pharmaceutical and related assets, including, amongst other items, investments in pharmaceutical companies, products, businesses, divisions, technologies, devices, sales force and other marketing capabilities, development projects and related activities, licences, intellectual and similar property rights, premises and equipment, royalty rights and all other assets needed to operate a pharmaceuticals business.</w:t>
      </w:r>
    </w:p>
    <w:p>
      <w:pPr>
        <w:spacing w:after="0" w:line="164" w:lineRule="exact"/>
        <w:rPr>
          <w:rFonts w:ascii="Arial" w:cs="Arial" w:eastAsia="Arial" w:hAnsi="Arial"/>
          <w:sz w:val="20"/>
          <w:szCs w:val="20"/>
          <w:color w:val="auto"/>
        </w:rPr>
      </w:pPr>
    </w:p>
    <w:p>
      <w:pPr>
        <w:ind w:left="1280" w:right="20" w:hanging="651"/>
        <w:spacing w:after="0" w:line="260" w:lineRule="auto"/>
        <w:tabs>
          <w:tab w:leader="none" w:pos="1280" w:val="left"/>
        </w:tabs>
        <w:numPr>
          <w:ilvl w:val="1"/>
          <w:numId w:val="43"/>
        </w:numPr>
        <w:rPr>
          <w:rFonts w:ascii="Arial" w:cs="Arial" w:eastAsia="Arial" w:hAnsi="Arial"/>
          <w:sz w:val="20"/>
          <w:szCs w:val="20"/>
          <w:color w:val="auto"/>
        </w:rPr>
      </w:pPr>
      <w:r>
        <w:rPr>
          <w:rFonts w:ascii="Arial" w:cs="Arial" w:eastAsia="Arial" w:hAnsi="Arial"/>
          <w:sz w:val="20"/>
          <w:szCs w:val="20"/>
          <w:color w:val="auto"/>
        </w:rPr>
        <w:t>To establish, maintain and operate laboratories for the purpose of carrying on chemical, physical and other research in medicine, chemistry, industry or other unrelated or related fields.</w:t>
      </w:r>
    </w:p>
    <w:p>
      <w:pPr>
        <w:spacing w:after="0" w:line="149" w:lineRule="exact"/>
        <w:rPr>
          <w:rFonts w:ascii="Arial" w:cs="Arial" w:eastAsia="Arial" w:hAnsi="Arial"/>
          <w:sz w:val="20"/>
          <w:szCs w:val="20"/>
          <w:color w:val="auto"/>
        </w:rPr>
      </w:pPr>
    </w:p>
    <w:p>
      <w:pPr>
        <w:jc w:val="both"/>
        <w:ind w:left="1280" w:hanging="651"/>
        <w:spacing w:after="0" w:line="246" w:lineRule="auto"/>
        <w:tabs>
          <w:tab w:leader="none" w:pos="1280" w:val="left"/>
        </w:tabs>
        <w:numPr>
          <w:ilvl w:val="1"/>
          <w:numId w:val="43"/>
        </w:numPr>
        <w:rPr>
          <w:rFonts w:ascii="Arial" w:cs="Arial" w:eastAsia="Arial" w:hAnsi="Arial"/>
          <w:sz w:val="20"/>
          <w:szCs w:val="20"/>
          <w:color w:val="auto"/>
        </w:rPr>
      </w:pPr>
      <w:r>
        <w:rPr>
          <w:rFonts w:ascii="Arial" w:cs="Arial" w:eastAsia="Arial" w:hAnsi="Arial"/>
          <w:sz w:val="20"/>
          <w:szCs w:val="20"/>
          <w:color w:val="auto"/>
        </w:rPr>
        <w:t>To invest (including long-term investments in, and acquisitions of, the shares of pharmaceutical companies) any monies of the Company in such investments and in such manner as may from time to time be determined, and to hold, sell or deal with such investments and generally to purchase, take on lease or in exchange or otherwise acquire any real and personal property and rights or privileges.</w:t>
      </w:r>
    </w:p>
    <w:p>
      <w:pPr>
        <w:spacing w:after="0" w:line="164" w:lineRule="exact"/>
        <w:rPr>
          <w:rFonts w:ascii="Arial" w:cs="Arial" w:eastAsia="Arial" w:hAnsi="Arial"/>
          <w:sz w:val="20"/>
          <w:szCs w:val="20"/>
          <w:color w:val="auto"/>
        </w:rPr>
      </w:pPr>
    </w:p>
    <w:p>
      <w:pPr>
        <w:jc w:val="both"/>
        <w:ind w:left="1280" w:hanging="651"/>
        <w:spacing w:after="0" w:line="244" w:lineRule="auto"/>
        <w:tabs>
          <w:tab w:leader="none" w:pos="1280" w:val="left"/>
        </w:tabs>
        <w:numPr>
          <w:ilvl w:val="1"/>
          <w:numId w:val="43"/>
        </w:numPr>
        <w:rPr>
          <w:rFonts w:ascii="Arial" w:cs="Arial" w:eastAsia="Arial" w:hAnsi="Arial"/>
          <w:sz w:val="20"/>
          <w:szCs w:val="20"/>
          <w:color w:val="auto"/>
        </w:rPr>
      </w:pPr>
      <w:r>
        <w:rPr>
          <w:rFonts w:ascii="Arial" w:cs="Arial" w:eastAsia="Arial" w:hAnsi="Arial"/>
          <w:sz w:val="20"/>
          <w:szCs w:val="20"/>
          <w:color w:val="auto"/>
        </w:rPr>
        <w:t>To develop and turn to account any land acquired by the Company or in which it is interested and in particular by laying out and preparing the same for building proposes, constructing, altering, pulling down, decorating, maintaining, fitting up and improving buildings and conveniences, and by planting, paving, draining, farming, cultivating, letting on building lease or building agreement and by advancing money to and entering into contracts and arrangements of all kinds with builders, tenants and others.</w:t>
      </w:r>
    </w:p>
    <w:p>
      <w:pPr>
        <w:spacing w:after="0" w:line="167" w:lineRule="exact"/>
        <w:rPr>
          <w:rFonts w:ascii="Arial" w:cs="Arial" w:eastAsia="Arial" w:hAnsi="Arial"/>
          <w:sz w:val="20"/>
          <w:szCs w:val="20"/>
          <w:color w:val="auto"/>
        </w:rPr>
      </w:pPr>
    </w:p>
    <w:p>
      <w:pPr>
        <w:jc w:val="both"/>
        <w:ind w:left="1280" w:hanging="651"/>
        <w:spacing w:after="0" w:line="276" w:lineRule="auto"/>
        <w:tabs>
          <w:tab w:leader="none" w:pos="12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acquire and hold shares and stocks of any class or description, debentures, debenture stock, bonds, bills, mortgages, obligations, investments and securities of all descriptions and of any kind issued or guaranteed by any company, corporation or undertaking of whatever nature and wheresoever constituted or carrying on business or issued or guaranteed by any government, state, dominion, colony, sovereign ruler, commissioners, trust, public; municipal, local or other authority or body of whatsoever nature and wheresoever situated and investments, securities and property of all descriptions and of any kind, including real and chattel real estates, mortgages, reversions, assurance policies, contingencies and choses in action.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89" w:right="239" w:bottom="1440" w:gutter="0" w:footer="0" w:header="0"/>
        </w:sectPr>
      </w:pPr>
    </w:p>
    <w:bookmarkStart w:id="99" w:name="page100"/>
    <w:bookmarkEnd w:id="99"/>
    <w:p>
      <w:pPr>
        <w:jc w:val="both"/>
        <w:ind w:left="651" w:hanging="651"/>
        <w:spacing w:after="0" w:line="244" w:lineRule="auto"/>
        <w:tabs>
          <w:tab w:leader="none" w:pos="651" w:val="left"/>
        </w:tabs>
        <w:numPr>
          <w:ilvl w:val="0"/>
          <w:numId w:val="44"/>
        </w:numPr>
        <w:rPr>
          <w:rFonts w:ascii="Arial" w:cs="Arial" w:eastAsia="Arial" w:hAnsi="Arial"/>
          <w:sz w:val="20"/>
          <w:szCs w:val="20"/>
          <w:color w:val="auto"/>
        </w:rPr>
      </w:pPr>
      <w:r>
        <w:rPr>
          <w:rFonts w:ascii="Arial" w:cs="Arial" w:eastAsia="Arial" w:hAnsi="Arial"/>
          <w:sz w:val="20"/>
          <w:szCs w:val="20"/>
          <w:color w:val="auto"/>
        </w:rPr>
        <w:t>To remunerate by cash payments or allotment of shares or securities of the Company credited as fully paid up or otherwise any person or company for services rendered or to be rendered to the Company or any parent or subsidiary body corporate whether in the conduct or management of its business, or in placing or assisting to place or guaranteeing the placing of any of the shares of the Company’s capital, or any debentures or other securities of the Company or in or about the formation or promotion of the Company.</w:t>
      </w:r>
    </w:p>
    <w:p>
      <w:pPr>
        <w:spacing w:after="0" w:line="167" w:lineRule="exact"/>
        <w:rPr>
          <w:rFonts w:ascii="Arial" w:cs="Arial" w:eastAsia="Arial" w:hAnsi="Arial"/>
          <w:sz w:val="20"/>
          <w:szCs w:val="20"/>
          <w:color w:val="auto"/>
        </w:rPr>
      </w:pPr>
    </w:p>
    <w:p>
      <w:pPr>
        <w:ind w:left="651" w:hanging="651"/>
        <w:spacing w:after="0" w:line="260" w:lineRule="auto"/>
        <w:tabs>
          <w:tab w:leader="none" w:pos="651" w:val="left"/>
        </w:tabs>
        <w:numPr>
          <w:ilvl w:val="0"/>
          <w:numId w:val="44"/>
        </w:numPr>
        <w:rPr>
          <w:rFonts w:ascii="Arial" w:cs="Arial" w:eastAsia="Arial" w:hAnsi="Arial"/>
          <w:sz w:val="20"/>
          <w:szCs w:val="20"/>
          <w:color w:val="auto"/>
        </w:rPr>
      </w:pPr>
      <w:r>
        <w:rPr>
          <w:rFonts w:ascii="Arial" w:cs="Arial" w:eastAsia="Arial" w:hAnsi="Arial"/>
          <w:sz w:val="20"/>
          <w:szCs w:val="20"/>
          <w:color w:val="auto"/>
        </w:rPr>
        <w:t>To purchase for investment only property of any tenure and any interest therein, and to make advances upon the security of land or other similar property or any interest therein.</w:t>
      </w:r>
    </w:p>
    <w:p>
      <w:pPr>
        <w:spacing w:after="0" w:line="149" w:lineRule="exact"/>
        <w:rPr>
          <w:rFonts w:ascii="Arial" w:cs="Arial" w:eastAsia="Arial" w:hAnsi="Arial"/>
          <w:sz w:val="20"/>
          <w:szCs w:val="20"/>
          <w:color w:val="auto"/>
        </w:rPr>
      </w:pPr>
    </w:p>
    <w:p>
      <w:pPr>
        <w:jc w:val="both"/>
        <w:ind w:left="651" w:hanging="651"/>
        <w:spacing w:after="0" w:line="243" w:lineRule="auto"/>
        <w:tabs>
          <w:tab w:leader="none" w:pos="651" w:val="left"/>
        </w:tabs>
        <w:numPr>
          <w:ilvl w:val="0"/>
          <w:numId w:val="44"/>
        </w:numPr>
        <w:rPr>
          <w:rFonts w:ascii="Arial" w:cs="Arial" w:eastAsia="Arial" w:hAnsi="Arial"/>
          <w:sz w:val="20"/>
          <w:szCs w:val="20"/>
          <w:color w:val="auto"/>
        </w:rPr>
      </w:pPr>
      <w:r>
        <w:rPr>
          <w:rFonts w:ascii="Arial" w:cs="Arial" w:eastAsia="Arial" w:hAnsi="Arial"/>
          <w:sz w:val="20"/>
          <w:szCs w:val="20"/>
          <w:color w:val="auto"/>
        </w:rPr>
        <w:t>To acquire by purchase, exchange, lease, fee farm grant or otherwise, either for an estate in fee simple or for any less estate or other estate or interest, whether immediate or reversionary and whether vested or contingent, any lands, tenements or hereditaments of any tenure, whether subject or not to any charges or encumbrances, and to hold, farm, work and manage and to let, sublet, mortgage or charge land and buildings of any kind, reversions, interests, annuities, life policies, and any other property real or personal, movable or immovable, either absolutely or conditionally, and either subject or not to any mortgage, charge, ground rent or other rents or encumbrances.</w:t>
      </w:r>
    </w:p>
    <w:p>
      <w:pPr>
        <w:spacing w:after="0" w:line="169" w:lineRule="exact"/>
        <w:rPr>
          <w:rFonts w:ascii="Arial" w:cs="Arial" w:eastAsia="Arial" w:hAnsi="Arial"/>
          <w:sz w:val="20"/>
          <w:szCs w:val="20"/>
          <w:color w:val="auto"/>
        </w:rPr>
      </w:pPr>
    </w:p>
    <w:p>
      <w:pPr>
        <w:ind w:left="651" w:hanging="651"/>
        <w:spacing w:after="0" w:line="260" w:lineRule="auto"/>
        <w:tabs>
          <w:tab w:leader="none" w:pos="651" w:val="left"/>
        </w:tabs>
        <w:numPr>
          <w:ilvl w:val="0"/>
          <w:numId w:val="44"/>
        </w:numPr>
        <w:rPr>
          <w:rFonts w:ascii="Arial" w:cs="Arial" w:eastAsia="Arial" w:hAnsi="Arial"/>
          <w:sz w:val="20"/>
          <w:szCs w:val="20"/>
          <w:color w:val="auto"/>
        </w:rPr>
      </w:pPr>
      <w:r>
        <w:rPr>
          <w:rFonts w:ascii="Arial" w:cs="Arial" w:eastAsia="Arial" w:hAnsi="Arial"/>
          <w:sz w:val="20"/>
          <w:szCs w:val="20"/>
          <w:color w:val="auto"/>
        </w:rPr>
        <w:t>To erect or secure the erection of buildings of any kind with a view of occupying or letting them and to enter into any contracts or leases and to grant any licences necessary to effect the same.</w:t>
      </w:r>
    </w:p>
    <w:p>
      <w:pPr>
        <w:spacing w:after="0" w:line="149" w:lineRule="exact"/>
        <w:rPr>
          <w:rFonts w:ascii="Arial" w:cs="Arial" w:eastAsia="Arial" w:hAnsi="Arial"/>
          <w:sz w:val="20"/>
          <w:szCs w:val="20"/>
          <w:color w:val="auto"/>
        </w:rPr>
      </w:pPr>
    </w:p>
    <w:p>
      <w:pPr>
        <w:jc w:val="both"/>
        <w:ind w:left="651" w:hanging="651"/>
        <w:spacing w:after="0" w:line="269" w:lineRule="auto"/>
        <w:tabs>
          <w:tab w:leader="none" w:pos="651" w:val="left"/>
        </w:tabs>
        <w:numPr>
          <w:ilvl w:val="0"/>
          <w:numId w:val="44"/>
        </w:numPr>
        <w:rPr>
          <w:rFonts w:ascii="Arial" w:cs="Arial" w:eastAsia="Arial" w:hAnsi="Arial"/>
          <w:sz w:val="19"/>
          <w:szCs w:val="19"/>
          <w:color w:val="auto"/>
        </w:rPr>
      </w:pPr>
      <w:r>
        <w:rPr>
          <w:rFonts w:ascii="Arial" w:cs="Arial" w:eastAsia="Arial" w:hAnsi="Arial"/>
          <w:sz w:val="19"/>
          <w:szCs w:val="19"/>
          <w:color w:val="auto"/>
        </w:rPr>
        <w:t>To maintain and improve any lands, tenements or hereditaments acquired by the Company or in which the Company is interested, in particular by decorating, maintaining, furnishing, fitting up and improving houses, shops, flats, maisonettes and other buildings and to enter into contracts and arrangements of all kinds with tenants and others.</w:t>
      </w:r>
    </w:p>
    <w:p>
      <w:pPr>
        <w:spacing w:after="0" w:line="143" w:lineRule="exact"/>
        <w:rPr>
          <w:rFonts w:ascii="Arial" w:cs="Arial" w:eastAsia="Arial" w:hAnsi="Arial"/>
          <w:sz w:val="19"/>
          <w:szCs w:val="19"/>
          <w:color w:val="auto"/>
        </w:rPr>
      </w:pPr>
    </w:p>
    <w:p>
      <w:pPr>
        <w:jc w:val="both"/>
        <w:ind w:left="651" w:hanging="651"/>
        <w:spacing w:after="0" w:line="246" w:lineRule="auto"/>
        <w:tabs>
          <w:tab w:leader="none" w:pos="651" w:val="left"/>
        </w:tabs>
        <w:numPr>
          <w:ilvl w:val="0"/>
          <w:numId w:val="44"/>
        </w:numPr>
        <w:rPr>
          <w:rFonts w:ascii="Arial" w:cs="Arial" w:eastAsia="Arial" w:hAnsi="Arial"/>
          <w:sz w:val="20"/>
          <w:szCs w:val="20"/>
          <w:color w:val="auto"/>
        </w:rPr>
      </w:pPr>
      <w:r>
        <w:rPr>
          <w:rFonts w:ascii="Arial" w:cs="Arial" w:eastAsia="Arial" w:hAnsi="Arial"/>
          <w:sz w:val="20"/>
          <w:szCs w:val="20"/>
          <w:color w:val="auto"/>
        </w:rPr>
        <w:t>To sell, exchange, mortgage (with or without power of sale), assign, turn to account or otherwise dispose of and generally deal with the whole or any part of the property, shares, stocks, securities, estates, rights or undertakings of the Company, real, chattels real or personal, movable or immovable, either in whole or in part, upon whatever terms and whatever consideration the Company shall think fit.</w:t>
      </w:r>
    </w:p>
    <w:p>
      <w:pPr>
        <w:spacing w:after="0" w:line="164" w:lineRule="exact"/>
        <w:rPr>
          <w:rFonts w:ascii="Arial" w:cs="Arial" w:eastAsia="Arial" w:hAnsi="Arial"/>
          <w:sz w:val="20"/>
          <w:szCs w:val="20"/>
          <w:color w:val="auto"/>
        </w:rPr>
      </w:pPr>
    </w:p>
    <w:p>
      <w:pPr>
        <w:jc w:val="both"/>
        <w:ind w:left="651" w:hanging="651"/>
        <w:spacing w:after="0" w:line="246" w:lineRule="auto"/>
        <w:tabs>
          <w:tab w:leader="none" w:pos="651" w:val="left"/>
        </w:tabs>
        <w:numPr>
          <w:ilvl w:val="0"/>
          <w:numId w:val="44"/>
        </w:numPr>
        <w:rPr>
          <w:rFonts w:ascii="Arial" w:cs="Arial" w:eastAsia="Arial" w:hAnsi="Arial"/>
          <w:sz w:val="20"/>
          <w:szCs w:val="20"/>
          <w:color w:val="auto"/>
        </w:rPr>
      </w:pPr>
      <w:r>
        <w:rPr>
          <w:rFonts w:ascii="Arial" w:cs="Arial" w:eastAsia="Arial" w:hAnsi="Arial"/>
          <w:sz w:val="20"/>
          <w:szCs w:val="20"/>
          <w:color w:val="auto"/>
        </w:rPr>
        <w:t>To take part in the management, supervision, or control of the business or operations of any company or undertaking, and for that purpose to appoint and remunerate any directors, accountants, or other experts or agents to act as consultants, supervisors and agents of other companies or undertakings and to provide managerial, advisory, technical, design, purchasing and selling services.</w:t>
      </w:r>
    </w:p>
    <w:p>
      <w:pPr>
        <w:spacing w:after="0" w:line="164" w:lineRule="exact"/>
        <w:rPr>
          <w:rFonts w:ascii="Arial" w:cs="Arial" w:eastAsia="Arial" w:hAnsi="Arial"/>
          <w:sz w:val="20"/>
          <w:szCs w:val="20"/>
          <w:color w:val="auto"/>
        </w:rPr>
      </w:pPr>
    </w:p>
    <w:p>
      <w:pPr>
        <w:ind w:left="651" w:hanging="651"/>
        <w:spacing w:after="0" w:line="260" w:lineRule="auto"/>
        <w:tabs>
          <w:tab w:leader="none" w:pos="651" w:val="left"/>
        </w:tabs>
        <w:numPr>
          <w:ilvl w:val="0"/>
          <w:numId w:val="44"/>
        </w:numPr>
        <w:rPr>
          <w:rFonts w:ascii="Arial" w:cs="Arial" w:eastAsia="Arial" w:hAnsi="Arial"/>
          <w:sz w:val="20"/>
          <w:szCs w:val="20"/>
          <w:color w:val="auto"/>
        </w:rPr>
      </w:pPr>
      <w:r>
        <w:rPr>
          <w:rFonts w:ascii="Arial" w:cs="Arial" w:eastAsia="Arial" w:hAnsi="Arial"/>
          <w:sz w:val="20"/>
          <w:szCs w:val="20"/>
          <w:color w:val="auto"/>
        </w:rPr>
        <w:t>To make, draw, accept, endorse, negotiate, issue, execute, discount and otherwise deal with bills of exchange, promissory notes, letters of credit, circular notes, and other negotiable or transferable instruments.</w:t>
      </w:r>
    </w:p>
    <w:p>
      <w:pPr>
        <w:spacing w:after="0" w:line="149" w:lineRule="exact"/>
        <w:rPr>
          <w:rFonts w:ascii="Arial" w:cs="Arial" w:eastAsia="Arial" w:hAnsi="Arial"/>
          <w:sz w:val="20"/>
          <w:szCs w:val="20"/>
          <w:color w:val="auto"/>
        </w:rPr>
      </w:pPr>
    </w:p>
    <w:p>
      <w:pPr>
        <w:ind w:left="651" w:hanging="651"/>
        <w:spacing w:after="0" w:line="260" w:lineRule="auto"/>
        <w:tabs>
          <w:tab w:leader="none" w:pos="651" w:val="left"/>
        </w:tabs>
        <w:numPr>
          <w:ilvl w:val="0"/>
          <w:numId w:val="44"/>
        </w:numPr>
        <w:rPr>
          <w:rFonts w:ascii="Arial" w:cs="Arial" w:eastAsia="Arial" w:hAnsi="Arial"/>
          <w:sz w:val="20"/>
          <w:szCs w:val="20"/>
          <w:color w:val="auto"/>
        </w:rPr>
      </w:pPr>
      <w:r>
        <w:rPr>
          <w:rFonts w:ascii="Arial" w:cs="Arial" w:eastAsia="Arial" w:hAnsi="Arial"/>
          <w:sz w:val="20"/>
          <w:szCs w:val="20"/>
          <w:color w:val="auto"/>
        </w:rPr>
        <w:t>To redeem, purchase, or otherwise acquire in any manner permitted by law and on such terms and in such manner as the Company may think fit any shares in the Company’s capital.</w:t>
      </w:r>
    </w:p>
    <w:p>
      <w:pPr>
        <w:spacing w:after="0" w:line="149" w:lineRule="exact"/>
        <w:rPr>
          <w:rFonts w:ascii="Arial" w:cs="Arial" w:eastAsia="Arial" w:hAnsi="Arial"/>
          <w:sz w:val="20"/>
          <w:szCs w:val="20"/>
          <w:color w:val="auto"/>
        </w:rPr>
      </w:pPr>
    </w:p>
    <w:p>
      <w:pPr>
        <w:jc w:val="both"/>
        <w:ind w:left="651" w:hanging="651"/>
        <w:spacing w:after="0" w:line="250" w:lineRule="auto"/>
        <w:tabs>
          <w:tab w:leader="none" w:pos="651" w:val="left"/>
        </w:tabs>
        <w:numPr>
          <w:ilvl w:val="0"/>
          <w:numId w:val="44"/>
        </w:numPr>
        <w:rPr>
          <w:rFonts w:ascii="Arial" w:cs="Arial" w:eastAsia="Arial" w:hAnsi="Arial"/>
          <w:sz w:val="20"/>
          <w:szCs w:val="20"/>
          <w:color w:val="auto"/>
        </w:rPr>
      </w:pPr>
      <w:r>
        <w:rPr>
          <w:rFonts w:ascii="Arial" w:cs="Arial" w:eastAsia="Arial" w:hAnsi="Arial"/>
          <w:sz w:val="20"/>
          <w:szCs w:val="20"/>
          <w:color w:val="auto"/>
        </w:rPr>
        <w:t>To guarantee, support or secure whether by personal covenant or by mortgaging or charging all or any part of the undertaking, property and assets (present and future) and uncalled capital of the Company or by both such methods the performance of the obligations of, and the repayment or payment of the principal amounts of and the</w:t>
      </w:r>
    </w:p>
    <w:p>
      <w:pPr>
        <w:spacing w:after="0" w:line="200" w:lineRule="exact"/>
        <w:rPr>
          <w:sz w:val="20"/>
          <w:szCs w:val="20"/>
          <w:color w:val="auto"/>
        </w:rPr>
      </w:pPr>
    </w:p>
    <w:p>
      <w:pPr>
        <w:spacing w:after="0" w:line="202" w:lineRule="exact"/>
        <w:rPr>
          <w:sz w:val="20"/>
          <w:szCs w:val="20"/>
          <w:color w:val="auto"/>
        </w:rPr>
      </w:pPr>
    </w:p>
    <w:p>
      <w:pPr>
        <w:ind w:left="5031"/>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791"/>
          </w:cols>
          <w:pgMar w:left="869" w:top="595" w:right="239" w:bottom="1440" w:gutter="0" w:footer="0" w:header="0"/>
        </w:sectPr>
      </w:pPr>
    </w:p>
    <w:bookmarkStart w:id="100" w:name="page101"/>
    <w:bookmarkEnd w:id="100"/>
    <w:p>
      <w:pPr>
        <w:jc w:val="both"/>
        <w:ind w:left="651"/>
        <w:spacing w:after="0" w:line="260" w:lineRule="auto"/>
        <w:rPr>
          <w:sz w:val="20"/>
          <w:szCs w:val="20"/>
          <w:color w:val="auto"/>
        </w:rPr>
      </w:pPr>
      <w:r>
        <w:rPr>
          <w:rFonts w:ascii="Arial" w:cs="Arial" w:eastAsia="Arial" w:hAnsi="Arial"/>
          <w:sz w:val="19"/>
          <w:szCs w:val="19"/>
          <w:color w:val="auto"/>
        </w:rPr>
        <w:t>premiums, interest and dividends on any security of any person, firm or company including (without prejudice to the generality of the foregoing) any company which is for the time being the Company’s holding company or subsidiary (within the meaning of the Companies Act) of the Company’s holding company or otherwise associated with the Company in business notwithstanding the fact that the Company may not receive any consideration, advantage or benefit, direct or indirect from entering into such guarantee or other arrangement or transaction contemplated herein.</w:t>
      </w:r>
    </w:p>
    <w:p>
      <w:pPr>
        <w:spacing w:after="0" w:line="154" w:lineRule="exact"/>
        <w:rPr>
          <w:sz w:val="20"/>
          <w:szCs w:val="20"/>
          <w:color w:val="auto"/>
        </w:rPr>
      </w:pPr>
    </w:p>
    <w:p>
      <w:pPr>
        <w:ind w:left="651" w:hanging="651"/>
        <w:spacing w:after="0" w:line="260" w:lineRule="auto"/>
        <w:tabs>
          <w:tab w:leader="none" w:pos="651" w:val="left"/>
        </w:tabs>
        <w:numPr>
          <w:ilvl w:val="0"/>
          <w:numId w:val="45"/>
        </w:numPr>
        <w:rPr>
          <w:rFonts w:ascii="Arial" w:cs="Arial" w:eastAsia="Arial" w:hAnsi="Arial"/>
          <w:sz w:val="20"/>
          <w:szCs w:val="20"/>
          <w:color w:val="auto"/>
        </w:rPr>
      </w:pPr>
      <w:r>
        <w:rPr>
          <w:rFonts w:ascii="Arial" w:cs="Arial" w:eastAsia="Arial" w:hAnsi="Arial"/>
          <w:sz w:val="20"/>
          <w:szCs w:val="20"/>
          <w:color w:val="auto"/>
        </w:rPr>
        <w:t>To lend the funds of the Company with or without security and at interest or free of interest and on such terms and conditions as the directors shall from time to time determine.</w:t>
      </w:r>
    </w:p>
    <w:p>
      <w:pPr>
        <w:spacing w:after="0" w:line="149" w:lineRule="exact"/>
        <w:rPr>
          <w:rFonts w:ascii="Arial" w:cs="Arial" w:eastAsia="Arial" w:hAnsi="Arial"/>
          <w:sz w:val="20"/>
          <w:szCs w:val="20"/>
          <w:color w:val="auto"/>
        </w:rPr>
      </w:pPr>
    </w:p>
    <w:p>
      <w:pPr>
        <w:jc w:val="both"/>
        <w:ind w:left="651" w:hanging="651"/>
        <w:spacing w:after="0" w:line="272" w:lineRule="auto"/>
        <w:tabs>
          <w:tab w:leader="none" w:pos="65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raise or borrow or secure the payment of money in such manner and on such terms as the directors may deem expedient whether or not by the issue of bonds, debentures or debenture stock, perpetual or redeemable, or by mortgage, charge, lien or pledge upon the whole or any part of the undertaking, property, assets and rights of the Company, present or future, including its uncalled capital and generally in any other manner as the directors shall from time to time determine and to enter into or issue interest and currency hedging and swap agreements, forward rate agreements, interest and currency futures or options and other forms of financial instruments, and to purchase, redeem or pay off any of the foregoing and to guarantee the liabilities of the Company or any other person, and any debentures, debenture stock or other securities may be issued at a discount, premium or otherwise, and with any special privileges as to redemption, surrender, transfer, drawings, allotments of shares; attending and voting at general meetings of the Company, appointment of directors and otherwise.</w:t>
      </w:r>
    </w:p>
    <w:p>
      <w:pPr>
        <w:spacing w:after="0" w:line="144" w:lineRule="exact"/>
        <w:rPr>
          <w:rFonts w:ascii="Arial" w:cs="Arial" w:eastAsia="Arial" w:hAnsi="Arial"/>
          <w:sz w:val="18"/>
          <w:szCs w:val="18"/>
          <w:color w:val="auto"/>
        </w:rPr>
      </w:pPr>
    </w:p>
    <w:p>
      <w:pPr>
        <w:jc w:val="both"/>
        <w:ind w:left="651" w:hanging="651"/>
        <w:spacing w:after="0" w:line="246" w:lineRule="auto"/>
        <w:tabs>
          <w:tab w:leader="none" w:pos="651" w:val="left"/>
        </w:tabs>
        <w:numPr>
          <w:ilvl w:val="0"/>
          <w:numId w:val="45"/>
        </w:numPr>
        <w:rPr>
          <w:rFonts w:ascii="Arial" w:cs="Arial" w:eastAsia="Arial" w:hAnsi="Arial"/>
          <w:sz w:val="20"/>
          <w:szCs w:val="20"/>
          <w:color w:val="auto"/>
        </w:rPr>
      </w:pPr>
      <w:r>
        <w:rPr>
          <w:rFonts w:ascii="Arial" w:cs="Arial" w:eastAsia="Arial" w:hAnsi="Arial"/>
          <w:sz w:val="20"/>
          <w:szCs w:val="20"/>
          <w:color w:val="auto"/>
        </w:rPr>
        <w:t>To accumulate capital for any of the purposes of the Company, and to appropriate any of the Company’s assets to specific purposes, either conditionally or unconditionally, and to admit any class or section of those who have any dealings with the Company to any share in the profits thereof or in the profits of any particular branch of the Company’s business or to any other special rights, privileges, advantages or benefits.</w:t>
      </w:r>
    </w:p>
    <w:p>
      <w:pPr>
        <w:spacing w:after="0" w:line="164" w:lineRule="exact"/>
        <w:rPr>
          <w:rFonts w:ascii="Arial" w:cs="Arial" w:eastAsia="Arial" w:hAnsi="Arial"/>
          <w:sz w:val="20"/>
          <w:szCs w:val="20"/>
          <w:color w:val="auto"/>
        </w:rPr>
      </w:pPr>
    </w:p>
    <w:p>
      <w:pPr>
        <w:ind w:left="651" w:hanging="651"/>
        <w:spacing w:after="0"/>
        <w:tabs>
          <w:tab w:leader="none" w:pos="651" w:val="left"/>
        </w:tabs>
        <w:numPr>
          <w:ilvl w:val="0"/>
          <w:numId w:val="45"/>
        </w:numPr>
        <w:rPr>
          <w:rFonts w:ascii="Arial" w:cs="Arial" w:eastAsia="Arial" w:hAnsi="Arial"/>
          <w:sz w:val="20"/>
          <w:szCs w:val="20"/>
          <w:color w:val="auto"/>
        </w:rPr>
      </w:pPr>
      <w:r>
        <w:rPr>
          <w:rFonts w:ascii="Arial" w:cs="Arial" w:eastAsia="Arial" w:hAnsi="Arial"/>
          <w:sz w:val="20"/>
          <w:szCs w:val="20"/>
          <w:color w:val="auto"/>
        </w:rPr>
        <w:t>To reduce the share capital of the Company in any manner permitted by law.</w:t>
      </w:r>
    </w:p>
    <w:p>
      <w:pPr>
        <w:spacing w:after="0" w:line="188" w:lineRule="exact"/>
        <w:rPr>
          <w:rFonts w:ascii="Arial" w:cs="Arial" w:eastAsia="Arial" w:hAnsi="Arial"/>
          <w:sz w:val="20"/>
          <w:szCs w:val="20"/>
          <w:color w:val="auto"/>
        </w:rPr>
      </w:pPr>
    </w:p>
    <w:p>
      <w:pPr>
        <w:jc w:val="both"/>
        <w:ind w:left="651" w:hanging="651"/>
        <w:spacing w:after="0" w:line="250" w:lineRule="auto"/>
        <w:tabs>
          <w:tab w:leader="none" w:pos="651" w:val="left"/>
        </w:tabs>
        <w:numPr>
          <w:ilvl w:val="0"/>
          <w:numId w:val="45"/>
        </w:numPr>
        <w:rPr>
          <w:rFonts w:ascii="Arial" w:cs="Arial" w:eastAsia="Arial" w:hAnsi="Arial"/>
          <w:sz w:val="20"/>
          <w:szCs w:val="20"/>
          <w:color w:val="auto"/>
        </w:rPr>
      </w:pPr>
      <w:r>
        <w:rPr>
          <w:rFonts w:ascii="Arial" w:cs="Arial" w:eastAsia="Arial" w:hAnsi="Arial"/>
          <w:sz w:val="20"/>
          <w:szCs w:val="20"/>
          <w:color w:val="auto"/>
        </w:rPr>
        <w:t>To make gifts or grant bonuses to officers or other persons who are or have been in the employment of the Company and to allow any such persons to have the use and enjoyment of such property, chattels or other assets belonging to the Company upon such terms as the Company shall think fit.</w:t>
      </w:r>
    </w:p>
    <w:p>
      <w:pPr>
        <w:spacing w:after="0" w:line="159" w:lineRule="exact"/>
        <w:rPr>
          <w:rFonts w:ascii="Arial" w:cs="Arial" w:eastAsia="Arial" w:hAnsi="Arial"/>
          <w:sz w:val="20"/>
          <w:szCs w:val="20"/>
          <w:color w:val="auto"/>
        </w:rPr>
      </w:pPr>
    </w:p>
    <w:p>
      <w:pPr>
        <w:jc w:val="both"/>
        <w:ind w:left="651" w:hanging="651"/>
        <w:spacing w:after="0" w:line="271" w:lineRule="auto"/>
        <w:tabs>
          <w:tab w:leader="none" w:pos="65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establish and maintain or procure the establishment and maintenance of any pension or superannuation fund (whether contributory or otherwise) for the benefit of and to give or procure the giving of donations, gratuities, pensions, annuities, allowances, emoluments or charitable aid to any persons who are or were at any time in the employment or service of the Company or any of its predecessors in business, or of any company which is a subsidiary of the Company or who may be or have been directors or officers of the Company, or of any such other company as aforesaid, or any persons in whose welfare the Company or any such other company as aforesaid may be interested and the wives, widows, children, relatives and dependants of any such persons and to make payments towards insurance and assurance and to form and contribute to provident and benefit funds for the benefit of such persons and to remunerate any person, firm or company rendering services to the Company, whether by cash payment, gratuities, pensions, annuities, allowances, emoluments or by the allotment of shares or securities of the Company credited as paid up in full or in part or otherwise.</w:t>
      </w:r>
    </w:p>
    <w:p>
      <w:pPr>
        <w:spacing w:after="0" w:line="391" w:lineRule="exact"/>
        <w:rPr>
          <w:sz w:val="20"/>
          <w:szCs w:val="20"/>
          <w:color w:val="auto"/>
        </w:rPr>
      </w:pPr>
    </w:p>
    <w:p>
      <w:pPr>
        <w:ind w:left="5031"/>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91"/>
          </w:cols>
          <w:pgMar w:left="869" w:top="595" w:right="239" w:bottom="1440" w:gutter="0" w:footer="0" w:header="0"/>
        </w:sectPr>
      </w:pPr>
    </w:p>
    <w:bookmarkStart w:id="101" w:name="page102"/>
    <w:bookmarkEnd w:id="101"/>
    <w:p>
      <w:pPr>
        <w:ind w:left="651" w:hanging="651"/>
        <w:spacing w:after="0" w:line="260" w:lineRule="auto"/>
        <w:tabs>
          <w:tab w:leader="none" w:pos="651" w:val="left"/>
        </w:tabs>
        <w:numPr>
          <w:ilvl w:val="0"/>
          <w:numId w:val="46"/>
        </w:numPr>
        <w:rPr>
          <w:rFonts w:ascii="Arial" w:cs="Arial" w:eastAsia="Arial" w:hAnsi="Arial"/>
          <w:sz w:val="20"/>
          <w:szCs w:val="20"/>
          <w:color w:val="auto"/>
        </w:rPr>
      </w:pPr>
      <w:r>
        <w:rPr>
          <w:rFonts w:ascii="Arial" w:cs="Arial" w:eastAsia="Arial" w:hAnsi="Arial"/>
          <w:sz w:val="20"/>
          <w:szCs w:val="20"/>
          <w:color w:val="auto"/>
        </w:rPr>
        <w:t>To employ experts to investigate and examine into the conditions, prospects, value, character and circumstances of any business concerns, undertakings, assets, property or rights.</w:t>
      </w:r>
    </w:p>
    <w:p>
      <w:pPr>
        <w:spacing w:after="0" w:line="136" w:lineRule="exact"/>
        <w:rPr>
          <w:rFonts w:ascii="Arial" w:cs="Arial" w:eastAsia="Arial" w:hAnsi="Arial"/>
          <w:sz w:val="20"/>
          <w:szCs w:val="20"/>
          <w:color w:val="auto"/>
        </w:rPr>
      </w:pPr>
    </w:p>
    <w:p>
      <w:pPr>
        <w:ind w:left="651" w:hanging="651"/>
        <w:spacing w:after="0" w:line="260" w:lineRule="auto"/>
        <w:tabs>
          <w:tab w:leader="none" w:pos="651" w:val="left"/>
        </w:tabs>
        <w:numPr>
          <w:ilvl w:val="0"/>
          <w:numId w:val="46"/>
        </w:numPr>
        <w:rPr>
          <w:rFonts w:ascii="Arial" w:cs="Arial" w:eastAsia="Arial" w:hAnsi="Arial"/>
          <w:sz w:val="20"/>
          <w:szCs w:val="20"/>
          <w:color w:val="auto"/>
        </w:rPr>
      </w:pPr>
      <w:r>
        <w:rPr>
          <w:rFonts w:ascii="Arial" w:cs="Arial" w:eastAsia="Arial" w:hAnsi="Arial"/>
          <w:sz w:val="20"/>
          <w:szCs w:val="20"/>
          <w:color w:val="auto"/>
        </w:rPr>
        <w:t>To insure the life of any person who may, in the opinion of the Company, be of value to the Company, as having or holding for the Company interests, goodwill, or influence or otherwise and to pay the premiums on such insurance.</w:t>
      </w:r>
    </w:p>
    <w:p>
      <w:pPr>
        <w:spacing w:after="0" w:line="136" w:lineRule="exact"/>
        <w:rPr>
          <w:rFonts w:ascii="Arial" w:cs="Arial" w:eastAsia="Arial" w:hAnsi="Arial"/>
          <w:sz w:val="20"/>
          <w:szCs w:val="20"/>
          <w:color w:val="auto"/>
        </w:rPr>
      </w:pPr>
    </w:p>
    <w:p>
      <w:pPr>
        <w:jc w:val="both"/>
        <w:ind w:left="651" w:hanging="651"/>
        <w:spacing w:after="0" w:line="250" w:lineRule="auto"/>
        <w:tabs>
          <w:tab w:leader="none" w:pos="651" w:val="left"/>
        </w:tabs>
        <w:numPr>
          <w:ilvl w:val="0"/>
          <w:numId w:val="46"/>
        </w:numPr>
        <w:rPr>
          <w:rFonts w:ascii="Arial" w:cs="Arial" w:eastAsia="Arial" w:hAnsi="Arial"/>
          <w:sz w:val="20"/>
          <w:szCs w:val="20"/>
          <w:color w:val="auto"/>
        </w:rPr>
      </w:pPr>
      <w:r>
        <w:rPr>
          <w:rFonts w:ascii="Arial" w:cs="Arial" w:eastAsia="Arial" w:hAnsi="Arial"/>
          <w:sz w:val="20"/>
          <w:szCs w:val="20"/>
          <w:color w:val="auto"/>
        </w:rPr>
        <w:t>To distribute either upon a distribution of assets or division of profits among the Members of the Company in bind any property of the Company, and in particular any shares, debentures or securities of other companies belonging to the Company or of which the Company may have the power of disposing.</w:t>
      </w:r>
    </w:p>
    <w:p>
      <w:pPr>
        <w:spacing w:after="0" w:line="145" w:lineRule="exact"/>
        <w:rPr>
          <w:rFonts w:ascii="Arial" w:cs="Arial" w:eastAsia="Arial" w:hAnsi="Arial"/>
          <w:sz w:val="20"/>
          <w:szCs w:val="20"/>
          <w:color w:val="auto"/>
        </w:rPr>
      </w:pPr>
    </w:p>
    <w:p>
      <w:pPr>
        <w:jc w:val="both"/>
        <w:ind w:left="651" w:hanging="651"/>
        <w:spacing w:after="0" w:line="269" w:lineRule="auto"/>
        <w:tabs>
          <w:tab w:leader="none" w:pos="651" w:val="left"/>
        </w:tabs>
        <w:numPr>
          <w:ilvl w:val="0"/>
          <w:numId w:val="46"/>
        </w:numPr>
        <w:rPr>
          <w:rFonts w:ascii="Arial" w:cs="Arial" w:eastAsia="Arial" w:hAnsi="Arial"/>
          <w:sz w:val="19"/>
          <w:szCs w:val="19"/>
          <w:color w:val="auto"/>
        </w:rPr>
      </w:pPr>
      <w:r>
        <w:rPr>
          <w:rFonts w:ascii="Arial" w:cs="Arial" w:eastAsia="Arial" w:hAnsi="Arial"/>
          <w:sz w:val="19"/>
          <w:szCs w:val="19"/>
          <w:color w:val="auto"/>
        </w:rPr>
        <w:t>To give, whether directly or indirectly, and whether by means of a loan, guarantee, the provision of security or otherwise, any financial assistance for the purpose of or in connection with a purchase or subscription made or to be made by any person of or for any shares in the Company, or, where the Company is a subsidiary company, in its holding company.</w:t>
      </w:r>
    </w:p>
    <w:p>
      <w:pPr>
        <w:spacing w:after="0" w:line="129" w:lineRule="exact"/>
        <w:rPr>
          <w:rFonts w:ascii="Arial" w:cs="Arial" w:eastAsia="Arial" w:hAnsi="Arial"/>
          <w:sz w:val="19"/>
          <w:szCs w:val="19"/>
          <w:color w:val="auto"/>
        </w:rPr>
      </w:pPr>
    </w:p>
    <w:p>
      <w:pPr>
        <w:ind w:left="671" w:right="100" w:hanging="644"/>
        <w:spacing w:after="0" w:line="246" w:lineRule="auto"/>
        <w:tabs>
          <w:tab w:leader="none" w:pos="671" w:val="left"/>
        </w:tabs>
        <w:numPr>
          <w:ilvl w:val="1"/>
          <w:numId w:val="46"/>
        </w:numPr>
        <w:rPr>
          <w:rFonts w:ascii="Arial" w:cs="Arial" w:eastAsia="Arial" w:hAnsi="Arial"/>
          <w:sz w:val="20"/>
          <w:szCs w:val="20"/>
          <w:color w:val="auto"/>
        </w:rPr>
      </w:pPr>
      <w:r>
        <w:rPr>
          <w:rFonts w:ascii="Arial" w:cs="Arial" w:eastAsia="Arial" w:hAnsi="Arial"/>
          <w:sz w:val="20"/>
          <w:szCs w:val="20"/>
          <w:color w:val="auto"/>
        </w:rPr>
        <w:t>To do and carry out all or any of the foregoing objects in any part of the world and either as principals, agents, contractors, trustees or otherwise, and either by or through agents, trustees or otherwise and either alone or in partnership or in conjunction with any other company, firm or person, provided that nothing herein contained shall empower the Company to carry on the businesses of insurance.</w:t>
      </w:r>
    </w:p>
    <w:p>
      <w:pPr>
        <w:spacing w:after="0" w:line="151" w:lineRule="exact"/>
        <w:rPr>
          <w:rFonts w:ascii="Arial" w:cs="Arial" w:eastAsia="Arial" w:hAnsi="Arial"/>
          <w:sz w:val="20"/>
          <w:szCs w:val="20"/>
          <w:color w:val="auto"/>
        </w:rPr>
      </w:pPr>
    </w:p>
    <w:p>
      <w:pPr>
        <w:ind w:left="671" w:right="140" w:hanging="644"/>
        <w:spacing w:after="0" w:line="278" w:lineRule="auto"/>
        <w:tabs>
          <w:tab w:leader="none" w:pos="671"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apply for, purchase or otherwise acquire any patents, brevets d’invention, licences, trademarks, industrial designs, know-how, concessions and other forms of intellectual property rights and the like conferring any exclusive or non-exclusive or limited or contingent rights to use, or any secret or other information as to any invention or process of the Company, or the acquisition of which may seem calculated directly or indirectly to benefit the Company, and to use, exercise, develop, or grant licences in respect of, or otherwise turn to account the property, rights or information so acquired.</w:t>
      </w:r>
    </w:p>
    <w:p>
      <w:pPr>
        <w:spacing w:after="0" w:line="124" w:lineRule="exact"/>
        <w:rPr>
          <w:rFonts w:ascii="Arial" w:cs="Arial" w:eastAsia="Arial" w:hAnsi="Arial"/>
          <w:sz w:val="18"/>
          <w:szCs w:val="18"/>
          <w:color w:val="auto"/>
        </w:rPr>
      </w:pPr>
    </w:p>
    <w:p>
      <w:pPr>
        <w:ind w:left="671" w:right="140" w:hanging="644"/>
        <w:spacing w:after="0" w:line="246" w:lineRule="auto"/>
        <w:tabs>
          <w:tab w:leader="none" w:pos="671" w:val="left"/>
        </w:tabs>
        <w:numPr>
          <w:ilvl w:val="1"/>
          <w:numId w:val="46"/>
        </w:numPr>
        <w:rPr>
          <w:rFonts w:ascii="Arial" w:cs="Arial" w:eastAsia="Arial" w:hAnsi="Arial"/>
          <w:sz w:val="20"/>
          <w:szCs w:val="20"/>
          <w:color w:val="auto"/>
        </w:rPr>
      </w:pPr>
      <w:r>
        <w:rPr>
          <w:rFonts w:ascii="Arial" w:cs="Arial" w:eastAsia="Arial" w:hAnsi="Arial"/>
          <w:sz w:val="20"/>
          <w:szCs w:val="20"/>
          <w:color w:val="auto"/>
        </w:rPr>
        <w:t>To enter into partnership or into any arrangement for sharing profits, union of interests, co-operation, joint venture, reciprocal concession or otherwise with any person or company carrying on or engaged in or about to carry on or engage in any business or transaction which the Company is authorised to carry on or engage in or any business or transaction capable of being conducted so as directly or indirectly to benefit the Company.</w:t>
      </w:r>
    </w:p>
    <w:p>
      <w:pPr>
        <w:spacing w:after="0" w:line="151" w:lineRule="exact"/>
        <w:rPr>
          <w:rFonts w:ascii="Arial" w:cs="Arial" w:eastAsia="Arial" w:hAnsi="Arial"/>
          <w:sz w:val="20"/>
          <w:szCs w:val="20"/>
          <w:color w:val="auto"/>
        </w:rPr>
      </w:pPr>
    </w:p>
    <w:p>
      <w:pPr>
        <w:jc w:val="both"/>
        <w:ind w:left="671" w:right="100" w:hanging="644"/>
        <w:spacing w:after="0" w:line="291" w:lineRule="auto"/>
        <w:tabs>
          <w:tab w:leader="none" w:pos="671"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acquire and undertake the whole or any part of the undertaking, business, property and liabilities of any person or company carrying on any business which the Company is authorised to carry on or which is capable of being conducted so as to benefit the Company directly or indirectly or which is possessed of assets suitable for the purposes of the Company.</w:t>
      </w:r>
    </w:p>
    <w:p>
      <w:pPr>
        <w:spacing w:after="0" w:line="111" w:lineRule="exact"/>
        <w:rPr>
          <w:rFonts w:ascii="Arial" w:cs="Arial" w:eastAsia="Arial" w:hAnsi="Arial"/>
          <w:sz w:val="18"/>
          <w:szCs w:val="18"/>
          <w:color w:val="auto"/>
        </w:rPr>
      </w:pPr>
    </w:p>
    <w:p>
      <w:pPr>
        <w:ind w:left="671" w:hanging="644"/>
        <w:spacing w:after="0"/>
        <w:tabs>
          <w:tab w:leader="none" w:pos="671" w:val="left"/>
        </w:tabs>
        <w:numPr>
          <w:ilvl w:val="1"/>
          <w:numId w:val="46"/>
        </w:numPr>
        <w:rPr>
          <w:rFonts w:ascii="Arial" w:cs="Arial" w:eastAsia="Arial" w:hAnsi="Arial"/>
          <w:sz w:val="20"/>
          <w:szCs w:val="20"/>
          <w:color w:val="auto"/>
        </w:rPr>
      </w:pPr>
      <w:r>
        <w:rPr>
          <w:rFonts w:ascii="Arial" w:cs="Arial" w:eastAsia="Arial" w:hAnsi="Arial"/>
          <w:sz w:val="20"/>
          <w:szCs w:val="20"/>
          <w:color w:val="auto"/>
        </w:rPr>
        <w:t>To adopt such means of making known the Company and its products and services as may seem expedient.</w:t>
      </w:r>
    </w:p>
    <w:p>
      <w:pPr>
        <w:spacing w:after="0" w:line="175" w:lineRule="exact"/>
        <w:rPr>
          <w:rFonts w:ascii="Arial" w:cs="Arial" w:eastAsia="Arial" w:hAnsi="Arial"/>
          <w:sz w:val="20"/>
          <w:szCs w:val="20"/>
          <w:color w:val="auto"/>
        </w:rPr>
      </w:pPr>
    </w:p>
    <w:p>
      <w:pPr>
        <w:ind w:left="671" w:right="40" w:hanging="644"/>
        <w:spacing w:after="0" w:line="260" w:lineRule="auto"/>
        <w:tabs>
          <w:tab w:leader="none" w:pos="671" w:val="left"/>
        </w:tabs>
        <w:numPr>
          <w:ilvl w:val="1"/>
          <w:numId w:val="46"/>
        </w:numPr>
        <w:rPr>
          <w:rFonts w:ascii="Arial" w:cs="Arial" w:eastAsia="Arial" w:hAnsi="Arial"/>
          <w:sz w:val="20"/>
          <w:szCs w:val="20"/>
          <w:color w:val="auto"/>
        </w:rPr>
      </w:pPr>
      <w:r>
        <w:rPr>
          <w:rFonts w:ascii="Arial" w:cs="Arial" w:eastAsia="Arial" w:hAnsi="Arial"/>
          <w:sz w:val="20"/>
          <w:szCs w:val="20"/>
          <w:color w:val="auto"/>
        </w:rPr>
        <w:t>To acquire and carry on any business carried on by a subsidiary or a holding company of the Company or another subsidiary of a holding company of the Company.</w:t>
      </w:r>
    </w:p>
    <w:p>
      <w:pPr>
        <w:spacing w:after="0" w:line="136" w:lineRule="exact"/>
        <w:rPr>
          <w:rFonts w:ascii="Arial" w:cs="Arial" w:eastAsia="Arial" w:hAnsi="Arial"/>
          <w:sz w:val="20"/>
          <w:szCs w:val="20"/>
          <w:color w:val="auto"/>
        </w:rPr>
      </w:pPr>
    </w:p>
    <w:p>
      <w:pPr>
        <w:ind w:left="671" w:right="200" w:hanging="644"/>
        <w:spacing w:after="0" w:line="260" w:lineRule="auto"/>
        <w:tabs>
          <w:tab w:leader="none" w:pos="671" w:val="left"/>
        </w:tabs>
        <w:numPr>
          <w:ilvl w:val="1"/>
          <w:numId w:val="46"/>
        </w:numPr>
        <w:rPr>
          <w:rFonts w:ascii="Arial" w:cs="Arial" w:eastAsia="Arial" w:hAnsi="Arial"/>
          <w:sz w:val="20"/>
          <w:szCs w:val="20"/>
          <w:color w:val="auto"/>
        </w:rPr>
      </w:pPr>
      <w:r>
        <w:rPr>
          <w:rFonts w:ascii="Arial" w:cs="Arial" w:eastAsia="Arial" w:hAnsi="Arial"/>
          <w:sz w:val="20"/>
          <w:szCs w:val="20"/>
          <w:color w:val="auto"/>
        </w:rPr>
        <w:t>To promote any company or companies for the purpose of acquiring all or any of the property and liabilities of this Company or for any other purpose which may seem directly or indirectly calculated to benefit this Company.</w:t>
      </w:r>
    </w:p>
    <w:p>
      <w:pPr>
        <w:spacing w:after="0" w:line="393" w:lineRule="exact"/>
        <w:rPr>
          <w:sz w:val="20"/>
          <w:szCs w:val="20"/>
          <w:color w:val="auto"/>
        </w:rPr>
      </w:pPr>
    </w:p>
    <w:p>
      <w:pPr>
        <w:ind w:left="5031"/>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791"/>
          </w:cols>
          <w:pgMar w:left="869" w:top="595" w:right="239" w:bottom="1440" w:gutter="0" w:footer="0" w:header="0"/>
        </w:sectPr>
      </w:pPr>
    </w:p>
    <w:bookmarkStart w:id="102" w:name="page103"/>
    <w:bookmarkEnd w:id="102"/>
    <w:p>
      <w:pPr>
        <w:ind w:left="1300" w:right="520" w:hanging="644"/>
        <w:spacing w:after="0" w:line="260" w:lineRule="auto"/>
        <w:tabs>
          <w:tab w:leader="none" w:pos="1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To amalgamate with, merge with or otherwise become part of or associated with any other company or association in any manner permitted by law.</w:t>
      </w:r>
    </w:p>
    <w:p>
      <w:pPr>
        <w:spacing w:after="0" w:line="149" w:lineRule="exact"/>
        <w:rPr>
          <w:rFonts w:ascii="Arial" w:cs="Arial" w:eastAsia="Arial" w:hAnsi="Arial"/>
          <w:sz w:val="20"/>
          <w:szCs w:val="20"/>
          <w:color w:val="auto"/>
        </w:rPr>
      </w:pPr>
    </w:p>
    <w:p>
      <w:pPr>
        <w:ind w:left="1300" w:right="480" w:hanging="644"/>
        <w:spacing w:after="0" w:line="250" w:lineRule="auto"/>
        <w:tabs>
          <w:tab w:leader="none" w:pos="1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To do and carry out all such other things, except the issuing of policies of insurance, as may be deemed by the Company capable of being conveniently carried on in connection with the above objects or any of them or calculated to enhance the value of or render profitable any of the Company’s properties or rights.</w:t>
      </w:r>
    </w:p>
    <w:p>
      <w:pPr>
        <w:spacing w:after="0" w:line="159" w:lineRule="exact"/>
        <w:rPr>
          <w:sz w:val="20"/>
          <w:szCs w:val="20"/>
          <w:color w:val="auto"/>
        </w:rPr>
      </w:pPr>
    </w:p>
    <w:p>
      <w:pPr>
        <w:jc w:val="both"/>
        <w:ind w:left="660" w:right="20"/>
        <w:spacing w:after="0" w:line="244" w:lineRule="auto"/>
        <w:rPr>
          <w:sz w:val="20"/>
          <w:szCs w:val="20"/>
          <w:color w:val="auto"/>
        </w:rPr>
      </w:pPr>
      <w:r>
        <w:rPr>
          <w:rFonts w:ascii="Arial" w:cs="Arial" w:eastAsia="Arial" w:hAnsi="Arial"/>
          <w:sz w:val="20"/>
          <w:szCs w:val="20"/>
          <w:color w:val="auto"/>
        </w:rPr>
        <w:t>And it is hereby declared that the word “company” in this clause, except where used in reference to this Company, shall be deemed to include any person, partnership or other body of persons whether incorporated or not incorporated and whether domiciled in the State or elsewhere and that the objects of the Company as specified in each of the foregoing paragraphs of this clause shall be separate and distinct objects and shall not be in anywise limited or restricted by reference to or inference from the terns of any other paragraph or the name of the Company.</w:t>
      </w:r>
    </w:p>
    <w:p>
      <w:pPr>
        <w:spacing w:after="0" w:line="168"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liability of each Member is limited to the amount from time to time unpaid on such Member’s Shares.</w:t>
      </w:r>
    </w:p>
    <w:p>
      <w:pPr>
        <w:spacing w:after="0" w:line="188"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authorised share capital of the Company is €40,000 and US$30,000 divided into 4,000,000 euro deferred shares of €0.01 each and 300,000,000 ordinary shares of US$0.0001 each.</w:t>
      </w:r>
    </w:p>
    <w:p>
      <w:pPr>
        <w:spacing w:after="0" w:line="149" w:lineRule="exact"/>
        <w:rPr>
          <w:rFonts w:ascii="Arial" w:cs="Arial" w:eastAsia="Arial" w:hAnsi="Arial"/>
          <w:sz w:val="20"/>
          <w:szCs w:val="20"/>
          <w:color w:val="auto"/>
        </w:rPr>
      </w:pPr>
    </w:p>
    <w:p>
      <w:pPr>
        <w:jc w:val="both"/>
        <w:ind w:left="660" w:hanging="652"/>
        <w:spacing w:after="0" w:line="259" w:lineRule="auto"/>
        <w:tabs>
          <w:tab w:leader="none" w:pos="6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shares forming the capital, increased or reduced,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 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spacing w:after="0" w:line="151" w:lineRule="exact"/>
        <w:rPr>
          <w:rFonts w:ascii="Arial" w:cs="Arial" w:eastAsia="Arial" w:hAnsi="Arial"/>
          <w:sz w:val="19"/>
          <w:szCs w:val="19"/>
          <w:color w:val="auto"/>
        </w:rPr>
      </w:pPr>
    </w:p>
    <w:p>
      <w:pPr>
        <w:ind w:left="660" w:hanging="652"/>
        <w:spacing w:after="0" w:line="260" w:lineRule="auto"/>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Capitalised terms that are not defined in this Memorandum bear the same meaning as those given in the articles of association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95" w:right="239" w:bottom="1440" w:gutter="0" w:footer="0" w:header="0"/>
        </w:sectPr>
      </w:pPr>
    </w:p>
    <w:bookmarkStart w:id="103" w:name="page104"/>
    <w:bookmarkEnd w:id="103"/>
    <w:p>
      <w:pPr>
        <w:ind w:left="4840"/>
        <w:spacing w:after="0"/>
        <w:rPr>
          <w:sz w:val="20"/>
          <w:szCs w:val="20"/>
          <w:color w:val="auto"/>
        </w:rPr>
      </w:pPr>
      <w:r>
        <w:rPr>
          <w:rFonts w:ascii="Arial" w:cs="Arial" w:eastAsia="Arial" w:hAnsi="Arial"/>
          <w:sz w:val="20"/>
          <w:szCs w:val="20"/>
          <w:b w:val="1"/>
          <w:bCs w:val="1"/>
          <w:color w:val="auto"/>
        </w:rPr>
        <w:t>Companies Act 2014</w:t>
      </w:r>
    </w:p>
    <w:p>
      <w:pPr>
        <w:spacing w:after="0" w:line="189"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A PUBLIC LIMITED COMPANY</w:t>
      </w:r>
    </w:p>
    <w:p>
      <w:pPr>
        <w:spacing w:after="0" w:line="162"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ARTICLES OF ASSOCIATION</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of</w:t>
      </w:r>
    </w:p>
    <w:p>
      <w:pPr>
        <w:spacing w:after="0" w:line="162"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JAZZ PHARMACEUTICALS PUBLIC LIMITED COMPANY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amended by resolutions passed up to and including 4 August 2016)</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PRELIMINARY</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regulations shall apply to the Company:</w:t>
      </w:r>
    </w:p>
    <w:p>
      <w:pPr>
        <w:spacing w:after="0" w:line="189" w:lineRule="exact"/>
        <w:rPr>
          <w:sz w:val="20"/>
          <w:szCs w:val="20"/>
          <w:color w:val="auto"/>
        </w:rPr>
      </w:pPr>
    </w:p>
    <w:p>
      <w:pPr>
        <w:jc w:val="both"/>
        <w:ind w:left="660" w:hanging="652"/>
        <w:spacing w:after="0" w:line="250" w:lineRule="auto"/>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provisions set out in these Articles shall constitute the whole of the regulations applicable to the Company and no “optional provision” as defined by section 1007(2) of the Companies Act (with the exception of sections 83 and 84 of the Companies Act) shall apply to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340" w:type="dxa"/>
            <w:vAlign w:val="bottom"/>
          </w:tcPr>
          <w:p>
            <w:pPr>
              <w:jc w:val="right"/>
              <w:ind w:right="1"/>
              <w:spacing w:after="0"/>
              <w:rPr>
                <w:sz w:val="20"/>
                <w:szCs w:val="20"/>
                <w:color w:val="auto"/>
              </w:rPr>
            </w:pPr>
            <w:r>
              <w:rPr>
                <w:rFonts w:ascii="Arial" w:cs="Arial" w:eastAsia="Arial" w:hAnsi="Arial"/>
                <w:sz w:val="20"/>
                <w:szCs w:val="20"/>
                <w:color w:val="auto"/>
                <w:w w:val="78"/>
              </w:rPr>
              <w:t>2.1</w:t>
            </w:r>
          </w:p>
        </w:tc>
        <w:tc>
          <w:tcPr>
            <w:tcW w:w="3040" w:type="dxa"/>
            <w:vAlign w:val="bottom"/>
          </w:tcPr>
          <w:p>
            <w:pPr>
              <w:ind w:left="560"/>
              <w:spacing w:after="0"/>
              <w:rPr>
                <w:sz w:val="20"/>
                <w:szCs w:val="20"/>
                <w:color w:val="auto"/>
              </w:rPr>
            </w:pPr>
            <w:r>
              <w:rPr>
                <w:rFonts w:ascii="Arial" w:cs="Arial" w:eastAsia="Arial" w:hAnsi="Arial"/>
                <w:sz w:val="20"/>
                <w:szCs w:val="20"/>
                <w:color w:val="auto"/>
              </w:rPr>
              <w:t>In these Articles:</w:t>
            </w:r>
          </w:p>
        </w:tc>
        <w:tc>
          <w:tcPr>
            <w:tcW w:w="6920" w:type="dxa"/>
            <w:vAlign w:val="bottom"/>
          </w:tcPr>
          <w:p>
            <w:pPr>
              <w:spacing w:after="0"/>
              <w:rPr>
                <w:sz w:val="21"/>
                <w:szCs w:val="21"/>
                <w:color w:val="auto"/>
              </w:rPr>
            </w:pPr>
          </w:p>
        </w:tc>
      </w:tr>
      <w:tr>
        <w:trPr>
          <w:trHeight w:val="573"/>
        </w:trPr>
        <w:tc>
          <w:tcPr>
            <w:tcW w:w="340" w:type="dxa"/>
            <w:vAlign w:val="bottom"/>
          </w:tcPr>
          <w:p>
            <w:pPr>
              <w:spacing w:after="0"/>
              <w:rPr>
                <w:sz w:val="24"/>
                <w:szCs w:val="24"/>
                <w:color w:val="auto"/>
              </w:rPr>
            </w:pPr>
          </w:p>
        </w:tc>
        <w:tc>
          <w:tcPr>
            <w:tcW w:w="3040" w:type="dxa"/>
            <w:vAlign w:val="bottom"/>
          </w:tcPr>
          <w:p>
            <w:pPr>
              <w:ind w:left="100"/>
              <w:spacing w:after="0"/>
              <w:rPr>
                <w:sz w:val="20"/>
                <w:szCs w:val="20"/>
                <w:color w:val="auto"/>
              </w:rPr>
            </w:pPr>
            <w:r>
              <w:rPr>
                <w:rFonts w:ascii="Arial" w:cs="Arial" w:eastAsia="Arial" w:hAnsi="Arial"/>
                <w:sz w:val="20"/>
                <w:szCs w:val="20"/>
                <w:b w:val="1"/>
                <w:bCs w:val="1"/>
                <w:color w:val="auto"/>
              </w:rPr>
              <w:t>“Address”</w:t>
            </w:r>
          </w:p>
        </w:tc>
        <w:tc>
          <w:tcPr>
            <w:tcW w:w="6920" w:type="dxa"/>
            <w:vAlign w:val="bottom"/>
          </w:tcPr>
          <w:p>
            <w:pPr>
              <w:ind w:left="840"/>
              <w:spacing w:after="0"/>
              <w:rPr>
                <w:sz w:val="20"/>
                <w:szCs w:val="20"/>
                <w:color w:val="auto"/>
              </w:rPr>
            </w:pPr>
            <w:r>
              <w:rPr>
                <w:rFonts w:ascii="Arial" w:cs="Arial" w:eastAsia="Arial" w:hAnsi="Arial"/>
                <w:sz w:val="20"/>
                <w:szCs w:val="20"/>
                <w:color w:val="auto"/>
                <w:w w:val="90"/>
              </w:rPr>
              <w:t>includes, without limitation, any number or address used for the purposes of</w:t>
            </w:r>
          </w:p>
        </w:tc>
      </w:tr>
      <w:tr>
        <w:trPr>
          <w:trHeight w:val="230"/>
        </w:trPr>
        <w:tc>
          <w:tcPr>
            <w:tcW w:w="3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920" w:type="dxa"/>
            <w:vAlign w:val="bottom"/>
          </w:tcPr>
          <w:p>
            <w:pPr>
              <w:ind w:left="840"/>
              <w:spacing w:after="0"/>
              <w:rPr>
                <w:sz w:val="20"/>
                <w:szCs w:val="20"/>
                <w:color w:val="auto"/>
              </w:rPr>
            </w:pPr>
            <w:r>
              <w:rPr>
                <w:rFonts w:ascii="Arial" w:cs="Arial" w:eastAsia="Arial" w:hAnsi="Arial"/>
                <w:sz w:val="20"/>
                <w:szCs w:val="20"/>
                <w:color w:val="auto"/>
              </w:rPr>
              <w:t>communication  by  way  of  electronic  mail  or  other  electronic</w:t>
            </w:r>
          </w:p>
        </w:tc>
      </w:tr>
      <w:tr>
        <w:trPr>
          <w:trHeight w:val="250"/>
        </w:trPr>
        <w:tc>
          <w:tcPr>
            <w:tcW w:w="3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6920" w:type="dxa"/>
            <w:vAlign w:val="bottom"/>
          </w:tcPr>
          <w:p>
            <w:pPr>
              <w:ind w:left="840"/>
              <w:spacing w:after="0"/>
              <w:rPr>
                <w:sz w:val="20"/>
                <w:szCs w:val="20"/>
                <w:color w:val="auto"/>
              </w:rPr>
            </w:pPr>
            <w:r>
              <w:rPr>
                <w:rFonts w:ascii="Arial" w:cs="Arial" w:eastAsia="Arial" w:hAnsi="Arial"/>
                <w:sz w:val="20"/>
                <w:szCs w:val="20"/>
                <w:color w:val="auto"/>
              </w:rPr>
              <w:t>communication.</w:t>
            </w:r>
          </w:p>
        </w:tc>
      </w:tr>
      <w:tr>
        <w:trPr>
          <w:trHeight w:val="473"/>
        </w:trPr>
        <w:tc>
          <w:tcPr>
            <w:tcW w:w="340" w:type="dxa"/>
            <w:vAlign w:val="bottom"/>
          </w:tcPr>
          <w:p>
            <w:pPr>
              <w:spacing w:after="0"/>
              <w:rPr>
                <w:sz w:val="24"/>
                <w:szCs w:val="24"/>
                <w:color w:val="auto"/>
              </w:rPr>
            </w:pPr>
          </w:p>
        </w:tc>
        <w:tc>
          <w:tcPr>
            <w:tcW w:w="3040" w:type="dxa"/>
            <w:vAlign w:val="bottom"/>
          </w:tcPr>
          <w:p>
            <w:pPr>
              <w:ind w:left="100"/>
              <w:spacing w:after="0"/>
              <w:rPr>
                <w:sz w:val="20"/>
                <w:szCs w:val="20"/>
                <w:color w:val="auto"/>
              </w:rPr>
            </w:pPr>
            <w:r>
              <w:rPr>
                <w:rFonts w:ascii="Arial" w:cs="Arial" w:eastAsia="Arial" w:hAnsi="Arial"/>
                <w:sz w:val="20"/>
                <w:szCs w:val="20"/>
                <w:b w:val="1"/>
                <w:bCs w:val="1"/>
                <w:color w:val="auto"/>
              </w:rPr>
              <w:t>“Adoption Date”</w:t>
            </w:r>
          </w:p>
        </w:tc>
        <w:tc>
          <w:tcPr>
            <w:tcW w:w="6920" w:type="dxa"/>
            <w:vAlign w:val="bottom"/>
          </w:tcPr>
          <w:p>
            <w:pPr>
              <w:ind w:left="840"/>
              <w:spacing w:after="0"/>
              <w:rPr>
                <w:sz w:val="20"/>
                <w:szCs w:val="20"/>
                <w:color w:val="auto"/>
              </w:rPr>
            </w:pPr>
            <w:r>
              <w:rPr>
                <w:rFonts w:ascii="Arial" w:cs="Arial" w:eastAsia="Arial" w:hAnsi="Arial"/>
                <w:sz w:val="20"/>
                <w:szCs w:val="20"/>
                <w:color w:val="auto"/>
              </w:rPr>
              <w:t>means 18 January 2012.</w:t>
            </w:r>
          </w:p>
        </w:tc>
      </w:tr>
      <w:tr>
        <w:trPr>
          <w:trHeight w:val="446"/>
        </w:trPr>
        <w:tc>
          <w:tcPr>
            <w:tcW w:w="340" w:type="dxa"/>
            <w:vAlign w:val="bottom"/>
          </w:tcPr>
          <w:p>
            <w:pPr>
              <w:spacing w:after="0"/>
              <w:rPr>
                <w:sz w:val="24"/>
                <w:szCs w:val="24"/>
                <w:color w:val="auto"/>
              </w:rPr>
            </w:pPr>
          </w:p>
        </w:tc>
        <w:tc>
          <w:tcPr>
            <w:tcW w:w="3040" w:type="dxa"/>
            <w:vAlign w:val="bottom"/>
          </w:tcPr>
          <w:p>
            <w:pPr>
              <w:ind w:left="100"/>
              <w:spacing w:after="0"/>
              <w:rPr>
                <w:sz w:val="20"/>
                <w:szCs w:val="20"/>
                <w:color w:val="auto"/>
              </w:rPr>
            </w:pPr>
            <w:r>
              <w:rPr>
                <w:rFonts w:ascii="Arial" w:cs="Arial" w:eastAsia="Arial" w:hAnsi="Arial"/>
                <w:sz w:val="20"/>
                <w:szCs w:val="20"/>
                <w:b w:val="1"/>
                <w:bCs w:val="1"/>
                <w:color w:val="auto"/>
              </w:rPr>
              <w:t xml:space="preserve">“Articles” </w:t>
            </w:r>
            <w:r>
              <w:rPr>
                <w:rFonts w:ascii="Arial" w:cs="Arial" w:eastAsia="Arial" w:hAnsi="Arial"/>
                <w:sz w:val="20"/>
                <w:szCs w:val="20"/>
                <w:color w:val="auto"/>
              </w:rPr>
              <w:t>or</w:t>
            </w:r>
            <w:r>
              <w:rPr>
                <w:rFonts w:ascii="Arial" w:cs="Arial" w:eastAsia="Arial" w:hAnsi="Arial"/>
                <w:sz w:val="20"/>
                <w:szCs w:val="20"/>
                <w:b w:val="1"/>
                <w:bCs w:val="1"/>
                <w:color w:val="auto"/>
              </w:rPr>
              <w:t xml:space="preserve"> “Articles of</w:t>
            </w:r>
          </w:p>
        </w:tc>
        <w:tc>
          <w:tcPr>
            <w:tcW w:w="6920" w:type="dxa"/>
            <w:vAlign w:val="bottom"/>
          </w:tcPr>
          <w:p>
            <w:pPr>
              <w:ind w:left="840"/>
              <w:spacing w:after="0"/>
              <w:rPr>
                <w:sz w:val="20"/>
                <w:szCs w:val="20"/>
                <w:color w:val="auto"/>
              </w:rPr>
            </w:pPr>
            <w:r>
              <w:rPr>
                <w:rFonts w:ascii="Arial" w:cs="Arial" w:eastAsia="Arial" w:hAnsi="Arial"/>
                <w:sz w:val="20"/>
                <w:szCs w:val="20"/>
                <w:color w:val="auto"/>
                <w:w w:val="90"/>
              </w:rPr>
              <w:t>means these articles of association of the Company, as amended from time</w:t>
            </w:r>
          </w:p>
        </w:tc>
      </w:tr>
      <w:tr>
        <w:trPr>
          <w:trHeight w:val="256"/>
        </w:trPr>
        <w:tc>
          <w:tcPr>
            <w:tcW w:w="340" w:type="dxa"/>
            <w:vAlign w:val="bottom"/>
          </w:tcPr>
          <w:p>
            <w:pPr>
              <w:spacing w:after="0"/>
              <w:rPr>
                <w:sz w:val="22"/>
                <w:szCs w:val="22"/>
                <w:color w:val="auto"/>
              </w:rPr>
            </w:pPr>
          </w:p>
        </w:tc>
        <w:tc>
          <w:tcPr>
            <w:tcW w:w="3040" w:type="dxa"/>
            <w:vAlign w:val="bottom"/>
          </w:tcPr>
          <w:p>
            <w:pPr>
              <w:ind w:left="100"/>
              <w:spacing w:after="0"/>
              <w:rPr>
                <w:sz w:val="20"/>
                <w:szCs w:val="20"/>
                <w:color w:val="auto"/>
              </w:rPr>
            </w:pPr>
            <w:r>
              <w:rPr>
                <w:rFonts w:ascii="Arial" w:cs="Arial" w:eastAsia="Arial" w:hAnsi="Arial"/>
                <w:sz w:val="20"/>
                <w:szCs w:val="20"/>
                <w:b w:val="1"/>
                <w:bCs w:val="1"/>
                <w:color w:val="auto"/>
              </w:rPr>
              <w:t>Association”</w:t>
            </w:r>
          </w:p>
        </w:tc>
        <w:tc>
          <w:tcPr>
            <w:tcW w:w="6920" w:type="dxa"/>
            <w:vAlign w:val="bottom"/>
          </w:tcPr>
          <w:p>
            <w:pPr>
              <w:ind w:left="840"/>
              <w:spacing w:after="0"/>
              <w:rPr>
                <w:sz w:val="20"/>
                <w:szCs w:val="20"/>
                <w:color w:val="auto"/>
              </w:rPr>
            </w:pPr>
            <w:r>
              <w:rPr>
                <w:rFonts w:ascii="Arial" w:cs="Arial" w:eastAsia="Arial" w:hAnsi="Arial"/>
                <w:sz w:val="20"/>
                <w:szCs w:val="20"/>
                <w:color w:val="auto"/>
              </w:rPr>
              <w:t>to time.</w:t>
            </w:r>
          </w:p>
        </w:tc>
      </w:tr>
      <w:tr>
        <w:trPr>
          <w:trHeight w:val="452"/>
        </w:trPr>
        <w:tc>
          <w:tcPr>
            <w:tcW w:w="340" w:type="dxa"/>
            <w:vAlign w:val="bottom"/>
          </w:tcPr>
          <w:p>
            <w:pPr>
              <w:spacing w:after="0"/>
              <w:rPr>
                <w:sz w:val="24"/>
                <w:szCs w:val="24"/>
                <w:color w:val="auto"/>
              </w:rPr>
            </w:pPr>
          </w:p>
        </w:tc>
        <w:tc>
          <w:tcPr>
            <w:tcW w:w="3040" w:type="dxa"/>
            <w:vAlign w:val="bottom"/>
          </w:tcPr>
          <w:p>
            <w:pPr>
              <w:ind w:left="100"/>
              <w:spacing w:after="0"/>
              <w:rPr>
                <w:sz w:val="20"/>
                <w:szCs w:val="20"/>
                <w:color w:val="auto"/>
              </w:rPr>
            </w:pPr>
            <w:r>
              <w:rPr>
                <w:rFonts w:ascii="Arial" w:cs="Arial" w:eastAsia="Arial" w:hAnsi="Arial"/>
                <w:sz w:val="20"/>
                <w:szCs w:val="20"/>
                <w:b w:val="1"/>
                <w:bCs w:val="1"/>
                <w:color w:val="auto"/>
              </w:rPr>
              <w:t>“Assistant Secretary”</w:t>
            </w:r>
          </w:p>
        </w:tc>
        <w:tc>
          <w:tcPr>
            <w:tcW w:w="6920" w:type="dxa"/>
            <w:vAlign w:val="bottom"/>
          </w:tcPr>
          <w:p>
            <w:pPr>
              <w:ind w:left="840"/>
              <w:spacing w:after="0"/>
              <w:rPr>
                <w:sz w:val="20"/>
                <w:szCs w:val="20"/>
                <w:color w:val="auto"/>
              </w:rPr>
            </w:pPr>
            <w:r>
              <w:rPr>
                <w:rFonts w:ascii="Arial" w:cs="Arial" w:eastAsia="Arial" w:hAnsi="Arial"/>
                <w:sz w:val="20"/>
                <w:szCs w:val="20"/>
                <w:color w:val="auto"/>
                <w:w w:val="89"/>
              </w:rPr>
              <w:t>means any person appointed by the Secretary from time to time to assist the</w:t>
            </w:r>
          </w:p>
        </w:tc>
      </w:tr>
      <w:tr>
        <w:trPr>
          <w:trHeight w:val="250"/>
        </w:trPr>
        <w:tc>
          <w:tcPr>
            <w:tcW w:w="3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6920" w:type="dxa"/>
            <w:vAlign w:val="bottom"/>
          </w:tcPr>
          <w:p>
            <w:pPr>
              <w:ind w:left="840"/>
              <w:spacing w:after="0"/>
              <w:rPr>
                <w:sz w:val="20"/>
                <w:szCs w:val="20"/>
                <w:color w:val="auto"/>
              </w:rPr>
            </w:pPr>
            <w:r>
              <w:rPr>
                <w:rFonts w:ascii="Arial" w:cs="Arial" w:eastAsia="Arial" w:hAnsi="Arial"/>
                <w:sz w:val="20"/>
                <w:szCs w:val="20"/>
                <w:color w:val="auto"/>
              </w:rPr>
              <w:t>Secretary.</w:t>
            </w:r>
          </w:p>
        </w:tc>
      </w:tr>
      <w:tr>
        <w:trPr>
          <w:trHeight w:val="452"/>
        </w:trPr>
        <w:tc>
          <w:tcPr>
            <w:tcW w:w="340" w:type="dxa"/>
            <w:vAlign w:val="bottom"/>
          </w:tcPr>
          <w:p>
            <w:pPr>
              <w:spacing w:after="0"/>
              <w:rPr>
                <w:sz w:val="24"/>
                <w:szCs w:val="24"/>
                <w:color w:val="auto"/>
              </w:rPr>
            </w:pPr>
          </w:p>
        </w:tc>
        <w:tc>
          <w:tcPr>
            <w:tcW w:w="3040" w:type="dxa"/>
            <w:vAlign w:val="bottom"/>
          </w:tcPr>
          <w:p>
            <w:pPr>
              <w:ind w:left="100"/>
              <w:spacing w:after="0"/>
              <w:rPr>
                <w:sz w:val="20"/>
                <w:szCs w:val="20"/>
                <w:color w:val="auto"/>
              </w:rPr>
            </w:pPr>
            <w:r>
              <w:rPr>
                <w:rFonts w:ascii="Arial" w:cs="Arial" w:eastAsia="Arial" w:hAnsi="Arial"/>
                <w:sz w:val="20"/>
                <w:szCs w:val="20"/>
                <w:b w:val="1"/>
                <w:bCs w:val="1"/>
                <w:color w:val="auto"/>
              </w:rPr>
              <w:t>“Auditors”</w:t>
            </w:r>
          </w:p>
        </w:tc>
        <w:tc>
          <w:tcPr>
            <w:tcW w:w="6920" w:type="dxa"/>
            <w:vAlign w:val="bottom"/>
          </w:tcPr>
          <w:p>
            <w:pPr>
              <w:ind w:left="840"/>
              <w:spacing w:after="0"/>
              <w:rPr>
                <w:sz w:val="20"/>
                <w:szCs w:val="20"/>
                <w:color w:val="auto"/>
              </w:rPr>
            </w:pPr>
            <w:r>
              <w:rPr>
                <w:rFonts w:ascii="Arial" w:cs="Arial" w:eastAsia="Arial" w:hAnsi="Arial"/>
                <w:sz w:val="20"/>
                <w:szCs w:val="20"/>
                <w:color w:val="auto"/>
                <w:w w:val="96"/>
              </w:rPr>
              <w:t>means the persons for the time being performing the duties of statutory</w:t>
            </w:r>
          </w:p>
        </w:tc>
      </w:tr>
      <w:tr>
        <w:trPr>
          <w:trHeight w:val="250"/>
        </w:trPr>
        <w:tc>
          <w:tcPr>
            <w:tcW w:w="3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6920" w:type="dxa"/>
            <w:vAlign w:val="bottom"/>
          </w:tcPr>
          <w:p>
            <w:pPr>
              <w:ind w:left="840"/>
              <w:spacing w:after="0"/>
              <w:rPr>
                <w:sz w:val="20"/>
                <w:szCs w:val="20"/>
                <w:color w:val="auto"/>
              </w:rPr>
            </w:pPr>
            <w:r>
              <w:rPr>
                <w:rFonts w:ascii="Arial" w:cs="Arial" w:eastAsia="Arial" w:hAnsi="Arial"/>
                <w:sz w:val="20"/>
                <w:szCs w:val="20"/>
                <w:color w:val="auto"/>
              </w:rPr>
              <w:t>auditors of the Company.</w:t>
            </w:r>
          </w:p>
        </w:tc>
      </w:tr>
      <w:tr>
        <w:trPr>
          <w:trHeight w:val="473"/>
        </w:trPr>
        <w:tc>
          <w:tcPr>
            <w:tcW w:w="340" w:type="dxa"/>
            <w:vAlign w:val="bottom"/>
          </w:tcPr>
          <w:p>
            <w:pPr>
              <w:spacing w:after="0"/>
              <w:rPr>
                <w:sz w:val="24"/>
                <w:szCs w:val="24"/>
                <w:color w:val="auto"/>
              </w:rPr>
            </w:pPr>
          </w:p>
        </w:tc>
        <w:tc>
          <w:tcPr>
            <w:tcW w:w="3040" w:type="dxa"/>
            <w:vAlign w:val="bottom"/>
          </w:tcPr>
          <w:p>
            <w:pPr>
              <w:ind w:left="100"/>
              <w:spacing w:after="0"/>
              <w:rPr>
                <w:sz w:val="20"/>
                <w:szCs w:val="20"/>
                <w:color w:val="auto"/>
              </w:rPr>
            </w:pPr>
            <w:r>
              <w:rPr>
                <w:rFonts w:ascii="Arial" w:cs="Arial" w:eastAsia="Arial" w:hAnsi="Arial"/>
                <w:sz w:val="20"/>
                <w:szCs w:val="20"/>
                <w:b w:val="1"/>
                <w:bCs w:val="1"/>
                <w:color w:val="auto"/>
              </w:rPr>
              <w:t>“Board”</w:t>
            </w:r>
          </w:p>
        </w:tc>
        <w:tc>
          <w:tcPr>
            <w:tcW w:w="6920" w:type="dxa"/>
            <w:vAlign w:val="bottom"/>
          </w:tcPr>
          <w:p>
            <w:pPr>
              <w:ind w:left="840"/>
              <w:spacing w:after="0"/>
              <w:rPr>
                <w:sz w:val="20"/>
                <w:szCs w:val="20"/>
                <w:color w:val="auto"/>
              </w:rPr>
            </w:pPr>
            <w:r>
              <w:rPr>
                <w:rFonts w:ascii="Arial" w:cs="Arial" w:eastAsia="Arial" w:hAnsi="Arial"/>
                <w:sz w:val="20"/>
                <w:szCs w:val="20"/>
                <w:color w:val="auto"/>
              </w:rPr>
              <w:t>means the board of directors for the time being of the Company.</w:t>
            </w:r>
          </w:p>
        </w:tc>
      </w:tr>
      <w:tr>
        <w:trPr>
          <w:trHeight w:val="452"/>
        </w:trPr>
        <w:tc>
          <w:tcPr>
            <w:tcW w:w="340" w:type="dxa"/>
            <w:vAlign w:val="bottom"/>
          </w:tcPr>
          <w:p>
            <w:pPr>
              <w:spacing w:after="0"/>
              <w:rPr>
                <w:sz w:val="24"/>
                <w:szCs w:val="24"/>
                <w:color w:val="auto"/>
              </w:rPr>
            </w:pPr>
          </w:p>
        </w:tc>
        <w:tc>
          <w:tcPr>
            <w:tcW w:w="3040" w:type="dxa"/>
            <w:vAlign w:val="bottom"/>
          </w:tcPr>
          <w:p>
            <w:pPr>
              <w:ind w:left="100"/>
              <w:spacing w:after="0"/>
              <w:rPr>
                <w:sz w:val="20"/>
                <w:szCs w:val="20"/>
                <w:color w:val="auto"/>
              </w:rPr>
            </w:pPr>
            <w:r>
              <w:rPr>
                <w:rFonts w:ascii="Arial" w:cs="Arial" w:eastAsia="Arial" w:hAnsi="Arial"/>
                <w:sz w:val="20"/>
                <w:szCs w:val="20"/>
                <w:b w:val="1"/>
                <w:bCs w:val="1"/>
                <w:color w:val="auto"/>
              </w:rPr>
              <w:t>“clear days”</w:t>
            </w:r>
          </w:p>
        </w:tc>
        <w:tc>
          <w:tcPr>
            <w:tcW w:w="6920" w:type="dxa"/>
            <w:vAlign w:val="bottom"/>
          </w:tcPr>
          <w:p>
            <w:pPr>
              <w:ind w:left="840"/>
              <w:spacing w:after="0"/>
              <w:rPr>
                <w:sz w:val="20"/>
                <w:szCs w:val="20"/>
                <w:color w:val="auto"/>
              </w:rPr>
            </w:pPr>
            <w:r>
              <w:rPr>
                <w:rFonts w:ascii="Arial" w:cs="Arial" w:eastAsia="Arial" w:hAnsi="Arial"/>
                <w:sz w:val="20"/>
                <w:szCs w:val="20"/>
                <w:color w:val="auto"/>
                <w:w w:val="91"/>
              </w:rPr>
              <w:t>means, in relation to a period of notice, that period excluding the day when</w:t>
            </w:r>
          </w:p>
        </w:tc>
      </w:tr>
      <w:tr>
        <w:trPr>
          <w:trHeight w:val="230"/>
        </w:trPr>
        <w:tc>
          <w:tcPr>
            <w:tcW w:w="3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920" w:type="dxa"/>
            <w:vAlign w:val="bottom"/>
          </w:tcPr>
          <w:p>
            <w:pPr>
              <w:ind w:left="840"/>
              <w:spacing w:after="0"/>
              <w:rPr>
                <w:sz w:val="20"/>
                <w:szCs w:val="20"/>
                <w:color w:val="auto"/>
              </w:rPr>
            </w:pPr>
            <w:r>
              <w:rPr>
                <w:rFonts w:ascii="Arial" w:cs="Arial" w:eastAsia="Arial" w:hAnsi="Arial"/>
                <w:sz w:val="20"/>
                <w:szCs w:val="20"/>
                <w:color w:val="auto"/>
                <w:w w:val="90"/>
              </w:rPr>
              <w:t>the notice is given or deemed to be given and the day for which it is given or</w:t>
            </w:r>
          </w:p>
        </w:tc>
      </w:tr>
      <w:tr>
        <w:trPr>
          <w:trHeight w:val="250"/>
        </w:trPr>
        <w:tc>
          <w:tcPr>
            <w:tcW w:w="3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6920" w:type="dxa"/>
            <w:vAlign w:val="bottom"/>
          </w:tcPr>
          <w:p>
            <w:pPr>
              <w:ind w:left="840"/>
              <w:spacing w:after="0"/>
              <w:rPr>
                <w:sz w:val="20"/>
                <w:szCs w:val="20"/>
                <w:color w:val="auto"/>
              </w:rPr>
            </w:pPr>
            <w:r>
              <w:rPr>
                <w:rFonts w:ascii="Arial" w:cs="Arial" w:eastAsia="Arial" w:hAnsi="Arial"/>
                <w:sz w:val="20"/>
                <w:szCs w:val="20"/>
                <w:color w:val="auto"/>
              </w:rPr>
              <w:t>on which it is to take effect.</w:t>
            </w:r>
          </w:p>
        </w:tc>
      </w:tr>
      <w:tr>
        <w:trPr>
          <w:trHeight w:val="452"/>
        </w:trPr>
        <w:tc>
          <w:tcPr>
            <w:tcW w:w="340" w:type="dxa"/>
            <w:vAlign w:val="bottom"/>
          </w:tcPr>
          <w:p>
            <w:pPr>
              <w:spacing w:after="0"/>
              <w:rPr>
                <w:sz w:val="24"/>
                <w:szCs w:val="24"/>
                <w:color w:val="auto"/>
              </w:rPr>
            </w:pPr>
          </w:p>
        </w:tc>
        <w:tc>
          <w:tcPr>
            <w:tcW w:w="3040" w:type="dxa"/>
            <w:vAlign w:val="bottom"/>
          </w:tcPr>
          <w:p>
            <w:pPr>
              <w:ind w:left="100"/>
              <w:spacing w:after="0"/>
              <w:rPr>
                <w:sz w:val="20"/>
                <w:szCs w:val="20"/>
                <w:color w:val="auto"/>
              </w:rPr>
            </w:pPr>
            <w:r>
              <w:rPr>
                <w:rFonts w:ascii="Arial" w:cs="Arial" w:eastAsia="Arial" w:hAnsi="Arial"/>
                <w:sz w:val="20"/>
                <w:szCs w:val="20"/>
                <w:b w:val="1"/>
                <w:bCs w:val="1"/>
                <w:color w:val="auto"/>
              </w:rPr>
              <w:t>“Companies Act”</w:t>
            </w:r>
          </w:p>
        </w:tc>
        <w:tc>
          <w:tcPr>
            <w:tcW w:w="6920" w:type="dxa"/>
            <w:vAlign w:val="bottom"/>
          </w:tcPr>
          <w:p>
            <w:pPr>
              <w:ind w:left="840"/>
              <w:spacing w:after="0"/>
              <w:rPr>
                <w:sz w:val="20"/>
                <w:szCs w:val="20"/>
                <w:color w:val="auto"/>
              </w:rPr>
            </w:pPr>
            <w:r>
              <w:rPr>
                <w:rFonts w:ascii="Arial" w:cs="Arial" w:eastAsia="Arial" w:hAnsi="Arial"/>
                <w:sz w:val="20"/>
                <w:szCs w:val="20"/>
                <w:color w:val="auto"/>
                <w:w w:val="94"/>
              </w:rPr>
              <w:t>means the Companies Act 2014 and every statutory modification and re-</w:t>
            </w:r>
          </w:p>
        </w:tc>
      </w:tr>
      <w:tr>
        <w:trPr>
          <w:trHeight w:val="230"/>
        </w:trPr>
        <w:tc>
          <w:tcPr>
            <w:tcW w:w="3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920" w:type="dxa"/>
            <w:vAlign w:val="bottom"/>
          </w:tcPr>
          <w:p>
            <w:pPr>
              <w:ind w:left="840"/>
              <w:spacing w:after="0"/>
              <w:rPr>
                <w:sz w:val="20"/>
                <w:szCs w:val="20"/>
                <w:color w:val="auto"/>
              </w:rPr>
            </w:pPr>
            <w:r>
              <w:rPr>
                <w:rFonts w:ascii="Arial" w:cs="Arial" w:eastAsia="Arial" w:hAnsi="Arial"/>
                <w:sz w:val="20"/>
                <w:szCs w:val="20"/>
                <w:color w:val="auto"/>
                <w:w w:val="90"/>
              </w:rPr>
              <w:t>enactment thereof and all statutes and statutory instruments which are to be</w:t>
            </w:r>
          </w:p>
        </w:tc>
      </w:tr>
      <w:tr>
        <w:trPr>
          <w:trHeight w:val="230"/>
        </w:trPr>
        <w:tc>
          <w:tcPr>
            <w:tcW w:w="3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920" w:type="dxa"/>
            <w:vAlign w:val="bottom"/>
          </w:tcPr>
          <w:p>
            <w:pPr>
              <w:ind w:left="840"/>
              <w:spacing w:after="0"/>
              <w:rPr>
                <w:sz w:val="20"/>
                <w:szCs w:val="20"/>
                <w:color w:val="auto"/>
              </w:rPr>
            </w:pPr>
            <w:r>
              <w:rPr>
                <w:rFonts w:ascii="Arial" w:cs="Arial" w:eastAsia="Arial" w:hAnsi="Arial"/>
                <w:sz w:val="20"/>
                <w:szCs w:val="20"/>
                <w:color w:val="auto"/>
                <w:w w:val="96"/>
              </w:rPr>
              <w:t>read  as  one  with,  or  construed  or  read  together  as  one  with,  the</w:t>
            </w:r>
          </w:p>
        </w:tc>
      </w:tr>
      <w:tr>
        <w:trPr>
          <w:trHeight w:val="230"/>
        </w:trPr>
        <w:tc>
          <w:tcPr>
            <w:tcW w:w="3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920" w:type="dxa"/>
            <w:vAlign w:val="bottom"/>
          </w:tcPr>
          <w:p>
            <w:pPr>
              <w:ind w:left="840"/>
              <w:spacing w:after="0"/>
              <w:rPr>
                <w:sz w:val="20"/>
                <w:szCs w:val="20"/>
                <w:color w:val="auto"/>
              </w:rPr>
            </w:pPr>
            <w:r>
              <w:rPr>
                <w:rFonts w:ascii="Arial" w:cs="Arial" w:eastAsia="Arial" w:hAnsi="Arial"/>
                <w:sz w:val="20"/>
                <w:szCs w:val="20"/>
                <w:color w:val="auto"/>
                <w:w w:val="93"/>
              </w:rPr>
              <w:t>aforementioned  enactments  and  every  modification  and  re-enactment</w:t>
            </w:r>
          </w:p>
        </w:tc>
      </w:tr>
      <w:tr>
        <w:trPr>
          <w:trHeight w:val="250"/>
        </w:trPr>
        <w:tc>
          <w:tcPr>
            <w:tcW w:w="3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6920" w:type="dxa"/>
            <w:vAlign w:val="bottom"/>
          </w:tcPr>
          <w:p>
            <w:pPr>
              <w:ind w:left="840"/>
              <w:spacing w:after="0"/>
              <w:rPr>
                <w:sz w:val="20"/>
                <w:szCs w:val="20"/>
                <w:color w:val="auto"/>
              </w:rPr>
            </w:pPr>
            <w:r>
              <w:rPr>
                <w:rFonts w:ascii="Arial" w:cs="Arial" w:eastAsia="Arial" w:hAnsi="Arial"/>
                <w:sz w:val="20"/>
                <w:szCs w:val="20"/>
                <w:color w:val="auto"/>
              </w:rPr>
              <w:t>thereof for the time being in force.</w:t>
            </w:r>
          </w:p>
        </w:tc>
      </w:tr>
      <w:tr>
        <w:trPr>
          <w:trHeight w:val="878"/>
        </w:trPr>
        <w:tc>
          <w:tcPr>
            <w:tcW w:w="3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920" w:type="dxa"/>
            <w:vAlign w:val="bottom"/>
          </w:tcPr>
          <w:p>
            <w:pPr>
              <w:ind w:left="1620"/>
              <w:spacing w:after="0"/>
              <w:rPr>
                <w:sz w:val="20"/>
                <w:szCs w:val="20"/>
                <w:color w:val="auto"/>
              </w:rPr>
            </w:pPr>
            <w:r>
              <w:rPr>
                <w:rFonts w:ascii="Arial" w:cs="Arial" w:eastAsia="Arial" w:hAnsi="Arial"/>
                <w:sz w:val="20"/>
                <w:szCs w:val="20"/>
                <w:color w:val="auto"/>
              </w:rPr>
              <w:t>7</w:t>
            </w:r>
          </w:p>
        </w:tc>
      </w:tr>
    </w:tbl>
    <w:p>
      <w:pPr>
        <w:sectPr>
          <w:pgSz w:w="11900" w:h="16838" w:orient="portrait"/>
          <w:cols w:equalWidth="0" w:num="1">
            <w:col w:w="11420"/>
          </w:cols>
          <w:pgMar w:left="240" w:top="1264"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above-named company.</w:t>
      </w:r>
    </w:p>
    <w:p>
      <w:pPr>
        <w:spacing w:after="0" w:line="216" w:lineRule="exact"/>
        <w:rPr>
          <w:sz w:val="20"/>
          <w:szCs w:val="20"/>
          <w:color w:val="auto"/>
        </w:rPr>
      </w:pPr>
    </w:p>
    <w:p>
      <w:pPr>
        <w:sectPr>
          <w:pgSz w:w="11900" w:h="16838" w:orient="portrait"/>
          <w:cols w:equalWidth="0" w:num="2">
            <w:col w:w="3060" w:space="720"/>
            <w:col w:w="6080"/>
          </w:cols>
          <w:pgMar w:left="1340" w:top="751" w:right="699" w:bottom="1440" w:gutter="0" w:footer="0" w:header="0"/>
        </w:sectPr>
      </w:pP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“Court”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means the Irish High Court.</w:t>
      </w:r>
    </w:p>
    <w:p>
      <w:pPr>
        <w:spacing w:after="0" w:line="205" w:lineRule="exact"/>
        <w:rPr>
          <w:sz w:val="20"/>
          <w:szCs w:val="20"/>
          <w:color w:val="auto"/>
        </w:rPr>
      </w:pPr>
    </w:p>
    <w:p>
      <w:pPr>
        <w:sectPr>
          <w:pgSz w:w="11900" w:h="16838" w:orient="portrait"/>
          <w:cols w:equalWidth="0" w:num="2">
            <w:col w:w="3060" w:space="720"/>
            <w:col w:w="6080"/>
          </w:cols>
          <w:pgMar w:left="1340" w:top="751" w:right="69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means the directors for the time being of the Company.</w:t>
      </w:r>
    </w:p>
    <w:p>
      <w:pPr>
        <w:spacing w:after="0" w:line="216" w:lineRule="exact"/>
        <w:rPr>
          <w:sz w:val="20"/>
          <w:szCs w:val="20"/>
          <w:color w:val="auto"/>
        </w:rPr>
      </w:pPr>
    </w:p>
    <w:p>
      <w:pPr>
        <w:sectPr>
          <w:pgSz w:w="11900" w:h="16838" w:orient="portrait"/>
          <w:cols w:equalWidth="0" w:num="2">
            <w:col w:w="3060" w:space="720"/>
            <w:col w:w="6080"/>
          </w:cols>
          <w:pgMar w:left="1340" w:top="751" w:right="69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includes interim dividends and bonus dividends.</w:t>
      </w:r>
    </w:p>
    <w:p>
      <w:pPr>
        <w:spacing w:after="0" w:line="200" w:lineRule="exact"/>
        <w:rPr>
          <w:sz w:val="20"/>
          <w:szCs w:val="20"/>
          <w:color w:val="auto"/>
        </w:rPr>
      </w:pPr>
    </w:p>
    <w:p>
      <w:pPr>
        <w:sectPr>
          <w:pgSz w:w="11900" w:h="16838" w:orient="portrait"/>
          <w:cols w:equalWidth="0" w:num="2">
            <w:col w:w="3060" w:space="720"/>
            <w:col w:w="6080"/>
          </w:cols>
          <w:pgMar w:left="1340" w:top="751" w:right="69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communication”</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shall have the meaning given to those words in the Electronic Commerce Act 2000.</w:t>
      </w:r>
    </w:p>
    <w:p>
      <w:pPr>
        <w:spacing w:after="0" w:line="198" w:lineRule="exact"/>
        <w:rPr>
          <w:sz w:val="20"/>
          <w:szCs w:val="20"/>
          <w:color w:val="auto"/>
        </w:rPr>
      </w:pPr>
    </w:p>
    <w:p>
      <w:pPr>
        <w:sectPr>
          <w:pgSz w:w="11900" w:h="16838" w:orient="portrait"/>
          <w:cols w:equalWidth="0" w:num="2">
            <w:col w:w="3060" w:space="720"/>
            <w:col w:w="6080"/>
          </w:cols>
          <w:pgMar w:left="1340" w:top="751" w:right="6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“electronic signature”</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Arial" w:cs="Arial" w:eastAsia="Arial" w:hAnsi="Arial"/>
          <w:sz w:val="20"/>
          <w:szCs w:val="20"/>
          <w:color w:val="auto"/>
        </w:rPr>
        <w:t>shall have the meaning given to those words in the Electronic Commerce Act 2000.</w:t>
      </w:r>
    </w:p>
    <w:p>
      <w:pPr>
        <w:spacing w:after="0" w:line="198" w:lineRule="exact"/>
        <w:rPr>
          <w:sz w:val="20"/>
          <w:szCs w:val="20"/>
          <w:color w:val="auto"/>
        </w:rPr>
      </w:pPr>
    </w:p>
    <w:p>
      <w:pPr>
        <w:sectPr>
          <w:pgSz w:w="11900" w:h="16838" w:orient="portrait"/>
          <w:cols w:equalWidth="0" w:num="2">
            <w:col w:w="3060" w:space="720"/>
            <w:col w:w="6080"/>
          </w:cols>
          <w:pgMar w:left="1340" w:top="751" w:right="6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“Exchange”</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Arial" w:cs="Arial" w:eastAsia="Arial" w:hAnsi="Arial"/>
          <w:sz w:val="20"/>
          <w:szCs w:val="20"/>
          <w:color w:val="auto"/>
        </w:rPr>
        <w:t>means any securities exchange or other system on which the Shares of the Company may be listed or otherwise authorised for trading from time to time.</w:t>
      </w:r>
    </w:p>
    <w:p>
      <w:pPr>
        <w:spacing w:after="0" w:line="200" w:lineRule="exact"/>
        <w:rPr>
          <w:sz w:val="20"/>
          <w:szCs w:val="20"/>
          <w:color w:val="auto"/>
        </w:rPr>
      </w:pPr>
    </w:p>
    <w:p>
      <w:pPr>
        <w:sectPr>
          <w:pgSz w:w="11900" w:h="16838" w:orient="portrait"/>
          <w:cols w:equalWidth="0" w:num="2">
            <w:col w:w="3060" w:space="720"/>
            <w:col w:w="6080"/>
          </w:cols>
          <w:pgMar w:left="1340" w:top="751" w:right="6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Securities Exchange Act of 1934 of the United States of America.</w:t>
      </w:r>
    </w:p>
    <w:p>
      <w:pPr>
        <w:spacing w:after="0" w:line="216" w:lineRule="exact"/>
        <w:rPr>
          <w:sz w:val="20"/>
          <w:szCs w:val="20"/>
          <w:color w:val="auto"/>
        </w:rPr>
      </w:pPr>
    </w:p>
    <w:p>
      <w:pPr>
        <w:sectPr>
          <w:pgSz w:w="11900" w:h="16838" w:orient="portrait"/>
          <w:cols w:equalWidth="0" w:num="2">
            <w:col w:w="3060" w:space="720"/>
            <w:col w:w="6080"/>
          </w:cols>
          <w:pgMar w:left="1340" w:top="751" w:right="69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“IAS Regulation”</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means Regulation (EC) No. 1606/2002 of the European Parliament and of the Council of 19 July 2002 on the application of international accounting standards.</w:t>
      </w:r>
    </w:p>
    <w:p>
      <w:pPr>
        <w:spacing w:after="0" w:line="200" w:lineRule="exact"/>
        <w:rPr>
          <w:sz w:val="20"/>
          <w:szCs w:val="20"/>
          <w:color w:val="auto"/>
        </w:rPr>
      </w:pPr>
    </w:p>
    <w:p>
      <w:pPr>
        <w:sectPr>
          <w:pgSz w:w="11900" w:h="16838" w:orient="portrait"/>
          <w:cols w:equalWidth="0" w:num="2">
            <w:col w:w="3060" w:space="720"/>
            <w:col w:w="6080"/>
          </w:cols>
          <w:pgMar w:left="1340" w:top="751" w:right="6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“Member”</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Arial" w:cs="Arial" w:eastAsia="Arial" w:hAnsi="Arial"/>
          <w:sz w:val="20"/>
          <w:szCs w:val="20"/>
          <w:color w:val="auto"/>
        </w:rPr>
        <w:t>means a person who has agreed to become a member of the Company and whose name is entered in the Register of Members as a registered holder of Shares.</w:t>
      </w:r>
    </w:p>
    <w:p>
      <w:pPr>
        <w:spacing w:after="0" w:line="200" w:lineRule="exact"/>
        <w:rPr>
          <w:sz w:val="20"/>
          <w:szCs w:val="20"/>
          <w:color w:val="auto"/>
        </w:rPr>
      </w:pPr>
    </w:p>
    <w:p>
      <w:pPr>
        <w:sectPr>
          <w:pgSz w:w="11900" w:h="16838" w:orient="portrait"/>
          <w:cols w:equalWidth="0" w:num="2">
            <w:col w:w="3060" w:space="720"/>
            <w:col w:w="6080"/>
          </w:cols>
          <w:pgMar w:left="1340" w:top="751" w:right="6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Arial" w:cs="Arial" w:eastAsia="Arial" w:hAnsi="Arial"/>
          <w:sz w:val="20"/>
          <w:szCs w:val="20"/>
          <w:color w:val="auto"/>
        </w:rPr>
        <w:t>means the memorandum of association of the Company as amended from time to time.</w:t>
      </w:r>
    </w:p>
    <w:p>
      <w:pPr>
        <w:spacing w:after="0" w:line="198" w:lineRule="exact"/>
        <w:rPr>
          <w:sz w:val="20"/>
          <w:szCs w:val="20"/>
          <w:color w:val="auto"/>
        </w:rPr>
      </w:pPr>
    </w:p>
    <w:p>
      <w:pPr>
        <w:sectPr>
          <w:pgSz w:w="11900" w:h="16838" w:orient="portrait"/>
          <w:cols w:equalWidth="0" w:num="2">
            <w:col w:w="3060" w:space="720"/>
            <w:col w:w="6080"/>
          </w:cols>
          <w:pgMar w:left="1340" w:top="751" w:right="69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“Merger”</w:t>
      </w:r>
    </w:p>
    <w:p>
      <w:pPr>
        <w:spacing w:after="0" w:line="20" w:lineRule="exact"/>
        <w:rPr>
          <w:sz w:val="20"/>
          <w:szCs w:val="20"/>
          <w:color w:val="auto"/>
        </w:rPr>
      </w:pPr>
      <w:r>
        <w:rPr>
          <w:sz w:val="20"/>
          <w:szCs w:val="20"/>
          <w:color w:val="auto"/>
        </w:rPr>
        <w:br w:type="column"/>
      </w:r>
    </w:p>
    <w:p>
      <w:pPr>
        <w:jc w:val="both"/>
        <w:spacing w:after="0" w:line="246" w:lineRule="auto"/>
        <w:rPr>
          <w:sz w:val="20"/>
          <w:szCs w:val="20"/>
          <w:color w:val="auto"/>
        </w:rPr>
      </w:pPr>
      <w:r>
        <w:rPr>
          <w:rFonts w:ascii="Arial" w:cs="Arial" w:eastAsia="Arial" w:hAnsi="Arial"/>
          <w:sz w:val="20"/>
          <w:szCs w:val="20"/>
          <w:color w:val="auto"/>
        </w:rPr>
        <w:t>means the merger of Jaguar Merger Sub Inc. with and into Jazz Pharmaceuticals Inc. consummated on the Adoption Date and as a result of which Jazz Pharmaceuticals Inc. became the surviving entity and a wholly-owned subsidiary of the Company.</w:t>
      </w:r>
    </w:p>
    <w:p>
      <w:pPr>
        <w:spacing w:after="0" w:line="200" w:lineRule="exact"/>
        <w:rPr>
          <w:sz w:val="20"/>
          <w:szCs w:val="20"/>
          <w:color w:val="auto"/>
        </w:rPr>
      </w:pPr>
    </w:p>
    <w:p>
      <w:pPr>
        <w:sectPr>
          <w:pgSz w:w="11900" w:h="16838" w:orient="portrait"/>
          <w:cols w:equalWidth="0" w:num="2">
            <w:col w:w="3060" w:space="720"/>
            <w:col w:w="6080"/>
          </w:cols>
          <w:pgMar w:left="1340" w:top="751" w:right="69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calendar month.</w:t>
      </w:r>
    </w:p>
    <w:p>
      <w:pPr>
        <w:spacing w:after="0" w:line="216" w:lineRule="exact"/>
        <w:rPr>
          <w:sz w:val="20"/>
          <w:szCs w:val="20"/>
          <w:color w:val="auto"/>
        </w:rPr>
      </w:pPr>
    </w:p>
    <w:p>
      <w:pPr>
        <w:sectPr>
          <w:pgSz w:w="11900" w:h="16838" w:orient="portrait"/>
          <w:cols w:equalWidth="0" w:num="2">
            <w:col w:w="3060" w:space="720"/>
            <w:col w:w="6080"/>
          </w:cols>
          <w:pgMar w:left="1340" w:top="751" w:right="69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Resolution”</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means an ordinary resolution of the Company’s Members within the meaning of the Companies Act.</w:t>
      </w:r>
    </w:p>
    <w:p>
      <w:pPr>
        <w:spacing w:after="0" w:line="198" w:lineRule="exact"/>
        <w:rPr>
          <w:sz w:val="20"/>
          <w:szCs w:val="20"/>
          <w:color w:val="auto"/>
        </w:rPr>
      </w:pPr>
    </w:p>
    <w:p>
      <w:pPr>
        <w:sectPr>
          <w:pgSz w:w="11900" w:h="16838" w:orient="portrait"/>
          <w:cols w:equalWidth="0" w:num="2">
            <w:col w:w="3060" w:space="720"/>
            <w:col w:w="6080"/>
          </w:cols>
          <w:pgMar w:left="1340" w:top="751" w:right="6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“paid-up”</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Arial" w:cs="Arial" w:eastAsia="Arial" w:hAnsi="Arial"/>
          <w:sz w:val="20"/>
          <w:szCs w:val="20"/>
          <w:color w:val="auto"/>
        </w:rPr>
        <w:t>means paid-up as to the nominal value and any premium payable in respect of the issue of any Shares and includes credited as paid-up.</w:t>
      </w:r>
    </w:p>
    <w:p>
      <w:pPr>
        <w:spacing w:after="0" w:line="200" w:lineRule="exact"/>
        <w:rPr>
          <w:sz w:val="20"/>
          <w:szCs w:val="20"/>
          <w:color w:val="auto"/>
        </w:rPr>
      </w:pPr>
    </w:p>
    <w:p>
      <w:pPr>
        <w:sectPr>
          <w:pgSz w:w="11900" w:h="16838" w:orient="portrait"/>
          <w:cols w:equalWidth="0" w:num="2">
            <w:col w:w="3060" w:space="720"/>
            <w:col w:w="6080"/>
          </w:cols>
          <w:pgMar w:left="1340" w:top="751" w:right="69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860"/>
          </w:cols>
          <w:pgMar w:left="1340" w:top="751" w:right="699" w:bottom="1440" w:gutter="0" w:footer="0" w:header="0"/>
          <w:type w:val="continuous"/>
        </w:sectPr>
      </w:pPr>
    </w:p>
    <w:bookmarkStart w:id="105" w:name="page106"/>
    <w:bookmarkEnd w:id="105"/>
    <w:p>
      <w:pPr>
        <w:ind w:left="440"/>
        <w:spacing w:after="0"/>
        <w:rPr>
          <w:sz w:val="20"/>
          <w:szCs w:val="20"/>
          <w:color w:val="auto"/>
        </w:rPr>
      </w:pPr>
      <w:r>
        <w:rPr>
          <w:rFonts w:ascii="Arial" w:cs="Arial" w:eastAsia="Arial" w:hAnsi="Arial"/>
          <w:sz w:val="16"/>
          <w:szCs w:val="16"/>
          <w:b w:val="1"/>
          <w:bCs w:val="1"/>
          <w:color w:val="auto"/>
        </w:rPr>
        <w:t>“person”</w:t>
      </w:r>
    </w:p>
    <w:p>
      <w:pPr>
        <w:spacing w:after="0" w:line="20" w:lineRule="exact"/>
        <w:rPr>
          <w:sz w:val="20"/>
          <w:szCs w:val="20"/>
          <w:color w:val="auto"/>
        </w:rPr>
      </w:pPr>
      <w:r>
        <w:rPr>
          <w:sz w:val="20"/>
          <w:szCs w:val="20"/>
          <w:color w:val="auto"/>
        </w:rPr>
        <w:br w:type="column"/>
      </w:r>
    </w:p>
    <w:p>
      <w:pPr>
        <w:jc w:val="both"/>
        <w:ind w:right="460"/>
        <w:spacing w:after="0" w:line="246" w:lineRule="auto"/>
        <w:rPr>
          <w:sz w:val="20"/>
          <w:szCs w:val="20"/>
          <w:color w:val="auto"/>
        </w:rPr>
      </w:pPr>
      <w:r>
        <w:rPr>
          <w:rFonts w:ascii="Arial" w:cs="Arial" w:eastAsia="Arial" w:hAnsi="Arial"/>
          <w:sz w:val="20"/>
          <w:szCs w:val="20"/>
          <w:color w:val="auto"/>
        </w:rPr>
        <w:t>includes natural persons, corporations, partnerships, limited liability companies, joint ventures, associations, companies, trusts, government or state bodies, agencies of a state or other organisations, whether or not legal entities.</w:t>
      </w:r>
    </w:p>
    <w:p>
      <w:pPr>
        <w:spacing w:after="0" w:line="200" w:lineRule="exact"/>
        <w:rPr>
          <w:sz w:val="20"/>
          <w:szCs w:val="20"/>
          <w:color w:val="auto"/>
        </w:rPr>
      </w:pPr>
    </w:p>
    <w:p>
      <w:pPr>
        <w:sectPr>
          <w:pgSz w:w="11900" w:h="16838" w:orient="portrait"/>
          <w:cols w:equalWidth="0" w:num="2">
            <w:col w:w="3500" w:space="720"/>
            <w:col w:w="6540"/>
          </w:cols>
          <w:pgMar w:left="900" w:top="751" w:right="239" w:bottom="1440" w:gutter="0" w:footer="0" w:header="0"/>
        </w:sectPr>
      </w:pPr>
    </w:p>
    <w:p>
      <w:pPr>
        <w:spacing w:after="0" w:line="1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“Redeemable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redeemable shares in accordance with the Companies Act.</w:t>
      </w:r>
    </w:p>
    <w:p>
      <w:pPr>
        <w:spacing w:after="0" w:line="200" w:lineRule="exact"/>
        <w:rPr>
          <w:sz w:val="20"/>
          <w:szCs w:val="20"/>
          <w:color w:val="auto"/>
        </w:rPr>
      </w:pPr>
    </w:p>
    <w:p>
      <w:pPr>
        <w:sectPr>
          <w:pgSz w:w="11900" w:h="16838" w:orient="portrait"/>
          <w:cols w:equalWidth="0" w:num="2">
            <w:col w:w="3500" w:space="720"/>
            <w:col w:w="6540"/>
          </w:cols>
          <w:pgMar w:left="900" w:top="751" w:right="239" w:bottom="1440" w:gutter="0" w:footer="0" w:header="0"/>
          <w:type w:val="continuous"/>
        </w:sectPr>
      </w:pP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“Register of Members”</w:t>
      </w:r>
    </w:p>
    <w:p>
      <w:pPr>
        <w:spacing w:after="0" w:line="4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 xml:space="preserve">or </w:t>
      </w:r>
      <w:r>
        <w:rPr>
          <w:rFonts w:ascii="Arial" w:cs="Arial" w:eastAsia="Arial" w:hAnsi="Arial"/>
          <w:sz w:val="20"/>
          <w:szCs w:val="20"/>
          <w:b w:val="1"/>
          <w:bCs w:val="1"/>
          <w:color w:val="auto"/>
        </w:rPr>
        <w:t>“Register”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ind w:right="460"/>
        <w:spacing w:after="0" w:line="291" w:lineRule="auto"/>
        <w:rPr>
          <w:sz w:val="20"/>
          <w:szCs w:val="20"/>
          <w:color w:val="auto"/>
        </w:rPr>
      </w:pPr>
      <w:r>
        <w:rPr>
          <w:rFonts w:ascii="Arial" w:cs="Arial" w:eastAsia="Arial" w:hAnsi="Arial"/>
          <w:sz w:val="18"/>
          <w:szCs w:val="18"/>
          <w:color w:val="auto"/>
        </w:rPr>
        <w:t>means the register of Members of the Company maintained by or on behalf of the Company, in accordance with the Companies Act and includes (except where otherwise stated) any duplicate Register of Members.</w:t>
      </w:r>
    </w:p>
    <w:p>
      <w:pPr>
        <w:spacing w:after="0" w:line="173" w:lineRule="exact"/>
        <w:rPr>
          <w:sz w:val="20"/>
          <w:szCs w:val="20"/>
          <w:color w:val="auto"/>
        </w:rPr>
      </w:pPr>
    </w:p>
    <w:p>
      <w:pPr>
        <w:sectPr>
          <w:pgSz w:w="11900" w:h="16838" w:orient="portrait"/>
          <w:cols w:equalWidth="0" w:num="2">
            <w:col w:w="3500" w:space="720"/>
            <w:col w:w="6540"/>
          </w:cols>
          <w:pgMar w:left="900" w:top="751" w:right="23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registered office for the time being of the Company.</w:t>
      </w:r>
    </w:p>
    <w:p>
      <w:pPr>
        <w:spacing w:after="0" w:line="200" w:lineRule="exact"/>
        <w:rPr>
          <w:sz w:val="20"/>
          <w:szCs w:val="20"/>
          <w:color w:val="auto"/>
        </w:rPr>
      </w:pPr>
    </w:p>
    <w:p>
      <w:pPr>
        <w:sectPr>
          <w:pgSz w:w="11900" w:h="16838" w:orient="portrait"/>
          <w:cols w:equalWidth="0" w:num="2">
            <w:col w:w="3500" w:space="720"/>
            <w:col w:w="6540"/>
          </w:cols>
          <w:pgMar w:left="900" w:top="751" w:right="239" w:bottom="1440" w:gutter="0" w:footer="0" w:header="0"/>
          <w:type w:val="continuous"/>
        </w:sectPr>
      </w:pP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“Seal”</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means the seal of the Company, if any, and includes every duplicate seal.</w:t>
      </w:r>
    </w:p>
    <w:p>
      <w:pPr>
        <w:spacing w:after="0" w:line="216" w:lineRule="exact"/>
        <w:rPr>
          <w:sz w:val="20"/>
          <w:szCs w:val="20"/>
          <w:color w:val="auto"/>
        </w:rPr>
      </w:pPr>
    </w:p>
    <w:p>
      <w:pPr>
        <w:sectPr>
          <w:pgSz w:w="11900" w:h="16838" w:orient="portrait"/>
          <w:cols w:equalWidth="0" w:num="2">
            <w:col w:w="3500" w:space="720"/>
            <w:col w:w="6540"/>
          </w:cols>
          <w:pgMar w:left="900" w:top="751" w:right="239" w:bottom="1440" w:gutter="0" w:footer="0" w:header="0"/>
          <w:type w:val="continuous"/>
        </w:sectPr>
      </w:pP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“Secretary”</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both"/>
        <w:ind w:right="460"/>
        <w:spacing w:after="0" w:line="246" w:lineRule="auto"/>
        <w:rPr>
          <w:sz w:val="20"/>
          <w:szCs w:val="20"/>
          <w:color w:val="auto"/>
        </w:rPr>
      </w:pPr>
      <w:r>
        <w:rPr>
          <w:rFonts w:ascii="Arial" w:cs="Arial" w:eastAsia="Arial" w:hAnsi="Arial"/>
          <w:sz w:val="20"/>
          <w:szCs w:val="20"/>
          <w:color w:val="auto"/>
        </w:rPr>
        <w:t>means the person appointed by the Board to perform any or all of the duties of secretary of the Company and includes an Assistant Secretary and any person appointed by the Board to perform the duties of secretary of the Company.</w:t>
      </w:r>
    </w:p>
    <w:p>
      <w:pPr>
        <w:spacing w:after="0" w:line="200" w:lineRule="exact"/>
        <w:rPr>
          <w:sz w:val="20"/>
          <w:szCs w:val="20"/>
          <w:color w:val="auto"/>
        </w:rPr>
      </w:pPr>
    </w:p>
    <w:p>
      <w:pPr>
        <w:sectPr>
          <w:pgSz w:w="11900" w:h="16838" w:orient="portrait"/>
          <w:cols w:equalWidth="0" w:num="2">
            <w:col w:w="3500" w:space="720"/>
            <w:col w:w="6540"/>
          </w:cols>
          <w:pgMar w:left="900" w:top="751" w:right="239" w:bottom="1440" w:gutter="0" w:footer="0" w:header="0"/>
          <w:type w:val="continuous"/>
        </w:sectPr>
      </w:pPr>
    </w:p>
    <w:p>
      <w:pPr>
        <w:spacing w:after="0" w:line="1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16"/>
          <w:szCs w:val="16"/>
          <w:color w:val="auto"/>
        </w:rPr>
        <w:t>and</w:t>
      </w:r>
      <w:r>
        <w:rPr>
          <w:rFonts w:ascii="Arial" w:cs="Arial" w:eastAsia="Arial" w:hAnsi="Arial"/>
          <w:sz w:val="16"/>
          <w:szCs w:val="16"/>
          <w:b w:val="1"/>
          <w:bCs w:val="1"/>
          <w:color w:val="auto"/>
        </w:rPr>
        <w:t xml:space="preserve">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share or shares in the capital of the Company.</w:t>
      </w:r>
    </w:p>
    <w:p>
      <w:pPr>
        <w:spacing w:after="0" w:line="200" w:lineRule="exact"/>
        <w:rPr>
          <w:sz w:val="20"/>
          <w:szCs w:val="20"/>
          <w:color w:val="auto"/>
        </w:rPr>
      </w:pPr>
    </w:p>
    <w:p>
      <w:pPr>
        <w:sectPr>
          <w:pgSz w:w="11900" w:h="16838" w:orient="portrait"/>
          <w:cols w:equalWidth="0" w:num="2">
            <w:col w:w="3500" w:space="720"/>
            <w:col w:w="6540"/>
          </w:cols>
          <w:pgMar w:left="900" w:top="751" w:right="239" w:bottom="1440" w:gutter="0" w:footer="0" w:header="0"/>
          <w:type w:val="continuous"/>
        </w:sectPr>
      </w:pPr>
    </w:p>
    <w:p>
      <w:pPr>
        <w:spacing w:after="0" w:line="8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“Special Resolution”</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means a special resolution of the Company’s Members within the meaning of the Companies Act.</w:t>
      </w:r>
    </w:p>
    <w:p>
      <w:pPr>
        <w:spacing w:after="0" w:line="200" w:lineRule="exact"/>
        <w:rPr>
          <w:sz w:val="20"/>
          <w:szCs w:val="20"/>
          <w:color w:val="auto"/>
        </w:rPr>
      </w:pPr>
    </w:p>
    <w:p>
      <w:pPr>
        <w:sectPr>
          <w:pgSz w:w="11900" w:h="16838" w:orient="portrait"/>
          <w:cols w:equalWidth="0" w:num="2">
            <w:col w:w="3500" w:space="720"/>
            <w:col w:w="6540"/>
          </w:cols>
          <w:pgMar w:left="900" w:top="751" w:right="239" w:bottom="1440" w:gutter="0" w:footer="0" w:header="0"/>
          <w:type w:val="continuous"/>
        </w:sectPr>
      </w:pP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In the Articles:</w:t>
      </w:r>
    </w:p>
    <w:p>
      <w:pPr>
        <w:spacing w:after="0" w:line="189" w:lineRule="exact"/>
        <w:rPr>
          <w:sz w:val="20"/>
          <w:szCs w:val="20"/>
          <w:color w:val="auto"/>
        </w:rPr>
      </w:pPr>
    </w:p>
    <w:p>
      <w:pPr>
        <w:ind w:left="1300" w:hanging="655"/>
        <w:spacing w:after="0"/>
        <w:tabs>
          <w:tab w:leader="none" w:pos="1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words importing the singular number include the plural number and vice-versa;</w:t>
      </w:r>
    </w:p>
    <w:p>
      <w:pPr>
        <w:spacing w:after="0" w:line="188" w:lineRule="exact"/>
        <w:rPr>
          <w:rFonts w:ascii="Arial" w:cs="Arial" w:eastAsia="Arial" w:hAnsi="Arial"/>
          <w:sz w:val="20"/>
          <w:szCs w:val="20"/>
          <w:color w:val="auto"/>
        </w:rPr>
      </w:pPr>
    </w:p>
    <w:p>
      <w:pPr>
        <w:ind w:left="1300" w:hanging="655"/>
        <w:spacing w:after="0"/>
        <w:tabs>
          <w:tab w:leader="none" w:pos="1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words importing the feminine gender include the masculine gender;</w:t>
      </w:r>
    </w:p>
    <w:p>
      <w:pPr>
        <w:spacing w:after="0" w:line="188" w:lineRule="exact"/>
        <w:rPr>
          <w:rFonts w:ascii="Arial" w:cs="Arial" w:eastAsia="Arial" w:hAnsi="Arial"/>
          <w:sz w:val="20"/>
          <w:szCs w:val="20"/>
          <w:color w:val="auto"/>
        </w:rPr>
      </w:pPr>
    </w:p>
    <w:p>
      <w:pPr>
        <w:ind w:left="1300" w:hanging="655"/>
        <w:spacing w:after="0" w:line="260" w:lineRule="auto"/>
        <w:tabs>
          <w:tab w:leader="none" w:pos="1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“written” and “in writing” include all modes of representing or reproducing words in visible form, including electronic communication;</w:t>
      </w:r>
    </w:p>
    <w:p>
      <w:pPr>
        <w:spacing w:after="0" w:line="149" w:lineRule="exact"/>
        <w:rPr>
          <w:rFonts w:ascii="Arial" w:cs="Arial" w:eastAsia="Arial" w:hAnsi="Arial"/>
          <w:sz w:val="20"/>
          <w:szCs w:val="20"/>
          <w:color w:val="auto"/>
        </w:rPr>
      </w:pPr>
    </w:p>
    <w:p>
      <w:pPr>
        <w:ind w:left="1300" w:hanging="655"/>
        <w:spacing w:after="0" w:line="260" w:lineRule="auto"/>
        <w:tabs>
          <w:tab w:leader="none" w:pos="1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references to a company include any body corporate or other legal entity, whether incorporated or established in Ireland or elsewhere;</w:t>
      </w:r>
    </w:p>
    <w:p>
      <w:pPr>
        <w:spacing w:after="0" w:line="149" w:lineRule="exact"/>
        <w:rPr>
          <w:rFonts w:ascii="Arial" w:cs="Arial" w:eastAsia="Arial" w:hAnsi="Arial"/>
          <w:sz w:val="20"/>
          <w:szCs w:val="20"/>
          <w:color w:val="auto"/>
        </w:rPr>
      </w:pPr>
    </w:p>
    <w:p>
      <w:pPr>
        <w:ind w:left="1300" w:right="20" w:hanging="655"/>
        <w:spacing w:after="0" w:line="260" w:lineRule="auto"/>
        <w:tabs>
          <w:tab w:leader="none" w:pos="13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references to provisions of any law or regulation shall be construed as references to those provisions as amended, modified, re-enacted or replaced from time to time;</w:t>
      </w:r>
    </w:p>
    <w:p>
      <w:pPr>
        <w:spacing w:after="0" w:line="393"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760"/>
          </w:cols>
          <w:pgMar w:left="900" w:top="751" w:right="239" w:bottom="1440" w:gutter="0" w:footer="0" w:header="0"/>
          <w:type w:val="continuous"/>
        </w:sectPr>
      </w:pPr>
    </w:p>
    <w:bookmarkStart w:id="106" w:name="page107"/>
    <w:bookmarkEnd w:id="106"/>
    <w:p>
      <w:pPr>
        <w:ind w:left="1960" w:hanging="655"/>
        <w:spacing w:after="0" w:line="260" w:lineRule="auto"/>
        <w:tabs>
          <w:tab w:leader="none" w:pos="19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any phrase introduced by the terms “including”, “include”, “in particular” or any similar expression shall be construed as illustrative and shall not limit the sense of the words preceding those terms;</w:t>
      </w:r>
    </w:p>
    <w:p>
      <w:pPr>
        <w:spacing w:after="0" w:line="149" w:lineRule="exact"/>
        <w:rPr>
          <w:rFonts w:ascii="Arial" w:cs="Arial" w:eastAsia="Arial" w:hAnsi="Arial"/>
          <w:sz w:val="20"/>
          <w:szCs w:val="20"/>
          <w:color w:val="auto"/>
        </w:rPr>
      </w:pPr>
    </w:p>
    <w:p>
      <w:pPr>
        <w:jc w:val="both"/>
        <w:ind w:left="1960" w:hanging="655"/>
        <w:spacing w:after="0" w:line="246" w:lineRule="auto"/>
        <w:tabs>
          <w:tab w:leader="none" w:pos="19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reference to “officer” or “officers” in these Articles means any executive that has been designated by the Company as an “officer” and, for the avoidance of doubt, shall not have the meaning given to such term in the Companies Act and any such officers shall not, by reason of such designation alone, constitute officers of the Company within the meaning of the Companies Act;</w:t>
      </w:r>
    </w:p>
    <w:p>
      <w:pPr>
        <w:spacing w:after="0" w:line="164" w:lineRule="exact"/>
        <w:rPr>
          <w:rFonts w:ascii="Arial" w:cs="Arial" w:eastAsia="Arial" w:hAnsi="Arial"/>
          <w:sz w:val="20"/>
          <w:szCs w:val="20"/>
          <w:color w:val="auto"/>
        </w:rPr>
      </w:pPr>
    </w:p>
    <w:p>
      <w:pPr>
        <w:ind w:left="1960" w:hanging="655"/>
        <w:spacing w:after="0"/>
        <w:tabs>
          <w:tab w:leader="none" w:pos="19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headings are inserted for reference only and shall be ignored in construing these Articles; and</w:t>
      </w:r>
    </w:p>
    <w:p>
      <w:pPr>
        <w:spacing w:after="0" w:line="188" w:lineRule="exact"/>
        <w:rPr>
          <w:rFonts w:ascii="Arial" w:cs="Arial" w:eastAsia="Arial" w:hAnsi="Arial"/>
          <w:sz w:val="20"/>
          <w:szCs w:val="20"/>
          <w:color w:val="auto"/>
        </w:rPr>
      </w:pPr>
    </w:p>
    <w:p>
      <w:pPr>
        <w:ind w:left="1960" w:right="20" w:hanging="655"/>
        <w:spacing w:after="0" w:line="260" w:lineRule="auto"/>
        <w:tabs>
          <w:tab w:leader="none" w:pos="19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references to US$, USD, $ or dollars shall mean United States dollars, the lawful currency of the United States of America and references to €, euro, or EUR shall mean the euro, the lawful currency of Ireland.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 CAPITAL; ISSUE OF SHARES</w:t>
      </w:r>
    </w:p>
    <w:p>
      <w:pPr>
        <w:spacing w:after="0" w:line="195" w:lineRule="exact"/>
        <w:rPr>
          <w:sz w:val="20"/>
          <w:szCs w:val="20"/>
          <w:color w:val="auto"/>
        </w:rPr>
      </w:pPr>
    </w:p>
    <w:p>
      <w:pPr>
        <w:ind w:left="660" w:right="20" w:hanging="652"/>
        <w:spacing w:after="0" w:line="260" w:lineRule="auto"/>
        <w:tabs>
          <w:tab w:leader="none" w:pos="6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authorised share capital of the Company is €40,000 and US$30,000 divided into 4,000,000 euro deferred shares of €0.01 each and 300,000,000 ordinary shares of US$0.0001 each.</w:t>
      </w:r>
    </w:p>
    <w:p>
      <w:pPr>
        <w:spacing w:after="0" w:line="149" w:lineRule="exact"/>
        <w:rPr>
          <w:rFonts w:ascii="Arial" w:cs="Arial" w:eastAsia="Arial" w:hAnsi="Arial"/>
          <w:sz w:val="20"/>
          <w:szCs w:val="20"/>
          <w:color w:val="auto"/>
        </w:rPr>
      </w:pPr>
    </w:p>
    <w:p>
      <w:pPr>
        <w:jc w:val="both"/>
        <w:ind w:left="660" w:hanging="652"/>
        <w:spacing w:after="0" w:line="243" w:lineRule="auto"/>
        <w:tabs>
          <w:tab w:leader="none" w:pos="6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Subject to the provisions of these Articles relating to new Shares, the Shares shall be at the disposal of the Directors, and they may (subject to the provisions of the Companies Act) allot, grant options over or otherwise dispose of them to such persons, on such terms and conditions and at such times as they may consider to be in the best interests of the Company and its Members, but so that no Share shall be issued at a discount save in accordance with the Companies Act, and so that, in the case of Shares offered to the public for subscription, the amount payable on application on each Share shall not be less than one-quarter of the nominal amount of the Share and the whole of any premium thereon.</w:t>
      </w:r>
    </w:p>
    <w:p>
      <w:pPr>
        <w:spacing w:after="0" w:line="169" w:lineRule="exact"/>
        <w:rPr>
          <w:rFonts w:ascii="Arial" w:cs="Arial" w:eastAsia="Arial" w:hAnsi="Arial"/>
          <w:sz w:val="20"/>
          <w:szCs w:val="20"/>
          <w:color w:val="auto"/>
        </w:rPr>
      </w:pPr>
    </w:p>
    <w:p>
      <w:pPr>
        <w:jc w:val="both"/>
        <w:ind w:left="660" w:hanging="652"/>
        <w:spacing w:after="0" w:line="282"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Subject to any requirement to obtain the approval of Members under any laws, regulations or the rules of any Exchange, the Board is authorised, from time to time, in its discretion, to grant such persons, for such periods and upon such terms as the Board deems advisable, options to purchase or subscribe for any number of Shares of any class or classes or of any series of any class as the Board may deem advisable, and to cause warrants or other appropriate instruments evidencing such options to be issued.</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189" w:lineRule="exact"/>
        <w:rPr>
          <w:sz w:val="20"/>
          <w:szCs w:val="20"/>
          <w:color w:val="auto"/>
        </w:rPr>
      </w:pPr>
    </w:p>
    <w:p>
      <w:pPr>
        <w:jc w:val="both"/>
        <w:ind w:left="1300" w:hanging="647"/>
        <w:spacing w:after="0" w:line="244" w:lineRule="auto"/>
        <w:tabs>
          <w:tab w:leader="none" w:pos="128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color w:val="auto"/>
        </w:rPr>
        <w:t>The Directors are, for the purposes of the Companies Act, generally and unconditionally authorised to exercise all powers of the Company to allot and issue relevant securities (as defined by section 1021 of the Companies Act) up to the amount of the Company’s authorised share capital as at the Adoption Date and to allot and issue any Shares purchased or redeemed by or on behalf of the Company pursuant to the provisions of the Companies Act and held as treasury shares and this authority will expire five years from the Adoption Date.</w:t>
      </w:r>
    </w:p>
    <w:p>
      <w:pPr>
        <w:spacing w:after="0" w:line="168" w:lineRule="exact"/>
        <w:rPr>
          <w:sz w:val="20"/>
          <w:szCs w:val="20"/>
          <w:color w:val="auto"/>
        </w:rPr>
      </w:pPr>
    </w:p>
    <w:p>
      <w:pPr>
        <w:jc w:val="both"/>
        <w:ind w:left="1300" w:hanging="647"/>
        <w:spacing w:after="0" w:line="244" w:lineRule="auto"/>
        <w:tabs>
          <w:tab w:leader="none" w:pos="128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color w:val="auto"/>
        </w:rPr>
        <w:t>The Directors are hereby empowered pursuant to section 1023 of the Companies Act to allot equity securities within the meaning of the said section 1023 for cash pursuant to the authority conferred by Article 6.1 as if section 1022(1) of the Companies Act did not apply to any such allotment. The Company may before the expiry of such authority make an offer or agreement which would or might require equity securities to be allotted after such expiry and the Directors may allot equity securities in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595" w:right="239" w:bottom="1440" w:gutter="0" w:footer="0" w:header="0"/>
        </w:sectPr>
      </w:pPr>
    </w:p>
    <w:bookmarkStart w:id="107" w:name="page108"/>
    <w:bookmarkEnd w:id="107"/>
    <w:p>
      <w:pPr>
        <w:ind w:left="1300"/>
        <w:spacing w:after="0"/>
        <w:rPr>
          <w:sz w:val="20"/>
          <w:szCs w:val="20"/>
          <w:color w:val="auto"/>
        </w:rPr>
      </w:pPr>
      <w:r>
        <w:rPr>
          <w:rFonts w:ascii="Arial" w:cs="Arial" w:eastAsia="Arial" w:hAnsi="Arial"/>
          <w:sz w:val="20"/>
          <w:szCs w:val="20"/>
          <w:color w:val="auto"/>
        </w:rPr>
        <w:t>pursuance of such an offer or agreement as if the power conferred by Article 6.1 had not expired.</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6"/>
          <w:szCs w:val="16"/>
          <w:color w:val="auto"/>
        </w:rPr>
        <w:t>The Company may issue such bearer instruments as are permitted by the Companies Act.</w:t>
      </w:r>
    </w:p>
    <w:p>
      <w:pPr>
        <w:spacing w:after="0" w:line="189" w:lineRule="exact"/>
        <w:rPr>
          <w:sz w:val="20"/>
          <w:szCs w:val="20"/>
          <w:color w:val="auto"/>
        </w:rPr>
      </w:pPr>
    </w:p>
    <w:p>
      <w:pPr>
        <w:jc w:val="both"/>
        <w:ind w:left="660" w:hanging="652"/>
        <w:spacing w:after="0" w:line="269" w:lineRule="auto"/>
        <w:tabs>
          <w:tab w:leader="none" w:pos="660" w:val="left"/>
        </w:tabs>
        <w:numPr>
          <w:ilvl w:val="0"/>
          <w:numId w:val="53"/>
        </w:numPr>
        <w:rPr>
          <w:rFonts w:ascii="Arial" w:cs="Arial" w:eastAsia="Arial" w:hAnsi="Arial"/>
          <w:sz w:val="19"/>
          <w:szCs w:val="19"/>
          <w:color w:val="auto"/>
        </w:rPr>
      </w:pPr>
      <w:r>
        <w:rPr>
          <w:rFonts w:ascii="Arial" w:cs="Arial" w:eastAsia="Arial" w:hAnsi="Arial"/>
          <w:sz w:val="19"/>
          <w:szCs w:val="19"/>
          <w:color w:val="auto"/>
        </w:rPr>
        <w:t>Without prejudice to any special rights previously conferred on the holders of any existing Shares or class of Shares, any Share in the Company may be issued with such preferred or deferred or other special rights or such restrictions, whether in regard to dividend, voting, return of capital or otherwise, as the Company may from time to time by Ordinary Resolution determine.</w:t>
      </w:r>
    </w:p>
    <w:p>
      <w:pPr>
        <w:spacing w:after="0" w:line="143" w:lineRule="exact"/>
        <w:rPr>
          <w:rFonts w:ascii="Arial" w:cs="Arial" w:eastAsia="Arial" w:hAnsi="Arial"/>
          <w:sz w:val="19"/>
          <w:szCs w:val="19"/>
          <w:color w:val="auto"/>
        </w:rPr>
      </w:pPr>
    </w:p>
    <w:p>
      <w:pPr>
        <w:jc w:val="both"/>
        <w:ind w:left="660" w:hanging="652"/>
        <w:spacing w:after="0" w:line="278"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may pay commission to any person in consideration of any person subscribing or agreeing to subscribe, whether absolutely or conditionally, for the shares in the Company or procuring or agreeing to procure subscriptions, whether absolute or conditional, for any shares in the Company on such terms and, subject to the provisions of the Companies Act and to such conditions as the Directors may determine, including, without limitation, by paying cash or allotting and issuing fully or partly paid shares or any combination of the two. The Company may also on any issue of Shares pay such brokerage as may be lawful.</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ORDINARY SHARES</w:t>
      </w:r>
    </w:p>
    <w:p>
      <w:pPr>
        <w:spacing w:after="0" w:line="195"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holder of an ordinary share shall be:</w:t>
      </w:r>
    </w:p>
    <w:p>
      <w:pPr>
        <w:spacing w:after="0" w:line="188"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9.1</w:t>
      </w:r>
      <w:r>
        <w:rPr>
          <w:rFonts w:ascii="Arial" w:cs="Arial" w:eastAsia="Arial" w:hAnsi="Arial"/>
          <w:sz w:val="18"/>
          <w:szCs w:val="18"/>
          <w:color w:val="auto"/>
        </w:rPr>
        <w:t xml:space="preserve">entitled to dividends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in accordance with the relevant provisions of these Articles;</w:t>
      </w:r>
    </w:p>
    <w:p>
      <w:pPr>
        <w:spacing w:after="0" w:line="188"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9.2</w:t>
      </w:r>
      <w:r>
        <w:rPr>
          <w:rFonts w:ascii="Arial" w:cs="Arial" w:eastAsia="Arial" w:hAnsi="Arial"/>
          <w:sz w:val="18"/>
          <w:szCs w:val="18"/>
          <w:color w:val="auto"/>
        </w:rPr>
        <w:t xml:space="preserve">entitled to participate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the total assets of the Company in the event of the Company’s winding up; and</w:t>
      </w:r>
    </w:p>
    <w:p>
      <w:pPr>
        <w:spacing w:after="0" w:line="188" w:lineRule="exact"/>
        <w:rPr>
          <w:rFonts w:ascii="Arial" w:cs="Arial" w:eastAsia="Arial" w:hAnsi="Arial"/>
          <w:sz w:val="20"/>
          <w:szCs w:val="20"/>
          <w:color w:val="auto"/>
        </w:rPr>
      </w:pPr>
    </w:p>
    <w:p>
      <w:pPr>
        <w:ind w:left="1300" w:hanging="648"/>
        <w:spacing w:after="0" w:line="246" w:lineRule="auto"/>
        <w:rPr>
          <w:rFonts w:ascii="Arial" w:cs="Arial" w:eastAsia="Arial" w:hAnsi="Arial"/>
          <w:sz w:val="20"/>
          <w:szCs w:val="20"/>
          <w:color w:val="auto"/>
        </w:rPr>
      </w:pPr>
      <w:r>
        <w:rPr>
          <w:rFonts w:ascii="Arial" w:cs="Arial" w:eastAsia="Arial" w:hAnsi="Arial"/>
          <w:sz w:val="20"/>
          <w:szCs w:val="20"/>
          <w:color w:val="auto"/>
        </w:rPr>
        <w:t>9.3entitled, subject to the right of the Company to set record dates for the purpose of determining the identity of Members entitled to notice of and/or vote at a general meeting, to attend general meetings of the Company and shall be entitled to one vote for each Ordinary Share registered in her name in the Register of Members, both in accordance with the relevant provisions of these Articles.</w:t>
      </w:r>
    </w:p>
    <w:p>
      <w:pPr>
        <w:spacing w:after="0" w:line="164" w:lineRule="exact"/>
        <w:rPr>
          <w:rFonts w:ascii="Arial" w:cs="Arial" w:eastAsia="Arial" w:hAnsi="Arial"/>
          <w:sz w:val="20"/>
          <w:szCs w:val="20"/>
          <w:color w:val="auto"/>
        </w:rPr>
      </w:pPr>
    </w:p>
    <w:p>
      <w:pPr>
        <w:jc w:val="both"/>
        <w:ind w:left="660" w:hanging="652"/>
        <w:spacing w:after="0" w:line="243" w:lineRule="auto"/>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Unless the Board specifically elects to treat such acquisition as a purchase for the purposes of the Companies Act, an ordinary share shall be deemed to be a Redeemable Share on, and from the time of, the existence or creation of an agreement, transaction or trade between the Company (including any agent or broker acting on behalf of the Company) and any third party pursuant to which the Company acquires or will acquire ordinary shares, or an interest in ordinary shares, from the relevant third party. In these circumstances, the acquisition of such shares by the Company shall constitute the redemption of a Redeemable Share in accordance with the Companies Act.</w:t>
      </w:r>
    </w:p>
    <w:p>
      <w:pPr>
        <w:spacing w:after="0" w:line="169" w:lineRule="exact"/>
        <w:rPr>
          <w:rFonts w:ascii="Arial" w:cs="Arial" w:eastAsia="Arial" w:hAnsi="Arial"/>
          <w:sz w:val="20"/>
          <w:szCs w:val="20"/>
          <w:color w:val="auto"/>
        </w:rPr>
      </w:pPr>
    </w:p>
    <w:p>
      <w:pPr>
        <w:ind w:left="660" w:hanging="652"/>
        <w:spacing w:after="0"/>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All ordinary shares shall rank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each other in all respects.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MERGER</w:t>
      </w:r>
    </w:p>
    <w:p>
      <w:pPr>
        <w:spacing w:after="0" w:line="195" w:lineRule="exact"/>
        <w:rPr>
          <w:sz w:val="20"/>
          <w:szCs w:val="20"/>
          <w:color w:val="auto"/>
        </w:rPr>
      </w:pPr>
    </w:p>
    <w:p>
      <w:pPr>
        <w:jc w:val="both"/>
        <w:ind w:left="660" w:hanging="652"/>
        <w:spacing w:after="0" w:line="244"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Pursuant to the terms of the Merger, ordinary shares in the share capital of the Company equal in number to the number of shares of common stock of Jazz Pharmaceuticals Inc. held immediately prior to the Merger becoming effective (the “</w:t>
      </w:r>
      <w:r>
        <w:rPr>
          <w:rFonts w:ascii="Arial" w:cs="Arial" w:eastAsia="Arial" w:hAnsi="Arial"/>
          <w:sz w:val="20"/>
          <w:szCs w:val="20"/>
          <w:b w:val="1"/>
          <w:bCs w:val="1"/>
          <w:color w:val="auto"/>
        </w:rPr>
        <w:t>Effective Time</w:t>
      </w:r>
      <w:r>
        <w:rPr>
          <w:rFonts w:ascii="Arial" w:cs="Arial" w:eastAsia="Arial" w:hAnsi="Arial"/>
          <w:sz w:val="20"/>
          <w:szCs w:val="20"/>
          <w:color w:val="auto"/>
        </w:rPr>
        <w:t>”), were allotted and issued by the Company to an exchange agent (the “</w:t>
      </w:r>
      <w:r>
        <w:rPr>
          <w:rFonts w:ascii="Arial" w:cs="Arial" w:eastAsia="Arial" w:hAnsi="Arial"/>
          <w:sz w:val="20"/>
          <w:szCs w:val="20"/>
          <w:b w:val="1"/>
          <w:bCs w:val="1"/>
          <w:color w:val="auto"/>
        </w:rPr>
        <w:t>Exchange Agent</w:t>
      </w:r>
      <w:r>
        <w:rPr>
          <w:rFonts w:ascii="Arial" w:cs="Arial" w:eastAsia="Arial" w:hAnsi="Arial"/>
          <w:sz w:val="20"/>
          <w:szCs w:val="20"/>
          <w:color w:val="auto"/>
        </w:rPr>
        <w:t>”) who held such ordinary shares on trust for the holders of shares of common stock of Jazz Pharmaceuticals Inc. (the “</w:t>
      </w:r>
      <w:r>
        <w:rPr>
          <w:rFonts w:ascii="Arial" w:cs="Arial" w:eastAsia="Arial" w:hAnsi="Arial"/>
          <w:sz w:val="20"/>
          <w:szCs w:val="20"/>
          <w:b w:val="1"/>
          <w:bCs w:val="1"/>
          <w:color w:val="auto"/>
        </w:rPr>
        <w:t>Holders</w:t>
      </w:r>
      <w:r>
        <w:rPr>
          <w:rFonts w:ascii="Arial" w:cs="Arial" w:eastAsia="Arial" w:hAnsi="Arial"/>
          <w:sz w:val="20"/>
          <w:szCs w:val="20"/>
          <w:color w:val="auto"/>
        </w:rPr>
        <w:t>”) (the “</w:t>
      </w:r>
      <w:r>
        <w:rPr>
          <w:rFonts w:ascii="Arial" w:cs="Arial" w:eastAsia="Arial" w:hAnsi="Arial"/>
          <w:sz w:val="20"/>
          <w:szCs w:val="20"/>
          <w:b w:val="1"/>
          <w:bCs w:val="1"/>
          <w:color w:val="auto"/>
        </w:rPr>
        <w:t>Merger Consideration</w:t>
      </w:r>
      <w:r>
        <w:rPr>
          <w:rFonts w:ascii="Arial" w:cs="Arial" w:eastAsia="Arial" w:hAnsi="Arial"/>
          <w:sz w:val="20"/>
          <w:szCs w:val="20"/>
          <w:color w:val="auto"/>
        </w:rPr>
        <w:t>”). As soon as was reasonably practicable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595" w:right="239" w:bottom="1440" w:gutter="0" w:footer="0" w:header="0"/>
        </w:sectPr>
      </w:pPr>
    </w:p>
    <w:bookmarkStart w:id="108" w:name="page109"/>
    <w:bookmarkEnd w:id="108"/>
    <w:p>
      <w:pPr>
        <w:jc w:val="both"/>
        <w:ind w:left="660"/>
        <w:spacing w:after="0" w:line="268" w:lineRule="auto"/>
        <w:rPr>
          <w:sz w:val="20"/>
          <w:szCs w:val="20"/>
          <w:color w:val="auto"/>
        </w:rPr>
      </w:pPr>
      <w:r>
        <w:rPr>
          <w:rFonts w:ascii="Arial" w:cs="Arial" w:eastAsia="Arial" w:hAnsi="Arial"/>
          <w:sz w:val="18"/>
          <w:szCs w:val="18"/>
          <w:color w:val="auto"/>
        </w:rPr>
        <w:t>after the Effective Time, the Exchange Agent mailed to each holder of record of a certificate or certificates which immediately prior to the Effective Time represented outstanding shares of common stock of Jazz Pharmaceuticals Inc. (the “</w:t>
      </w:r>
      <w:r>
        <w:rPr>
          <w:rFonts w:ascii="Arial" w:cs="Arial" w:eastAsia="Arial" w:hAnsi="Arial"/>
          <w:sz w:val="18"/>
          <w:szCs w:val="18"/>
          <w:b w:val="1"/>
          <w:bCs w:val="1"/>
          <w:color w:val="auto"/>
        </w:rPr>
        <w:t>Jazz Certificates</w:t>
      </w:r>
      <w:r>
        <w:rPr>
          <w:rFonts w:ascii="Arial" w:cs="Arial" w:eastAsia="Arial" w:hAnsi="Arial"/>
          <w:sz w:val="18"/>
          <w:szCs w:val="18"/>
          <w:color w:val="auto"/>
        </w:rPr>
        <w:t>”) and each holder of record of a non-certificated outstanding share of the common stock of Jazz Pharmaceuticals Inc. represented by book entry (“</w:t>
      </w:r>
      <w:r>
        <w:rPr>
          <w:rFonts w:ascii="Arial" w:cs="Arial" w:eastAsia="Arial" w:hAnsi="Arial"/>
          <w:sz w:val="18"/>
          <w:szCs w:val="18"/>
          <w:b w:val="1"/>
          <w:bCs w:val="1"/>
          <w:color w:val="auto"/>
        </w:rPr>
        <w:t>Jazz Book Entry Shares</w:t>
      </w:r>
      <w:r>
        <w:rPr>
          <w:rFonts w:ascii="Arial" w:cs="Arial" w:eastAsia="Arial" w:hAnsi="Arial"/>
          <w:sz w:val="18"/>
          <w:szCs w:val="18"/>
          <w:color w:val="auto"/>
        </w:rPr>
        <w:t>”), which at the Effective Time were converted into the right to receive the Merger Consideration: (i) a letter of transmittal (which specified that delivery would be effected, and that risk of loss and title to the Jazz Certificates and Jazz Book Entry Shares would pass only upon delivery of the Jazz Certificates or Jazz Book Entry Shares (as applicable) to the Exchange Agent, and (ii) instructions for use in effecting the surrender of the Jazz Certificates and Jazz Book Entry Shares in exchange for ordinary shares in the Company. Upon surrender of Jazz Certificates and / or Jazz Book Entry Shares (as applicable) for cancellation to the Exchange Agent, together with such letter of transmittal, duly completed and validly executed in accordance with the instructions thereto, and such other documents as may have been reasonably required by the Exchange Agent (the “</w:t>
      </w:r>
      <w:r>
        <w:rPr>
          <w:rFonts w:ascii="Arial" w:cs="Arial" w:eastAsia="Arial" w:hAnsi="Arial"/>
          <w:sz w:val="18"/>
          <w:szCs w:val="18"/>
          <w:b w:val="1"/>
          <w:bCs w:val="1"/>
          <w:color w:val="auto"/>
        </w:rPr>
        <w:t>Exchange Agent Documents</w:t>
      </w:r>
      <w:r>
        <w:rPr>
          <w:rFonts w:ascii="Arial" w:cs="Arial" w:eastAsia="Arial" w:hAnsi="Arial"/>
          <w:sz w:val="18"/>
          <w:szCs w:val="18"/>
          <w:color w:val="auto"/>
        </w:rPr>
        <w:t>”), the holder of such Jazz Certificates or Jazz Book Entry Shares (as applicable) was entitled to receive in exchange therefor that number of ordinary shares in the Company (after taking into account all Jazz Certificates or Jazz Book Entry Shares (as applicable) surrendered by such holder) to which such holder was entitled (which may have been in uncertificated form). In the event of a transfer of ownership of shares of Jazz Common Stock which was not registered in the transfer records of Jazz, the proper number of ordinary shares in the Company could be transferred to a person other than the person in whose name the Jazz Certificate or Jazz Book Entry Shares (as applicable) so surrendered was registered, if such Jazz Certificate or Jazz Book Entry Shares (as applicable) were properly endorsed or otherwise were in proper form for transfer and the person requesting such transfer paid any transfer or other taxes required by reason of the issuance of ordinary shares in the Company to a person other than the registered holder of such Jazz Certificate or Jazz Book Entry Shares (as applicable) or established to the reasonable satisfaction of the Exchange Agent that such Tax had been paid or was not applicable. Insofar as such Exchange Agent Documents were not deposited with the Exchange Agent prior to the first anniversary of the date on which Effective Time occurred (the “</w:t>
      </w:r>
      <w:r>
        <w:rPr>
          <w:rFonts w:ascii="Arial" w:cs="Arial" w:eastAsia="Arial" w:hAnsi="Arial"/>
          <w:sz w:val="18"/>
          <w:szCs w:val="18"/>
          <w:b w:val="1"/>
          <w:bCs w:val="1"/>
          <w:color w:val="auto"/>
        </w:rPr>
        <w:t>First Anniversary</w:t>
      </w:r>
      <w:r>
        <w:rPr>
          <w:rFonts w:ascii="Arial" w:cs="Arial" w:eastAsia="Arial" w:hAnsi="Arial"/>
          <w:sz w:val="18"/>
          <w:szCs w:val="18"/>
          <w:color w:val="auto"/>
        </w:rPr>
        <w:t>”), the Exchange Agent sold all such shares on the market (with no obligation to obtain the best possible price) and transferred the proceeds of such sale to the Company which held such proceeds in an account, which did not need to be interest bearing, in trust for those Holders who did not by the First Anniversary deposit the Exchange Agent Documents. If and when such Exchange Agent Documents are deposited with the Secretary of the Company following the First Anniversary, the Company shall arrange for a payment to be made to the relevant Holder equal to the number of ordinary shares in the share capital of the Company sold by the Exchange Agent representing the number of shares of common stock of Jazz Pharmaceuticals Inc. evidenced as being owned by him in the Exchange Agent Documents so deposited.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EURO DEFERRED SHARES</w:t>
      </w:r>
    </w:p>
    <w:p>
      <w:pPr>
        <w:spacing w:after="0" w:line="195" w:lineRule="exact"/>
        <w:rPr>
          <w:sz w:val="20"/>
          <w:szCs w:val="20"/>
          <w:color w:val="auto"/>
        </w:rPr>
      </w:pPr>
    </w:p>
    <w:p>
      <w:pPr>
        <w:jc w:val="both"/>
        <w:ind w:left="660" w:hanging="652"/>
        <w:spacing w:after="0" w:line="27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holders of the euro deferred shares shall not be entitled to receive any dividend or distribution and shall not be entitled to receive notice of, nor to attend, speak or vote at any general meeting of the Company. On a return of assets, whether on liquidation or otherwise, the euro deferred shares shall entitle the holder thereof only to the repayment of the amounts paid up on such shares after repayment of the capital paid up on the ordinary shares plus the payment of $5,000,000 on each of the ordinary shares and the holders of the euro deferred shares (as such) shall not be entitled to any further participation in the assets or profits of the Company.</w:t>
      </w:r>
    </w:p>
    <w:p>
      <w:pPr>
        <w:spacing w:after="0" w:line="138" w:lineRule="exact"/>
        <w:rPr>
          <w:rFonts w:ascii="Arial" w:cs="Arial" w:eastAsia="Arial" w:hAnsi="Arial"/>
          <w:sz w:val="18"/>
          <w:szCs w:val="18"/>
          <w:color w:val="auto"/>
        </w:rPr>
      </w:pPr>
    </w:p>
    <w:p>
      <w:pPr>
        <w:ind w:left="660" w:hanging="652"/>
        <w:spacing w:after="0" w:line="260" w:lineRule="auto"/>
        <w:tabs>
          <w:tab w:leader="none" w:pos="6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Special Resolution passed on 3 January 2012 adopting these Articles as of the Adoption Date shall be deemed to confer irrevocable authority on the Company at any time after the Adoption Date: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595" w:right="239" w:bottom="1440" w:gutter="0" w:footer="0" w:header="0"/>
        </w:sectPr>
      </w:pPr>
    </w:p>
    <w:bookmarkStart w:id="109" w:name="page110"/>
    <w:bookmarkEnd w:id="109"/>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14.1</w:t>
        <w:tab/>
        <w:t>to acquire all or any of the fully paid euro deferred shares otherwise than for valuable consideration in accordance with the Companies Act and without obtaining the sanction of the holders thereof;</w:t>
      </w:r>
    </w:p>
    <w:p>
      <w:pPr>
        <w:spacing w:after="0" w:line="150"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14.2</w:t>
        <w:tab/>
        <w:t>to appoint any person to execute on behalf of the holders of the euro deferred shares remaining in issue (if any) a transfer thereof and/or an agreement to transfer the same otherwise than for valuable consideration to the Company or to such other person as the Company may nominate;</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6"/>
          <w:szCs w:val="16"/>
          <w:color w:val="auto"/>
        </w:rPr>
        <w:t>to cancel any acquired euro deferred shares; and</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6"/>
          <w:szCs w:val="16"/>
          <w:color w:val="auto"/>
        </w:rPr>
        <w:t>pending such acquisition and/or transfer and/or cancellation to retain the certificate (if any) for such euro deferred shares.</w:t>
      </w:r>
    </w:p>
    <w:p>
      <w:pPr>
        <w:spacing w:after="0" w:line="189" w:lineRule="exact"/>
        <w:rPr>
          <w:sz w:val="20"/>
          <w:szCs w:val="20"/>
          <w:color w:val="auto"/>
        </w:rPr>
      </w:pPr>
    </w:p>
    <w:p>
      <w:pPr>
        <w:jc w:val="both"/>
        <w:ind w:left="660" w:hanging="652"/>
        <w:spacing w:after="0" w:line="246" w:lineRule="auto"/>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Company shall, not later than three years after any acquisition by it of any euro deferred shares as aforesaid, cancel such shares (except those which, or any interest of the Company in which, it shall have previously disposed of) and reduce the amount of the share capital by the nominal value of the shares so cancelled and the Directors may take such steps as are requisite to enable the Company to carry out its obligations in this respect.</w:t>
      </w:r>
    </w:p>
    <w:p>
      <w:pPr>
        <w:spacing w:after="0" w:line="164" w:lineRule="exact"/>
        <w:rPr>
          <w:rFonts w:ascii="Arial" w:cs="Arial" w:eastAsia="Arial" w:hAnsi="Arial"/>
          <w:sz w:val="20"/>
          <w:szCs w:val="20"/>
          <w:color w:val="auto"/>
        </w:rPr>
      </w:pPr>
    </w:p>
    <w:p>
      <w:pPr>
        <w:jc w:val="both"/>
        <w:ind w:left="660" w:hanging="652"/>
        <w:spacing w:after="0" w:line="243" w:lineRule="auto"/>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Neither the acquisition by the Company otherwise than for valuable consideration of all or any of the euro deferred shares nor the redemption thereof nor the cancellation thereof by the Company in accordance with this Article shall constitute a variation or abrogation of the rights or privileges attached to the euro deferred shares, and accordingly the euro deferred shares or any of them may be so acquired, redeemed and cancelled without any such consent or sanction on the part of the holders thereof. The rights conferred upon the holders of the euro deferred shares shall not be deemed to be varied or abrogated by the creation of further shares ranking in priority thereto or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therewith.</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ISSUE OF WARRANTS</w:t>
      </w:r>
    </w:p>
    <w:p>
      <w:pPr>
        <w:spacing w:after="0" w:line="195" w:lineRule="exact"/>
        <w:rPr>
          <w:sz w:val="20"/>
          <w:szCs w:val="20"/>
          <w:color w:val="auto"/>
        </w:rPr>
      </w:pPr>
    </w:p>
    <w:p>
      <w:pPr>
        <w:ind w:left="660" w:hanging="652"/>
        <w:spacing w:after="0" w:line="260" w:lineRule="auto"/>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Board may issue warrants to subscribe for any class of Shares or other securities of the Company on such terms as it may from time to time determine.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CERTIFICATES FOR SHARES</w:t>
      </w:r>
    </w:p>
    <w:p>
      <w:pPr>
        <w:spacing w:after="0" w:line="195" w:lineRule="exact"/>
        <w:rPr>
          <w:sz w:val="20"/>
          <w:szCs w:val="20"/>
          <w:color w:val="auto"/>
        </w:rPr>
      </w:pPr>
    </w:p>
    <w:p>
      <w:pPr>
        <w:jc w:val="both"/>
        <w:ind w:left="660" w:hanging="652"/>
        <w:spacing w:after="0" w:line="246" w:lineRule="auto"/>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Unless otherwise provided for by the Board or the rights attaching to or by the terms of issue of any particular Shares, or to the extent required by any Exchange, depository, or any operator of any clearance or settlement system, no person whose name is entered as a Member in the Register of Members shall be entitled to receive a share certificate for all Shares of each class held by her (nor on transferring a part of holding, to a certificate for the balance).</w:t>
      </w:r>
    </w:p>
    <w:p>
      <w:pPr>
        <w:spacing w:after="0" w:line="164" w:lineRule="exact"/>
        <w:rPr>
          <w:rFonts w:ascii="Arial" w:cs="Arial" w:eastAsia="Arial" w:hAnsi="Arial"/>
          <w:sz w:val="20"/>
          <w:szCs w:val="20"/>
          <w:color w:val="auto"/>
        </w:rPr>
      </w:pPr>
    </w:p>
    <w:p>
      <w:pPr>
        <w:jc w:val="both"/>
        <w:ind w:left="660" w:hanging="652"/>
        <w:spacing w:after="0" w:line="256" w:lineRule="auto"/>
        <w:tabs>
          <w:tab w:leader="none" w:pos="66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share certificate, if issued, shall specify the number of Shares in respect of which it is issued and the amount paid thereon or the fact that they are fully paid, as the case may be, and may otherwise be in such form as shall be determined by the Board. Such certificates may be under Seal. All certificates for Shares shall be consecutively numbered or otherwise identified and shall specify the Shares to which they relate. The name and address of the person to whom the Shares represented thereby are issued, with the number of Shares and date of issue, shall be entered in the Register of Members of the Company. All certificates surrendered to the Company for transfer shall be cancelled and no new certificate shall be issued until the former certificate for a like number of Shares shall have been surrendered and cancelled. The Board may authorise certificates to be issued with the Seal and authorised signature(s) affixed by some method or system of mechanical process. In respect of a Share or Shares held jointly by several persons, the Company shall not be bound to issue a certificate or certificates 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595" w:right="239" w:bottom="1440" w:gutter="0" w:footer="0" w:header="0"/>
        </w:sectPr>
      </w:pPr>
    </w:p>
    <w:bookmarkStart w:id="110" w:name="page111"/>
    <w:bookmarkEnd w:id="110"/>
    <w:p>
      <w:pPr>
        <w:ind w:left="660"/>
        <w:spacing w:after="0" w:line="260" w:lineRule="auto"/>
        <w:rPr>
          <w:sz w:val="20"/>
          <w:szCs w:val="20"/>
          <w:color w:val="auto"/>
        </w:rPr>
      </w:pPr>
      <w:r>
        <w:rPr>
          <w:rFonts w:ascii="Arial" w:cs="Arial" w:eastAsia="Arial" w:hAnsi="Arial"/>
          <w:sz w:val="20"/>
          <w:szCs w:val="20"/>
          <w:color w:val="auto"/>
        </w:rPr>
        <w:t>each such person, and the issue and delivery of a certificate or certificates to one of several joint holders shall be sufficient delivery to all such holders.</w:t>
      </w:r>
    </w:p>
    <w:p>
      <w:pPr>
        <w:spacing w:after="0" w:line="150" w:lineRule="exact"/>
        <w:rPr>
          <w:sz w:val="20"/>
          <w:szCs w:val="20"/>
          <w:color w:val="auto"/>
        </w:rPr>
      </w:pPr>
    </w:p>
    <w:p>
      <w:pPr>
        <w:jc w:val="both"/>
        <w:ind w:left="660" w:right="20" w:hanging="652"/>
        <w:spacing w:after="0" w:line="250" w:lineRule="auto"/>
        <w:tabs>
          <w:tab w:leader="none" w:pos="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If a share certificate is defaced, worn out, lost or destroyed, it may be renewed on such terms (if any) as to evidence and indemnity and on the payment of such expenses reasonably incurred by the Company in investigating such evidence, as the Board may prescribe, and, in the case of defacement or wearing out, upon delivery of the old certificate.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REGISTER OF MEMBERS</w:t>
      </w:r>
    </w:p>
    <w:p>
      <w:pPr>
        <w:spacing w:after="0" w:line="195"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Company shall maintain or cause to be maintained a Register of its Members in accordance with the Companies Act.</w:t>
      </w:r>
    </w:p>
    <w:p>
      <w:pPr>
        <w:spacing w:after="0" w:line="188"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If the Board considers it necessary or appropriate, the Company may establish and maintain a duplicate Register or Registers of Members at such location or locations within or outside Ireland as the Board thinks fit. The original Register of Members shall be treated as the Register of Members for the purposes of these Articles and the Companies Act.</w:t>
      </w:r>
    </w:p>
    <w:p>
      <w:pPr>
        <w:spacing w:after="0" w:line="159" w:lineRule="exact"/>
        <w:rPr>
          <w:rFonts w:ascii="Arial" w:cs="Arial" w:eastAsia="Arial" w:hAnsi="Arial"/>
          <w:sz w:val="20"/>
          <w:szCs w:val="20"/>
          <w:color w:val="auto"/>
        </w:rPr>
      </w:pPr>
    </w:p>
    <w:p>
      <w:pPr>
        <w:jc w:val="both"/>
        <w:ind w:left="660" w:hanging="652"/>
        <w:spacing w:after="0" w:line="244" w:lineRule="auto"/>
        <w:tabs>
          <w:tab w:leader="none" w:pos="6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Company, or any agent(s) appointed by it to maintain the duplicate Register of Members in accordance with these Articles, shall as soon as practicable and on a regular basis record or procure the recording in the original Register of Members all transfers of Shares effected on any duplicate Register of Members and shall at all times maintain the original Register of Members in such manner as to show at all times the Members for the time being and the Shares respectively held by them, in all respects in accordance with the Companies Act.</w:t>
      </w:r>
    </w:p>
    <w:p>
      <w:pPr>
        <w:spacing w:after="0" w:line="167" w:lineRule="exact"/>
        <w:rPr>
          <w:rFonts w:ascii="Arial" w:cs="Arial" w:eastAsia="Arial" w:hAnsi="Arial"/>
          <w:sz w:val="20"/>
          <w:szCs w:val="20"/>
          <w:color w:val="auto"/>
        </w:rPr>
      </w:pPr>
    </w:p>
    <w:p>
      <w:pPr>
        <w:jc w:val="both"/>
        <w:ind w:left="660" w:hanging="652"/>
        <w:spacing w:after="0" w:line="291"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shall not be bound to register more than four persons as joint holders of any Share. If any Share shall stand in the names of two or more persons, the person first named in the Register of Members shall be deemed the sole holder thereof as regards service of notices and, subject to the provisions of these Articles, all or any other matters connected with the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TRANSFER OF SHARES</w:t>
      </w:r>
    </w:p>
    <w:p>
      <w:pPr>
        <w:spacing w:after="0" w:line="195" w:lineRule="exact"/>
        <w:rPr>
          <w:sz w:val="20"/>
          <w:szCs w:val="20"/>
          <w:color w:val="auto"/>
        </w:rPr>
      </w:pPr>
    </w:p>
    <w:p>
      <w:pPr>
        <w:jc w:val="both"/>
        <w:ind w:left="660" w:right="20" w:hanging="652"/>
        <w:spacing w:after="0" w:line="250" w:lineRule="auto"/>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All transfers of Shares shall be effected by an instrument of transfer in such form as the Board may approve. All instruments of transfer must be left at the registered office or at such other place as the Board may appoint and all such instruments of transfer shall be retained by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189"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20"/>
          <w:szCs w:val="20"/>
          <w:color w:val="auto"/>
        </w:rPr>
        <w:t>26.1</w:t>
      </w:r>
      <w:r>
        <w:rPr>
          <w:sz w:val="20"/>
          <w:szCs w:val="20"/>
          <w:color w:val="auto"/>
        </w:rPr>
        <w:tab/>
      </w:r>
      <w:r>
        <w:rPr>
          <w:rFonts w:ascii="Arial" w:cs="Arial" w:eastAsia="Arial" w:hAnsi="Arial"/>
          <w:sz w:val="19"/>
          <w:szCs w:val="19"/>
          <w:color w:val="auto"/>
        </w:rPr>
        <w:t>The instrument of transfer shall be executed by or on behalf of the transferor. The instrument of transfer of any Share shall be in writing and shall be executed with a manual signature or facsimile signature (which may be machine imprinted or otherwise) by or on behalf of the transferor provided that in the case of execution by facsimile signature by or on behalf of a transferor, the Board shall have previously been provided with a list of specimen signatures of the authorised signatories of such transferor and the Board shall be reasonably satisfied that such facsimile signature corresponds to one of those specimen signatures. The instrument of transfer need not be signed by the transferee.</w:t>
      </w:r>
    </w:p>
    <w:p>
      <w:pPr>
        <w:spacing w:after="0" w:line="15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Arial" w:cs="Arial" w:eastAsia="Arial" w:hAnsi="Arial"/>
          <w:sz w:val="20"/>
          <w:szCs w:val="20"/>
          <w:color w:val="auto"/>
        </w:rPr>
        <w:t>26.2</w:t>
      </w:r>
      <w:r>
        <w:rPr>
          <w:sz w:val="20"/>
          <w:szCs w:val="20"/>
          <w:color w:val="auto"/>
        </w:rPr>
        <w:tab/>
      </w:r>
      <w:r>
        <w:rPr>
          <w:rFonts w:ascii="Arial" w:cs="Arial" w:eastAsia="Arial" w:hAnsi="Arial"/>
          <w:sz w:val="18"/>
          <w:szCs w:val="18"/>
          <w:color w:val="auto"/>
        </w:rPr>
        <w:t>The instrument of transfer of any Share may be executed for and on behalf of the transferor by any Director, the Secretary, Assistant Secretary or any duly authorised delegate or attorney of the Secretary or Assistant Secretary (whether an individual, a corporation or other body of persons, whether corporate or not, and whether in respect of specific transfers or pursuant to a general standing authorisation) and the Director, Secretary, Assistant Secretary or any duly authorised delegate shall be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595" w:right="239" w:bottom="1440" w:gutter="0" w:footer="0" w:header="0"/>
        </w:sectPr>
      </w:pPr>
    </w:p>
    <w:bookmarkStart w:id="111" w:name="page112"/>
    <w:bookmarkEnd w:id="111"/>
    <w:p>
      <w:pPr>
        <w:jc w:val="both"/>
        <w:ind w:left="1300"/>
        <w:spacing w:after="0" w:line="272" w:lineRule="auto"/>
        <w:rPr>
          <w:sz w:val="20"/>
          <w:szCs w:val="20"/>
          <w:color w:val="auto"/>
        </w:rPr>
      </w:pPr>
      <w:r>
        <w:rPr>
          <w:rFonts w:ascii="Arial" w:cs="Arial" w:eastAsia="Arial" w:hAnsi="Arial"/>
          <w:sz w:val="18"/>
          <w:szCs w:val="18"/>
          <w:color w:val="auto"/>
        </w:rPr>
        <w:t>deemed to have been irrevocably appointed agent for the transferor of such Share or Shares with full power to execute, complete and deliver in the name of and on behalf of the transferor of such Share or Shares all such transfers of Shares held by the Members in the share capital of the Company. Any document which records the name of the transferor, the name of the transferee, the class and number of Shares agreed to be transferred and the date of the agreement to transfer Shares, shall, once executed by the transferor or any Director or the Secretary or Assistant Secretary or relevant authorised delegate as agent for the transferor, be deemed to be a proper instrument of transfer for the purposes of the Companies Act. The transferor shall be deemed to remain the holder of the Share until the name of the transferee is entered on the Register in respect thereof, and neither the title of the transferee nor the title of the transferor shall be affected by any irregularity or invalidity in the proceedings in reference to the sale should the Directors so determine.</w:t>
      </w:r>
    </w:p>
    <w:p>
      <w:pPr>
        <w:spacing w:after="0" w:line="144"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20"/>
          <w:szCs w:val="20"/>
          <w:color w:val="auto"/>
        </w:rPr>
        <w:t>26.3</w:t>
      </w:r>
      <w:r>
        <w:rPr>
          <w:sz w:val="20"/>
          <w:szCs w:val="20"/>
          <w:color w:val="auto"/>
        </w:rPr>
        <w:tab/>
      </w:r>
      <w:r>
        <w:rPr>
          <w:rFonts w:ascii="Arial" w:cs="Arial" w:eastAsia="Arial" w:hAnsi="Arial"/>
          <w:sz w:val="19"/>
          <w:szCs w:val="19"/>
          <w:color w:val="auto"/>
        </w:rPr>
        <w:t>The Company, at its absolute discretion and insofar as the Companies Act or any other applicable law permits, may, or may procure that a subsidiary of the Company shall, pay Irish stamp duty arising on a transfer of Shares on behalf of the transferee of such Shares of the Company. If stamp duty resulting from the transfer of Shares in the Company which would otherwise be payable by the transferee is paid by the Company or any subsidiary of the Company on behalf of the transferee, then in those circumstances, the Company shall, on its behalf or on behalf of its subsidiary (as the case may be), be entitled to (i) seek reimbursement of the stamp duty from the transferee, (ii) set-off the stamp duty against any dividends payable to the transferee of those Shares and (iii) to claim a first and permanent lien on the Shares on which stamp duty has been paid by the Company or its subsidiary for the amount of stamp duty paid.</w:t>
      </w:r>
    </w:p>
    <w:p>
      <w:pPr>
        <w:spacing w:after="0" w:line="154"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Arial" w:cs="Arial" w:eastAsia="Arial" w:hAnsi="Arial"/>
          <w:sz w:val="20"/>
          <w:szCs w:val="20"/>
          <w:color w:val="auto"/>
        </w:rPr>
        <w:t>26.4</w:t>
      </w:r>
      <w:r>
        <w:rPr>
          <w:sz w:val="20"/>
          <w:szCs w:val="20"/>
          <w:color w:val="auto"/>
        </w:rPr>
        <w:tab/>
      </w:r>
      <w:r>
        <w:rPr>
          <w:rFonts w:ascii="Arial" w:cs="Arial" w:eastAsia="Arial" w:hAnsi="Arial"/>
          <w:sz w:val="19"/>
          <w:szCs w:val="19"/>
          <w:color w:val="auto"/>
        </w:rPr>
        <w:t>Notwithstanding the provisions of these Articles and subject to any regulations or amending regulations made under section 1086 of the Companies Act, title to any Shares in the Company may also be evidenced and transferred without a written instrument in accordance with the Companies Act or any regulations or amending regulations made thereunder. The Directors shall have power to permit any class of Shares to be held in uncertificated form and to implement any arrangements they think fit for such evidencing and transfer which accord with such regulations and in particular shall, where appropriate, be entitled to disapply or modify all or part of the provisions in these Articles with respect to the requirement for written instruments of transfer and share certificates (if any), in order to give effect to such regulations.</w:t>
      </w:r>
    </w:p>
    <w:p>
      <w:pPr>
        <w:spacing w:after="0" w:line="152" w:lineRule="exact"/>
        <w:rPr>
          <w:sz w:val="20"/>
          <w:szCs w:val="20"/>
          <w:color w:val="auto"/>
        </w:rPr>
      </w:pPr>
    </w:p>
    <w:p>
      <w:pPr>
        <w:jc w:val="both"/>
        <w:ind w:left="660" w:hanging="652"/>
        <w:spacing w:after="0" w:line="250" w:lineRule="auto"/>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Board may in its absolute discretion and without assigning any reason for its decision, decline to register any transfer of any Share which is not a fully paid Share. The Board may also, in its absolute discretion, and without assigning any reason, refuse to register a transfer of any Share unless:</w:t>
      </w:r>
    </w:p>
    <w:p>
      <w:pPr>
        <w:spacing w:after="0" w:line="159" w:lineRule="exact"/>
        <w:rPr>
          <w:rFonts w:ascii="Arial" w:cs="Arial" w:eastAsia="Arial" w:hAnsi="Arial"/>
          <w:sz w:val="20"/>
          <w:szCs w:val="20"/>
          <w:color w:val="auto"/>
        </w:rPr>
      </w:pPr>
    </w:p>
    <w:p>
      <w:pPr>
        <w:ind w:left="1300" w:hanging="648"/>
        <w:spacing w:after="0" w:line="250" w:lineRule="auto"/>
        <w:rPr>
          <w:rFonts w:ascii="Arial" w:cs="Arial" w:eastAsia="Arial" w:hAnsi="Arial"/>
          <w:sz w:val="20"/>
          <w:szCs w:val="20"/>
          <w:color w:val="auto"/>
        </w:rPr>
      </w:pPr>
      <w:r>
        <w:rPr>
          <w:rFonts w:ascii="Arial" w:cs="Arial" w:eastAsia="Arial" w:hAnsi="Arial"/>
          <w:sz w:val="20"/>
          <w:szCs w:val="20"/>
          <w:color w:val="auto"/>
        </w:rPr>
        <w:t>27.1 the instrument of transfer is fully and properly completed and lodged with the Company accompanied by the certificate for the Shares (if any) to which it relates (which shall upon registration of the transfer be cancelled) and such other evidence as the Board may reasonably require to show the right of the transferor to make the transfer;</w:t>
      </w:r>
    </w:p>
    <w:p>
      <w:pPr>
        <w:spacing w:after="0" w:line="15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27.2   the instrument of transfer is in respect of only one class of Shares;</w:t>
      </w:r>
    </w:p>
    <w:p>
      <w:pPr>
        <w:spacing w:after="0" w:line="188" w:lineRule="exact"/>
        <w:rPr>
          <w:rFonts w:ascii="Arial" w:cs="Arial" w:eastAsia="Arial" w:hAnsi="Arial"/>
          <w:sz w:val="20"/>
          <w:szCs w:val="20"/>
          <w:color w:val="auto"/>
        </w:rPr>
      </w:pPr>
    </w:p>
    <w:p>
      <w:pPr>
        <w:ind w:left="1300" w:hanging="648"/>
        <w:spacing w:after="0" w:line="316" w:lineRule="auto"/>
        <w:rPr>
          <w:rFonts w:ascii="Arial" w:cs="Arial" w:eastAsia="Arial" w:hAnsi="Arial"/>
          <w:sz w:val="20"/>
          <w:szCs w:val="20"/>
          <w:color w:val="auto"/>
        </w:rPr>
      </w:pPr>
      <w:r>
        <w:rPr>
          <w:rFonts w:ascii="Arial" w:cs="Arial" w:eastAsia="Arial" w:hAnsi="Arial"/>
          <w:sz w:val="18"/>
          <w:szCs w:val="18"/>
          <w:color w:val="auto"/>
        </w:rPr>
        <w:t>27.3 a registration statement under the Securities Act of 1933 of the United States of America is in effect with respect to such transfer or such transfer is exempt from registration and, if requested by the Board, a written opinion from counsel reasonably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595" w:right="239" w:bottom="1440" w:gutter="0" w:footer="0" w:header="0"/>
        </w:sectPr>
      </w:pPr>
    </w:p>
    <w:bookmarkStart w:id="112" w:name="page113"/>
    <w:bookmarkEnd w:id="112"/>
    <w:p>
      <w:pPr>
        <w:ind w:left="1300"/>
        <w:spacing w:after="0"/>
        <w:rPr>
          <w:sz w:val="20"/>
          <w:szCs w:val="20"/>
          <w:color w:val="auto"/>
        </w:rPr>
      </w:pPr>
      <w:r>
        <w:rPr>
          <w:rFonts w:ascii="Arial" w:cs="Arial" w:eastAsia="Arial" w:hAnsi="Arial"/>
          <w:sz w:val="20"/>
          <w:szCs w:val="20"/>
          <w:color w:val="auto"/>
        </w:rPr>
        <w:t>acceptable to the Board is obtained to the effect that such transfer is exempt from registration;</w:t>
      </w:r>
    </w:p>
    <w:p>
      <w:pPr>
        <w:spacing w:after="0" w:line="189"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27.4</w:t>
        <w:tab/>
        <w:t>the instrument of transfer is properly stamped (in circumstances where stamping is required). For the purposes of these Articles, the Company is entitled to assume that the instrument of transfer is chargeable with stamp duty unless the transferor or transferee can demonstrate that it is not chargeable;</w:t>
      </w:r>
    </w:p>
    <w:p>
      <w:pPr>
        <w:spacing w:after="0" w:line="159" w:lineRule="exact"/>
        <w:rPr>
          <w:sz w:val="20"/>
          <w:szCs w:val="20"/>
          <w:color w:val="auto"/>
        </w:rPr>
      </w:pPr>
    </w:p>
    <w:p>
      <w:pPr>
        <w:jc w:val="both"/>
        <w:ind w:left="1300" w:right="20" w:hanging="647"/>
        <w:spacing w:after="0" w:line="260" w:lineRule="auto"/>
        <w:tabs>
          <w:tab w:leader="none" w:pos="1280" w:val="left"/>
        </w:tabs>
        <w:rPr>
          <w:sz w:val="20"/>
          <w:szCs w:val="20"/>
          <w:color w:val="auto"/>
        </w:rPr>
      </w:pPr>
      <w:r>
        <w:rPr>
          <w:rFonts w:ascii="Arial" w:cs="Arial" w:eastAsia="Arial" w:hAnsi="Arial"/>
          <w:sz w:val="20"/>
          <w:szCs w:val="20"/>
          <w:color w:val="auto"/>
        </w:rPr>
        <w:t>27.5</w:t>
        <w:tab/>
        <w:t>in the case of a transfer to joint holders, the number of joint holders to which the Share is to be transferred does not exceed four;</w:t>
      </w:r>
    </w:p>
    <w:p>
      <w:pPr>
        <w:spacing w:after="0" w:line="150"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27.6</w:t>
        <w:tab/>
        <w:t>it is satisfied, acting reasonably, that all applicable consents, authorisations, permissions or approvals of any governmental body or agency in Ireland or any other applicable jurisdiction required to be obtained under relevant law prior to such transfer have been obtained; and</w:t>
      </w:r>
    </w:p>
    <w:p>
      <w:pPr>
        <w:spacing w:after="0" w:line="159"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27.7</w:t>
        <w:tab/>
        <w:t>it is satisfied, acting reasonably, that the transfer would not violate the terms of any agreement to which the Company (or any of its subsidiaries) and the transferor are party or subject.</w:t>
      </w:r>
    </w:p>
    <w:p>
      <w:pPr>
        <w:spacing w:after="0" w:line="150" w:lineRule="exact"/>
        <w:rPr>
          <w:sz w:val="20"/>
          <w:szCs w:val="20"/>
          <w:color w:val="auto"/>
        </w:rPr>
      </w:pPr>
    </w:p>
    <w:p>
      <w:pPr>
        <w:ind w:left="660" w:hanging="652"/>
        <w:spacing w:after="0" w:line="260" w:lineRule="auto"/>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If the Board shall refuse to register a transfer of any Share, it shall, within two (2) months after the date on which the transfer was lodged with the Company, send to each of the transferor and the transferee notice of such refusal.</w:t>
      </w:r>
    </w:p>
    <w:p>
      <w:pPr>
        <w:spacing w:after="0" w:line="149"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Company shall not be obligated to make any transfer to an infant or to a person in respect of whom an order has been made by a competent court or official on the grounds that she is or may be suffering from mental disorder or is otherwise incapable of managing her affairs or under other legal disability.</w:t>
      </w:r>
    </w:p>
    <w:p>
      <w:pPr>
        <w:spacing w:after="0" w:line="159" w:lineRule="exact"/>
        <w:rPr>
          <w:rFonts w:ascii="Arial" w:cs="Arial" w:eastAsia="Arial" w:hAnsi="Arial"/>
          <w:sz w:val="20"/>
          <w:szCs w:val="20"/>
          <w:color w:val="auto"/>
        </w:rPr>
      </w:pPr>
    </w:p>
    <w:p>
      <w:pPr>
        <w:jc w:val="both"/>
        <w:ind w:left="660" w:hanging="652"/>
        <w:spacing w:after="0" w:line="282"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Upon every transfer of Shares the certificate (if any) held by the transferor shall be given up to be cancelled, and shall forthwith be cancelled accordingly, and subject to Article 18 a new certificate may be issued without charge to the transferee in respect of the Shares transferred to her, and if any of the Shares included in the certificate so given up shall be retained by the transferor, a new certificate in respect thereof may be issued to her without charge. The Company shall also retain the instrument(s) of transfer.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REDEMPTION AND REPURCHASE OF SHARES</w:t>
      </w:r>
    </w:p>
    <w:p>
      <w:pPr>
        <w:spacing w:after="0" w:line="195"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Subject to the provisions of the Companies Act and the other provisions of this Article 31, the Company may:</w:t>
      </w:r>
    </w:p>
    <w:p>
      <w:pPr>
        <w:spacing w:after="0" w:line="188" w:lineRule="exact"/>
        <w:rPr>
          <w:rFonts w:ascii="Arial" w:cs="Arial" w:eastAsia="Arial" w:hAnsi="Arial"/>
          <w:sz w:val="20"/>
          <w:szCs w:val="20"/>
          <w:color w:val="auto"/>
        </w:rPr>
      </w:pPr>
    </w:p>
    <w:p>
      <w:pPr>
        <w:ind w:left="1300" w:hanging="648"/>
        <w:spacing w:after="0" w:line="250" w:lineRule="auto"/>
        <w:rPr>
          <w:rFonts w:ascii="Arial" w:cs="Arial" w:eastAsia="Arial" w:hAnsi="Arial"/>
          <w:sz w:val="20"/>
          <w:szCs w:val="20"/>
          <w:color w:val="auto"/>
        </w:rPr>
      </w:pPr>
      <w:r>
        <w:rPr>
          <w:rFonts w:ascii="Arial" w:cs="Arial" w:eastAsia="Arial" w:hAnsi="Arial"/>
          <w:sz w:val="20"/>
          <w:szCs w:val="20"/>
          <w:color w:val="auto"/>
        </w:rPr>
        <w:t>31.1 pursuant to the Companies Act, issue any Shares of the Company which are to be redeemed or are liable to be redeemed at the option of the Company or the Member on such terms and in such manner as may be determined by the Company in general meeting (by Special Resolution) on the recommendation of the Directors;</w:t>
      </w:r>
    </w:p>
    <w:p>
      <w:pPr>
        <w:spacing w:after="0" w:line="159" w:lineRule="exact"/>
        <w:rPr>
          <w:rFonts w:ascii="Arial" w:cs="Arial" w:eastAsia="Arial" w:hAnsi="Arial"/>
          <w:sz w:val="20"/>
          <w:szCs w:val="20"/>
          <w:color w:val="auto"/>
        </w:rPr>
      </w:pPr>
    </w:p>
    <w:p>
      <w:pPr>
        <w:ind w:left="1300" w:hanging="648"/>
        <w:spacing w:after="0" w:line="250" w:lineRule="auto"/>
        <w:rPr>
          <w:rFonts w:ascii="Arial" w:cs="Arial" w:eastAsia="Arial" w:hAnsi="Arial"/>
          <w:sz w:val="20"/>
          <w:szCs w:val="20"/>
          <w:color w:val="auto"/>
        </w:rPr>
      </w:pPr>
      <w:r>
        <w:rPr>
          <w:rFonts w:ascii="Arial" w:cs="Arial" w:eastAsia="Arial" w:hAnsi="Arial"/>
          <w:sz w:val="20"/>
          <w:szCs w:val="20"/>
          <w:color w:val="auto"/>
        </w:rPr>
        <w:t>31.2 redeem Shares of the Company on such terms as may be contained in, or be determined pursuant to the provisions of, these Articles. Subject as aforesaid, the Company may cancel any Shares so redeemed or may hold them as treasury shares and re-issue such treasury shares as Shares of any class or classes or cancel them;</w:t>
      </w:r>
    </w:p>
    <w:p>
      <w:pPr>
        <w:spacing w:after="0" w:line="159" w:lineRule="exact"/>
        <w:rPr>
          <w:rFonts w:ascii="Arial" w:cs="Arial" w:eastAsia="Arial" w:hAnsi="Arial"/>
          <w:sz w:val="20"/>
          <w:szCs w:val="20"/>
          <w:color w:val="auto"/>
        </w:rPr>
      </w:pPr>
    </w:p>
    <w:p>
      <w:pPr>
        <w:ind w:left="1300" w:hanging="648"/>
        <w:spacing w:after="0" w:line="250" w:lineRule="auto"/>
        <w:rPr>
          <w:rFonts w:ascii="Arial" w:cs="Arial" w:eastAsia="Arial" w:hAnsi="Arial"/>
          <w:sz w:val="20"/>
          <w:szCs w:val="20"/>
          <w:color w:val="auto"/>
        </w:rPr>
      </w:pPr>
      <w:r>
        <w:rPr>
          <w:rFonts w:ascii="Arial" w:cs="Arial" w:eastAsia="Arial" w:hAnsi="Arial"/>
          <w:sz w:val="20"/>
          <w:szCs w:val="20"/>
          <w:color w:val="auto"/>
        </w:rPr>
        <w:t xml:space="preserve">31.3 subject to or in accordance with the provisions of the Companies Act and without prejudice to any relevant special rights attached to any class of shares, pursuant to the Companies Act, purchase any of its own Shares (including any Redeemable Shares and without any obligation to purchase on any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as between Members or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595" w:right="239" w:bottom="1440" w:gutter="0" w:footer="0" w:header="0"/>
        </w:sectPr>
      </w:pPr>
    </w:p>
    <w:bookmarkStart w:id="113" w:name="page114"/>
    <w:bookmarkEnd w:id="113"/>
    <w:p>
      <w:pPr>
        <w:ind w:left="1300" w:right="20"/>
        <w:spacing w:after="0" w:line="287" w:lineRule="auto"/>
        <w:rPr>
          <w:sz w:val="20"/>
          <w:szCs w:val="20"/>
          <w:color w:val="auto"/>
        </w:rPr>
      </w:pPr>
      <w:r>
        <w:rPr>
          <w:rFonts w:ascii="Arial" w:cs="Arial" w:eastAsia="Arial" w:hAnsi="Arial"/>
          <w:sz w:val="19"/>
          <w:szCs w:val="19"/>
          <w:color w:val="auto"/>
        </w:rPr>
        <w:t>Members of the same class) and may cancel any shares so purchased or hold them as treasury shares (as defined by the Companies Act) and may reissue any such shares as shares of any class or classes or cancel them; or</w:t>
      </w:r>
    </w:p>
    <w:p>
      <w:pPr>
        <w:spacing w:after="0" w:line="99" w:lineRule="exact"/>
        <w:rPr>
          <w:sz w:val="20"/>
          <w:szCs w:val="20"/>
          <w:color w:val="auto"/>
        </w:rPr>
      </w:pPr>
    </w:p>
    <w:p>
      <w:pPr>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31.4</w:t>
        <w:tab/>
        <w:t>pursuant to the Companies Act, convert any of its Shares into Redeemable Shares provided that the total number of Shares which shall be redeemable pursuant to this authority shall not exceed the limit in the Companies Act.</w:t>
      </w:r>
    </w:p>
    <w:p>
      <w:pPr>
        <w:spacing w:after="0" w:line="123" w:lineRule="exact"/>
        <w:rPr>
          <w:sz w:val="20"/>
          <w:szCs w:val="20"/>
          <w:color w:val="auto"/>
        </w:rPr>
      </w:pPr>
    </w:p>
    <w:p>
      <w:pPr>
        <w:ind w:left="660" w:hanging="652"/>
        <w:spacing w:after="0" w:line="260" w:lineRule="auto"/>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Company may make a payment in respect of the redemption or purchase of its own Shares in any manner permitted by the Companies Act.</w:t>
      </w:r>
    </w:p>
    <w:p>
      <w:pPr>
        <w:spacing w:after="0" w:line="122"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holder of the Shares being purchased shall be bound to deliver up to the Company at its registered office or such other place as the Board shall specify, the certificate(s) (if any) thereof for cancellation and thereupon the Company shall pay to her the purchase or redemption monies or consideration in respect thereof.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VARIATION OF RIGHTS OF SHARES</w:t>
      </w:r>
    </w:p>
    <w:p>
      <w:pPr>
        <w:spacing w:after="0" w:line="168" w:lineRule="exact"/>
        <w:rPr>
          <w:sz w:val="20"/>
          <w:szCs w:val="20"/>
          <w:color w:val="auto"/>
        </w:rPr>
      </w:pPr>
    </w:p>
    <w:p>
      <w:pPr>
        <w:jc w:val="both"/>
        <w:ind w:left="660" w:hanging="652"/>
        <w:spacing w:after="0" w:line="246" w:lineRule="auto"/>
        <w:tabs>
          <w:tab w:leader="none" w:pos="6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If at any time the share capital of the Company is divided into different classes of Shares, the rights attached to any class (unless otherwise provided by the terms of issue of the Shares of that class) may be varied or abrogated with the consent in writing of the holders of three-quarters of all the votes of the issued Shares of that class, or with the sanction of a Special Resolution passed at a general meeting of the holders of the Shares of that class.</w:t>
      </w:r>
    </w:p>
    <w:p>
      <w:pPr>
        <w:spacing w:after="0" w:line="137"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provisions of these Articles relating to general meetings of the Company shall apply mutatis mutandis to every such general meeting of the holders of one class of Shares except that the necessary quorum shall be one or more persons holding or representing by proxy at least one-half of the issued Shares of the class.</w:t>
      </w:r>
    </w:p>
    <w:p>
      <w:pPr>
        <w:spacing w:after="0" w:line="132" w:lineRule="exact"/>
        <w:rPr>
          <w:rFonts w:ascii="Arial" w:cs="Arial" w:eastAsia="Arial" w:hAnsi="Arial"/>
          <w:sz w:val="20"/>
          <w:szCs w:val="20"/>
          <w:color w:val="auto"/>
        </w:rPr>
      </w:pPr>
    </w:p>
    <w:p>
      <w:pPr>
        <w:jc w:val="both"/>
        <w:ind w:left="660" w:hanging="652"/>
        <w:spacing w:after="0" w:line="244" w:lineRule="auto"/>
        <w:tabs>
          <w:tab w:leader="none" w:pos="6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 xml:space="preserve">The rights conferred upon the holders of the Shares of any class issued with preferred or other rights shall not, unless otherwise expressly provided by the terms of issue of the Shares of that class, be deemed to be varied by (i) the creation or issue of further Shares ranking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therewith; (ii) a purchase or redemption by the Company of its own Shares; or (iii) the creation or issue for value (as determined by the Board) of further Shares ranking as regards participation in the profits or assets of the Company or otherwise in priority to them.</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LIEN ON SHARES</w:t>
      </w:r>
    </w:p>
    <w:p>
      <w:pPr>
        <w:spacing w:after="0" w:line="168" w:lineRule="exact"/>
        <w:rPr>
          <w:sz w:val="20"/>
          <w:szCs w:val="20"/>
          <w:color w:val="auto"/>
        </w:rPr>
      </w:pPr>
    </w:p>
    <w:p>
      <w:pPr>
        <w:jc w:val="both"/>
        <w:ind w:left="660" w:hanging="652"/>
        <w:spacing w:after="0" w:line="246" w:lineRule="auto"/>
        <w:tabs>
          <w:tab w:leader="none" w:pos="6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Company shall have a first and paramount lien on every Share (not being a fully paid Share) for all monies (whether presently payable or not) payable at a fixed time or called in respect of that Share. The Directors, at any time, may declare any Share to be wholly or in part exempt from the provisions of this Article. The Company’s lien on a Share shall extend to all monies payable in respect of it.</w:t>
      </w:r>
    </w:p>
    <w:p>
      <w:pPr>
        <w:spacing w:after="0" w:line="137" w:lineRule="exact"/>
        <w:rPr>
          <w:rFonts w:ascii="Arial" w:cs="Arial" w:eastAsia="Arial" w:hAnsi="Arial"/>
          <w:sz w:val="20"/>
          <w:szCs w:val="20"/>
          <w:color w:val="auto"/>
        </w:rPr>
      </w:pPr>
    </w:p>
    <w:p>
      <w:pPr>
        <w:jc w:val="both"/>
        <w:ind w:left="660" w:hanging="652"/>
        <w:spacing w:after="0" w:line="246" w:lineRule="auto"/>
        <w:tabs>
          <w:tab w:leader="none" w:pos="6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Company may sell in such manner as the Directors determine any Share on which the Company has a lien if a sum in respect of which the lien exists is presently payable and is not paid within fourteen clear days after notice demanding payment, and stating that if the notice is not complied with the Share may be sold, has been given to the holder of the Share or to the person entitled to it by reason of the death or bankruptcy of the holder.</w:t>
      </w:r>
    </w:p>
    <w:p>
      <w:pPr>
        <w:spacing w:after="0" w:line="137" w:lineRule="exact"/>
        <w:rPr>
          <w:rFonts w:ascii="Arial" w:cs="Arial" w:eastAsia="Arial" w:hAnsi="Arial"/>
          <w:sz w:val="20"/>
          <w:szCs w:val="20"/>
          <w:color w:val="auto"/>
        </w:rPr>
      </w:pPr>
    </w:p>
    <w:p>
      <w:pPr>
        <w:jc w:val="both"/>
        <w:ind w:left="660" w:hanging="652"/>
        <w:spacing w:after="0" w:line="246" w:lineRule="auto"/>
        <w:tabs>
          <w:tab w:leader="none" w:pos="6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To give effect to a sale, the Directors may authorise some person to execute an instrument of transfer of the Share sold to, or in accordance with the directions of, the transferee. The transferee shall be entered in the Register as the holder of the Share comprised in any such transfer and she shall not be bound to see to the application of the purchase monies nor shall her title to the Share be affected by any irregularity in or invalidity of the proceedings in reference to the sale,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595" w:right="239" w:bottom="1440" w:gutter="0" w:footer="0" w:header="0"/>
        </w:sectPr>
      </w:pPr>
    </w:p>
    <w:bookmarkStart w:id="114" w:name="page115"/>
    <w:bookmarkEnd w:id="114"/>
    <w:p>
      <w:pPr>
        <w:ind w:left="660"/>
        <w:spacing w:after="0" w:line="289" w:lineRule="auto"/>
        <w:rPr>
          <w:sz w:val="20"/>
          <w:szCs w:val="20"/>
          <w:color w:val="auto"/>
        </w:rPr>
      </w:pPr>
      <w:r>
        <w:rPr>
          <w:rFonts w:ascii="Arial" w:cs="Arial" w:eastAsia="Arial" w:hAnsi="Arial"/>
          <w:sz w:val="20"/>
          <w:szCs w:val="20"/>
          <w:color w:val="auto"/>
        </w:rPr>
        <w:t>after the name of the transferee has been entered in the Register, the remedy of any person aggrieved by the sale shall be in damages only and against the Company exclusively.</w:t>
      </w:r>
    </w:p>
    <w:p>
      <w:pPr>
        <w:spacing w:after="0" w:line="108" w:lineRule="exact"/>
        <w:rPr>
          <w:sz w:val="20"/>
          <w:szCs w:val="20"/>
          <w:color w:val="auto"/>
        </w:rPr>
      </w:pPr>
    </w:p>
    <w:p>
      <w:pPr>
        <w:jc w:val="both"/>
        <w:ind w:left="660" w:hanging="652"/>
        <w:spacing w:after="0" w:line="246" w:lineRule="auto"/>
        <w:tabs>
          <w:tab w:leader="none" w:pos="6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net proceeds of the sale, after payment of the costs, shall be applied in payment of so much of the sum for which the lien exists as is presently payable and any residue (upon surrender to the Company for cancellation of the certificate for the Shares sold and subject to a like lien for any monies not presently payable as existed upon the Shares before the sale) shall be paid to the person entitled to the Shares at the date of the sale.</w:t>
      </w:r>
    </w:p>
    <w:p>
      <w:pPr>
        <w:spacing w:after="0" w:line="151" w:lineRule="exact"/>
        <w:rPr>
          <w:rFonts w:ascii="Arial" w:cs="Arial" w:eastAsia="Arial" w:hAnsi="Arial"/>
          <w:sz w:val="20"/>
          <w:szCs w:val="20"/>
          <w:color w:val="auto"/>
        </w:rPr>
      </w:pPr>
    </w:p>
    <w:p>
      <w:pPr>
        <w:jc w:val="both"/>
        <w:ind w:left="660" w:hanging="652"/>
        <w:spacing w:after="0" w:line="243" w:lineRule="auto"/>
        <w:tabs>
          <w:tab w:leader="none" w:pos="6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Whenever any law for the time being of any country, state or place imposes or purports to impose any immediate or future or possible liability upon the Company to make any payment or empowers any government or taxing authority or government official to require the Company to make any payment in respect of any Shares registered in the Register as held either jointly or solely by any Members or in respect of any dividends, bonuses or other monies due or payable or accruing due or which may become due or payable to such Member by the Company on or in respect of any Shares registered as mentioned above or for or on account or in respect of any Member and whether in consequence of:</w:t>
      </w:r>
    </w:p>
    <w:p>
      <w:pPr>
        <w:spacing w:after="0" w:line="15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41.1   the death of such Member;</w:t>
      </w:r>
    </w:p>
    <w:p>
      <w:pPr>
        <w:spacing w:after="0" w:line="17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41.2   the non-payment of any income tax or other tax by such Member;</w:t>
      </w:r>
    </w:p>
    <w:p>
      <w:pPr>
        <w:spacing w:after="0" w:line="175"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41.3</w:t>
        <w:tab/>
        <w:t>the non-payment of any estate, probate, succession, death, stamp or other duty by the executor or administrator of such Member or by or out of her estate; or</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41.4</w:t>
      </w:r>
      <w:r>
        <w:rPr>
          <w:sz w:val="20"/>
          <w:szCs w:val="20"/>
          <w:color w:val="auto"/>
        </w:rPr>
        <w:tab/>
      </w:r>
      <w:r>
        <w:rPr>
          <w:rFonts w:ascii="Arial" w:cs="Arial" w:eastAsia="Arial" w:hAnsi="Arial"/>
          <w:sz w:val="18"/>
          <w:szCs w:val="18"/>
          <w:color w:val="auto"/>
        </w:rPr>
        <w:t>any other act or thing;</w:t>
      </w:r>
    </w:p>
    <w:p>
      <w:pPr>
        <w:spacing w:after="0" w:line="175"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in every such case (except to the extent that the rights conferred upon holders of any class of Shares render the Company liable to make additional payments in respect of sums withheld on account of the foregoing):</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41.5</w:t>
      </w:r>
      <w:r>
        <w:rPr>
          <w:sz w:val="20"/>
          <w:szCs w:val="20"/>
          <w:color w:val="auto"/>
        </w:rPr>
        <w:tab/>
      </w:r>
      <w:r>
        <w:rPr>
          <w:rFonts w:ascii="Arial" w:cs="Arial" w:eastAsia="Arial" w:hAnsi="Arial"/>
          <w:sz w:val="18"/>
          <w:szCs w:val="18"/>
          <w:color w:val="auto"/>
        </w:rPr>
        <w:t>the Company shall be fully indemnified by such Member or her executor or administrator from all liability;</w:t>
      </w:r>
    </w:p>
    <w:p>
      <w:pPr>
        <w:spacing w:after="0" w:line="175"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41.6</w:t>
        <w:tab/>
        <w:t>the Company shall have a lien upon all dividends and other monies payable in respect of the Shares registered in the Register as held either jointly or solely by such Member for all monies paid or payable by the Company as referred to above in respect of such Shares or in respect of any dividends or other monies thereon or for or on account or in respect of such Member under or in consequence of any such law, together with interest at the rate of 15% per annum (or such other rate as the Board may determine) thereon from the date of payment to date of repayment, and the Company may deduct or set off against such dividends or other monies so payable any monies paid or payable by the Company as referred to above together with interest at the same rate;</w:t>
      </w:r>
    </w:p>
    <w:p>
      <w:pPr>
        <w:spacing w:after="0" w:line="153"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Arial" w:cs="Arial" w:eastAsia="Arial" w:hAnsi="Arial"/>
          <w:sz w:val="20"/>
          <w:szCs w:val="20"/>
          <w:color w:val="auto"/>
        </w:rPr>
        <w:t>41.7</w:t>
      </w:r>
      <w:r>
        <w:rPr>
          <w:sz w:val="20"/>
          <w:szCs w:val="20"/>
          <w:color w:val="auto"/>
        </w:rPr>
        <w:tab/>
      </w:r>
      <w:r>
        <w:rPr>
          <w:rFonts w:ascii="Arial" w:cs="Arial" w:eastAsia="Arial" w:hAnsi="Arial"/>
          <w:sz w:val="19"/>
          <w:szCs w:val="19"/>
          <w:color w:val="auto"/>
        </w:rPr>
        <w:t>the Company may recover as a debt due from such Member or her executor or administrator (wherever constituted) any monies paid by the Company under or in consequence of any such law and interest thereon at the rate and for the period referred to above in excess of any dividends or other monies then due or payable by the Company; and</w:t>
      </w:r>
    </w:p>
    <w:p>
      <w:pPr>
        <w:spacing w:after="0" w:line="130"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Arial" w:cs="Arial" w:eastAsia="Arial" w:hAnsi="Arial"/>
          <w:sz w:val="20"/>
          <w:szCs w:val="20"/>
          <w:color w:val="auto"/>
        </w:rPr>
        <w:t>41.8</w:t>
      </w:r>
      <w:r>
        <w:rPr>
          <w:sz w:val="20"/>
          <w:szCs w:val="20"/>
          <w:color w:val="auto"/>
        </w:rPr>
        <w:tab/>
      </w:r>
      <w:r>
        <w:rPr>
          <w:rFonts w:ascii="Arial" w:cs="Arial" w:eastAsia="Arial" w:hAnsi="Arial"/>
          <w:sz w:val="19"/>
          <w:szCs w:val="19"/>
          <w:color w:val="auto"/>
        </w:rPr>
        <w:t>the Company may if any such money is paid or payable by it under any such law as referred to above refuse to register a transfer of any Shares by any such Member or her executor or administrator until such money and interest is set off or deducted as referred to above or in the case that it exceeds the amount of any such dividends 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609" w:right="239" w:bottom="1440" w:gutter="0" w:footer="0" w:header="0"/>
        </w:sectPr>
      </w:pPr>
    </w:p>
    <w:bookmarkStart w:id="115" w:name="page116"/>
    <w:bookmarkEnd w:id="115"/>
    <w:p>
      <w:pPr>
        <w:ind w:left="1300"/>
        <w:spacing w:after="0"/>
        <w:rPr>
          <w:sz w:val="20"/>
          <w:szCs w:val="20"/>
          <w:color w:val="auto"/>
        </w:rPr>
      </w:pPr>
      <w:r>
        <w:rPr>
          <w:rFonts w:ascii="Arial" w:cs="Arial" w:eastAsia="Arial" w:hAnsi="Arial"/>
          <w:sz w:val="20"/>
          <w:szCs w:val="20"/>
          <w:color w:val="auto"/>
        </w:rPr>
        <w:t>other monies then due or payable by the Company, until such excess is paid to the Company.</w:t>
      </w:r>
    </w:p>
    <w:p>
      <w:pPr>
        <w:spacing w:after="0" w:line="189"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Subject to the rights conferred upon the holders of any class of Shares, nothing in this Article 41 will prejudice or affect any right or remedy which any law may confer or purport to confer on the Company. As between the Company and every such Member as referred to above (and, her executor, administrator and estate, wherever constituted), any right or remedy which such law shall confer or purport to confer on the Company shall be enforceable by the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CALLS ON SHARES</w:t>
      </w:r>
    </w:p>
    <w:p>
      <w:pPr>
        <w:spacing w:after="0" w:line="195" w:lineRule="exact"/>
        <w:rPr>
          <w:sz w:val="20"/>
          <w:szCs w:val="20"/>
          <w:color w:val="auto"/>
        </w:rPr>
      </w:pPr>
    </w:p>
    <w:p>
      <w:pPr>
        <w:jc w:val="both"/>
        <w:ind w:left="660" w:hanging="652"/>
        <w:spacing w:after="0" w:line="244" w:lineRule="auto"/>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Subject to the terms of allotment, the Directors may make calls upon the Members in respect of any monies unpaid on their Shares and each Member (subject to receiving at least fourteen clear days’ notice specifying when and where payment is to be made) shall pay to the Company as required by the notice the amount called on her Shares. A call may be required to be paid by instalments. A call may be revoked before receipt by the Company of a sum due thereunder, in whole or in part and payment of a call may be postponed in whole or in part.</w:t>
      </w:r>
    </w:p>
    <w:p>
      <w:pPr>
        <w:spacing w:after="0" w:line="167" w:lineRule="exact"/>
        <w:rPr>
          <w:rFonts w:ascii="Arial" w:cs="Arial" w:eastAsia="Arial" w:hAnsi="Arial"/>
          <w:sz w:val="20"/>
          <w:szCs w:val="20"/>
          <w:color w:val="auto"/>
        </w:rPr>
      </w:pPr>
    </w:p>
    <w:p>
      <w:pPr>
        <w:ind w:left="660" w:hanging="652"/>
        <w:spacing w:after="0"/>
        <w:tabs>
          <w:tab w:leader="none" w:pos="660" w:val="left"/>
        </w:tabs>
        <w:numPr>
          <w:ilvl w:val="0"/>
          <w:numId w:val="70"/>
        </w:numPr>
        <w:rPr>
          <w:rFonts w:ascii="Arial" w:cs="Arial" w:eastAsia="Arial" w:hAnsi="Arial"/>
          <w:sz w:val="19"/>
          <w:szCs w:val="19"/>
          <w:color w:val="auto"/>
        </w:rPr>
      </w:pPr>
      <w:r>
        <w:rPr>
          <w:rFonts w:ascii="Arial" w:cs="Arial" w:eastAsia="Arial" w:hAnsi="Arial"/>
          <w:sz w:val="19"/>
          <w:szCs w:val="19"/>
          <w:color w:val="auto"/>
        </w:rPr>
        <w:t>A call shall be deemed to have been made at the time when the resolution of the Directors authorising the call was passed.</w:t>
      </w:r>
    </w:p>
    <w:p>
      <w:pPr>
        <w:spacing w:after="0" w:line="200" w:lineRule="exact"/>
        <w:rPr>
          <w:rFonts w:ascii="Arial" w:cs="Arial" w:eastAsia="Arial" w:hAnsi="Arial"/>
          <w:sz w:val="19"/>
          <w:szCs w:val="19"/>
          <w:color w:val="auto"/>
        </w:rPr>
      </w:pPr>
    </w:p>
    <w:p>
      <w:pPr>
        <w:ind w:left="660" w:hanging="652"/>
        <w:spacing w:after="0" w:line="260" w:lineRule="auto"/>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 person on whom a call is made shall (in addition to a transferee) remain liable notwithstanding the subsequent transfer of the Share in respect of which the call is made.</w:t>
      </w:r>
    </w:p>
    <w:p>
      <w:pPr>
        <w:spacing w:after="0" w:line="149" w:lineRule="exact"/>
        <w:rPr>
          <w:rFonts w:ascii="Arial" w:cs="Arial" w:eastAsia="Arial" w:hAnsi="Arial"/>
          <w:sz w:val="20"/>
          <w:szCs w:val="20"/>
          <w:color w:val="auto"/>
        </w:rPr>
      </w:pPr>
    </w:p>
    <w:p>
      <w:pPr>
        <w:ind w:left="660" w:hanging="652"/>
        <w:spacing w:after="0"/>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joint holders of a Share shall be jointly and severally liable to pay all calls in respect thereof.</w:t>
      </w:r>
    </w:p>
    <w:p>
      <w:pPr>
        <w:spacing w:after="0" w:line="188" w:lineRule="exact"/>
        <w:rPr>
          <w:rFonts w:ascii="Arial" w:cs="Arial" w:eastAsia="Arial" w:hAnsi="Arial"/>
          <w:sz w:val="20"/>
          <w:szCs w:val="20"/>
          <w:color w:val="auto"/>
        </w:rPr>
      </w:pPr>
    </w:p>
    <w:p>
      <w:pPr>
        <w:jc w:val="both"/>
        <w:ind w:left="660" w:hanging="652"/>
        <w:spacing w:after="0" w:line="246" w:lineRule="auto"/>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If a call remains unpaid after it has become due and payable, the person from whom it is due and payable shall pay interest on the amount unpaid from the day it became due until it is paid at the rate fixed by the terms of allotment of the Share or in the notice of the call or, if no rate is fixed, at the appropriate rate (as defined by the Companies Act) but the Directors may waive payment of the interest wholly or in part.</w:t>
      </w:r>
    </w:p>
    <w:p>
      <w:pPr>
        <w:spacing w:after="0" w:line="164"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An amount payable in respect of a Share on allotment or at any fixed date, whether in respect of nominal value by way of premium, shall be deemed to be a call and if it is not paid the provisions of these Articles shall apply as if that amount had become due and payable by virtue of a call.</w:t>
      </w:r>
    </w:p>
    <w:p>
      <w:pPr>
        <w:spacing w:after="0" w:line="159"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Subject to the terms of allotment, the Directors may make arrangements on the issue of Shares for a difference between the holders in the amounts and times of payment of calls on their Shares.</w:t>
      </w:r>
    </w:p>
    <w:p>
      <w:pPr>
        <w:spacing w:after="0" w:line="149" w:lineRule="exact"/>
        <w:rPr>
          <w:rFonts w:ascii="Arial" w:cs="Arial" w:eastAsia="Arial" w:hAnsi="Arial"/>
          <w:sz w:val="20"/>
          <w:szCs w:val="20"/>
          <w:color w:val="auto"/>
        </w:rPr>
      </w:pPr>
    </w:p>
    <w:p>
      <w:pPr>
        <w:jc w:val="both"/>
        <w:ind w:left="660" w:hanging="652"/>
        <w:spacing w:after="0" w:line="246" w:lineRule="auto"/>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Directors may, if they think fit, receive from any Member willing to advance the same all or any part of the monies uncalled and unpaid upon any Shares held by her, and upon all or any of the monies so advanced may pay (until the same would, but for such advance, become payable) interest at such rate as may be agreed upon between the Directors and the Member paying such sum in advance.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FORFEITURE</w:t>
      </w:r>
    </w:p>
    <w:p>
      <w:pPr>
        <w:spacing w:after="0" w:line="195" w:lineRule="exact"/>
        <w:rPr>
          <w:sz w:val="20"/>
          <w:szCs w:val="20"/>
          <w:color w:val="auto"/>
        </w:rPr>
      </w:pPr>
    </w:p>
    <w:p>
      <w:pPr>
        <w:jc w:val="both"/>
        <w:ind w:left="660" w:right="20" w:hanging="652"/>
        <w:spacing w:after="0" w:line="250" w:lineRule="auto"/>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If a Member fails to pay any call or instalment of a call on the day appointed for payment thereof, the Directors, at any time thereafter during such times as any part of the call or instalment remains unpaid, may serve a notice on her requiring payment of so much of the call or instalment as is unpaid together with any interest which may have accrued.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595" w:right="239" w:bottom="1440" w:gutter="0" w:footer="0" w:header="0"/>
        </w:sectPr>
      </w:pPr>
    </w:p>
    <w:bookmarkStart w:id="116" w:name="page117"/>
    <w:bookmarkEnd w:id="116"/>
    <w:p>
      <w:pPr>
        <w:jc w:val="both"/>
        <w:ind w:left="660" w:hanging="652"/>
        <w:spacing w:after="0" w:line="250" w:lineRule="auto"/>
        <w:tabs>
          <w:tab w:leader="none" w:pos="6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notice shall state a further day (not earlier than the expiration of fourteen clear days from the date of service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59" w:lineRule="exact"/>
        <w:rPr>
          <w:rFonts w:ascii="Arial" w:cs="Arial" w:eastAsia="Arial" w:hAnsi="Arial"/>
          <w:sz w:val="20"/>
          <w:szCs w:val="20"/>
          <w:color w:val="auto"/>
        </w:rPr>
      </w:pPr>
    </w:p>
    <w:p>
      <w:pPr>
        <w:jc w:val="both"/>
        <w:ind w:left="660" w:hanging="652"/>
        <w:spacing w:after="0" w:line="282"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requirements of any such notice as aforesaid are not complied with then, at any time thereafter before the payment required by the notice has been made, any Shares in respect of which the notice has been given may be forfeited by a resolution of the Directors to that effect. The forfeiture shall include all dividends or other monies payable in respect of the forfeited Shares and not paid before forfeiture. The Directors may accept a surrender of any Share liable to be forfeited hereunder.</w:t>
      </w:r>
    </w:p>
    <w:p>
      <w:pPr>
        <w:spacing w:after="0" w:line="134" w:lineRule="exact"/>
        <w:rPr>
          <w:rFonts w:ascii="Arial" w:cs="Arial" w:eastAsia="Arial" w:hAnsi="Arial"/>
          <w:sz w:val="18"/>
          <w:szCs w:val="18"/>
          <w:color w:val="auto"/>
        </w:rPr>
      </w:pPr>
    </w:p>
    <w:p>
      <w:pPr>
        <w:jc w:val="both"/>
        <w:ind w:left="660" w:hanging="652"/>
        <w:spacing w:after="0" w:line="260" w:lineRule="auto"/>
        <w:tabs>
          <w:tab w:leader="none" w:pos="6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On the trial or hearing of any action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153" w:lineRule="exact"/>
        <w:rPr>
          <w:rFonts w:ascii="Arial" w:cs="Arial" w:eastAsia="Arial" w:hAnsi="Arial"/>
          <w:sz w:val="19"/>
          <w:szCs w:val="19"/>
          <w:color w:val="auto"/>
        </w:rPr>
      </w:pPr>
    </w:p>
    <w:p>
      <w:pPr>
        <w:jc w:val="both"/>
        <w:ind w:left="660" w:hanging="652"/>
        <w:spacing w:after="0" w:line="27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 Where for the purposes of its disposal such a Share is to be transferred to any person, the Directors may authorise some person to execute an instrument of transfer of the Share to that person. The Company may receive the consideration, if any, given for the Share on any sale or disposition thereof and may execute a transfer of the Share in favour of the person to whom the Share is sold or disposed of and thereupon she shall be registered as the holder of the Share and shall not be bound to see to the application of the purchase money, if any, nor shall her title to the Share be affected by any irregularity or invalidity in the proceedings in reference to the forfeiture, sale or disposal of the Share.</w:t>
      </w:r>
    </w:p>
    <w:p>
      <w:pPr>
        <w:spacing w:after="0" w:line="142"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 person whose Shares have been forfeited shall cease to be a Member in respect of the forfeited Shares, but nevertheless shall remain liable to pay to the Company all monies which, at the date of forfeiture, were payable by her to the Company in respect of the Shares, without any deduction or allowance for the value of the Shares at the time of forfeiture but her liability shall cease if and when the Company shall have received payment in full of all such monies in respect of the Shares.</w:t>
      </w:r>
    </w:p>
    <w:p>
      <w:pPr>
        <w:spacing w:after="0" w:line="149" w:lineRule="exact"/>
        <w:rPr>
          <w:rFonts w:ascii="Arial" w:cs="Arial" w:eastAsia="Arial" w:hAnsi="Arial"/>
          <w:sz w:val="19"/>
          <w:szCs w:val="19"/>
          <w:color w:val="auto"/>
        </w:rPr>
      </w:pPr>
    </w:p>
    <w:p>
      <w:pPr>
        <w:jc w:val="both"/>
        <w:ind w:left="660" w:hanging="652"/>
        <w:spacing w:after="0" w:line="250" w:lineRule="auto"/>
        <w:tabs>
          <w:tab w:leader="none" w:pos="6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 statutory declaration or affidavit that the declarant is a Director or the Secretary of the Company, and that a Share in the Company has been duly forfeited on the date stated in the declaration, shall be conclusive evidence of the facts therein stated as against all persons claiming to be entitled to the Share.</w:t>
      </w:r>
    </w:p>
    <w:p>
      <w:pPr>
        <w:spacing w:after="0" w:line="159"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159"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Directors may accept the surrender of any Share which the Directors have resolved to have been forfeited upon such terms and conditions as may be agreed and, subject to any such terms and conditions, a surrendered Share shall be treated as if it has been forfeited.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595"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0"/>
          <w:szCs w:val="20"/>
          <w:b w:val="1"/>
          <w:bCs w:val="1"/>
          <w:color w:val="auto"/>
        </w:rPr>
        <w:t>NON-RECOGNITION OF TRUSTS</w:t>
      </w:r>
    </w:p>
    <w:p>
      <w:pPr>
        <w:spacing w:after="0" w:line="195" w:lineRule="exact"/>
        <w:rPr>
          <w:sz w:val="20"/>
          <w:szCs w:val="20"/>
          <w:color w:val="auto"/>
        </w:rPr>
      </w:pPr>
    </w:p>
    <w:p>
      <w:pPr>
        <w:jc w:val="both"/>
        <w:ind w:left="660" w:hanging="652"/>
        <w:spacing w:after="0" w:line="258" w:lineRule="auto"/>
        <w:tabs>
          <w:tab w:leader="none" w:pos="66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Company shall not be obligated to recognise any person as holding any Share upon any trust (except as is otherwise provided in these Articles or to the extent required by law) and the Company shall not be bound by or be compelled in any way to recognise (even when having notice thereof) any equitable, contingent, future, or partial interest in any Share, or any interest in any fractional part of a Share, or (except only as is otherwise provided by these Articles or the Companies Act) any other rights in respect of any Share except an absolute right to the entirety thereof in the registered holder. This shall not preclude the Company from requiring the Members or a transferee of Shares to furnish to the Company with information as to the beneficial ownership of any Share when such information is reasonably required by the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TRANSMISSION OF SHARES</w:t>
      </w:r>
    </w:p>
    <w:p>
      <w:pPr>
        <w:spacing w:after="0" w:line="195" w:lineRule="exact"/>
        <w:rPr>
          <w:sz w:val="20"/>
          <w:szCs w:val="20"/>
          <w:color w:val="auto"/>
        </w:rPr>
      </w:pPr>
    </w:p>
    <w:p>
      <w:pPr>
        <w:jc w:val="both"/>
        <w:ind w:left="660" w:hanging="652"/>
        <w:spacing w:after="0" w:line="246" w:lineRule="auto"/>
        <w:tabs>
          <w:tab w:leader="none" w:pos="6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In case of the death of a Member, the survivor or survivors where the deceased was a joint holder, and the legal personal representatives of the deceased where she was a sole holder, shall be the only persons recognised by the Company as having any title to her interest in the Shares, but nothing herein contained shall release the estate of any such deceased holder from any liability in respect of any Shares which had been held by her solely or jointly with other persons.</w:t>
      </w:r>
    </w:p>
    <w:p>
      <w:pPr>
        <w:spacing w:after="0" w:line="164" w:lineRule="exact"/>
        <w:rPr>
          <w:rFonts w:ascii="Arial" w:cs="Arial" w:eastAsia="Arial" w:hAnsi="Arial"/>
          <w:sz w:val="20"/>
          <w:szCs w:val="20"/>
          <w:color w:val="auto"/>
        </w:rPr>
      </w:pPr>
    </w:p>
    <w:p>
      <w:pPr>
        <w:jc w:val="both"/>
        <w:ind w:left="660" w:hanging="652"/>
        <w:spacing w:after="0" w:line="259" w:lineRule="auto"/>
        <w:tabs>
          <w:tab w:leader="none" w:pos="6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Any person becoming entitled to a Share in consequence of the death or bankruptcy or liquidation or dissolution of a Member (or in any other way than by transfer) may, upon such evidence being produced as may from time to time be required by the Board and subject as hereinafter provided, elect either to be registered herself as holder of the Share or to make such transfer of the Share to such other person nominated by her and to have such person registered as the transferee thereof, but the Board shall, in either case, have the same right to decline or suspend registration as they would have had in the case of a transfer of the Share by that Member before her death or bankruptcy as the case may be.</w:t>
      </w:r>
    </w:p>
    <w:p>
      <w:pPr>
        <w:spacing w:after="0" w:line="151" w:lineRule="exact"/>
        <w:rPr>
          <w:rFonts w:ascii="Arial" w:cs="Arial" w:eastAsia="Arial" w:hAnsi="Arial"/>
          <w:sz w:val="19"/>
          <w:szCs w:val="19"/>
          <w:color w:val="auto"/>
        </w:rPr>
      </w:pPr>
    </w:p>
    <w:p>
      <w:pPr>
        <w:ind w:left="660" w:hanging="652"/>
        <w:spacing w:after="0" w:line="260" w:lineRule="auto"/>
        <w:tabs>
          <w:tab w:leader="none" w:pos="6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If the person so becoming entitled shall elect to be registered herself as holder, she shall deliver or send to the Company a notice in writing signed by her stating that she so elects.</w:t>
      </w:r>
    </w:p>
    <w:p>
      <w:pPr>
        <w:spacing w:after="0" w:line="149" w:lineRule="exact"/>
        <w:rPr>
          <w:rFonts w:ascii="Arial" w:cs="Arial" w:eastAsia="Arial" w:hAnsi="Arial"/>
          <w:sz w:val="20"/>
          <w:szCs w:val="20"/>
          <w:color w:val="auto"/>
        </w:rPr>
      </w:pPr>
    </w:p>
    <w:p>
      <w:pPr>
        <w:jc w:val="both"/>
        <w:ind w:left="660" w:hanging="652"/>
        <w:spacing w:after="0" w:line="274"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Subject to Article 62, a person becoming entitled to a Share by reason of the death or bankruptcy or liquidation or dissolution of the holder (or in any other case than by transfer) shall be entitled to the same dividends and other advantages to which she would be entitled if she were the registered holder of the Share, except that she shall not, before being registered as a Member in respect of the Share, be entitled in respect of it to exercise any right conferred by Membership in relation to meetings of the Company provided however that the Board may at any time give notice requiring any such person to elect either to be registered herself or to transfer the Share and if the notice is not complied with within ninety days the Board may thereafter withhold payment of all dividends, bonuses or other monies payable in respect of the Share until the requirements of the notice have been complied with.</w:t>
      </w:r>
    </w:p>
    <w:p>
      <w:pPr>
        <w:spacing w:after="0" w:line="142" w:lineRule="exact"/>
        <w:rPr>
          <w:rFonts w:ascii="Arial" w:cs="Arial" w:eastAsia="Arial" w:hAnsi="Arial"/>
          <w:sz w:val="18"/>
          <w:szCs w:val="18"/>
          <w:color w:val="auto"/>
        </w:rPr>
      </w:pPr>
    </w:p>
    <w:p>
      <w:pPr>
        <w:jc w:val="both"/>
        <w:ind w:left="660" w:hanging="652"/>
        <w:spacing w:after="0" w:line="269" w:lineRule="auto"/>
        <w:tabs>
          <w:tab w:leader="none" w:pos="6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Board may at any time give notice requiring a person entitled by transmission to a Share to elect either to be registered herself or to transfer the Share and if the notice is not complied with within 60 days the Board may withhold payment of all dividends and other monies payable in respect of the Share until the requirements of the notice have been complied with.</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OF MEMORANDUM OF ASSOCIATION;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589"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0"/>
          <w:szCs w:val="20"/>
          <w:b w:val="1"/>
          <w:bCs w:val="1"/>
          <w:color w:val="auto"/>
        </w:rPr>
        <w:t>CHANGE OF LOCATION OF REGISTERED OFFICE;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ALTERATION OF CAPITAL</w:t>
      </w:r>
    </w:p>
    <w:p>
      <w:pPr>
        <w:spacing w:after="0" w:line="173" w:lineRule="exact"/>
        <w:rPr>
          <w:sz w:val="20"/>
          <w:szCs w:val="20"/>
          <w:color w:val="auto"/>
        </w:rPr>
      </w:pPr>
    </w:p>
    <w:p>
      <w:pPr>
        <w:ind w:left="660" w:hanging="652"/>
        <w:spacing w:after="0" w:line="260" w:lineRule="auto"/>
        <w:tabs>
          <w:tab w:leader="none" w:pos="6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In addition and without prejudice to the Company’s rights under section 83 of the Companies Act, the Company may by Ordinary Resolution:</w:t>
      </w:r>
    </w:p>
    <w:p>
      <w:pPr>
        <w:spacing w:after="0" w:line="149" w:lineRule="exact"/>
        <w:rPr>
          <w:rFonts w:ascii="Arial" w:cs="Arial" w:eastAsia="Arial" w:hAnsi="Arial"/>
          <w:sz w:val="20"/>
          <w:szCs w:val="20"/>
          <w:color w:val="auto"/>
        </w:rPr>
      </w:pPr>
    </w:p>
    <w:p>
      <w:pPr>
        <w:ind w:left="1300" w:hanging="648"/>
        <w:spacing w:after="0" w:line="260" w:lineRule="auto"/>
        <w:rPr>
          <w:rFonts w:ascii="Arial" w:cs="Arial" w:eastAsia="Arial" w:hAnsi="Arial"/>
          <w:sz w:val="20"/>
          <w:szCs w:val="20"/>
          <w:color w:val="auto"/>
        </w:rPr>
      </w:pPr>
      <w:r>
        <w:rPr>
          <w:rFonts w:ascii="Arial" w:cs="Arial" w:eastAsia="Arial" w:hAnsi="Arial"/>
          <w:sz w:val="20"/>
          <w:szCs w:val="20"/>
          <w:color w:val="auto"/>
        </w:rPr>
        <w:t>65.1 divide its share capital into several classes and attach to them respectively any preferential, deferred, qualified or special rights, privileges or conditions;</w:t>
      </w:r>
    </w:p>
    <w:p>
      <w:pPr>
        <w:spacing w:after="0" w:line="149" w:lineRule="exact"/>
        <w:rPr>
          <w:rFonts w:ascii="Arial" w:cs="Arial" w:eastAsia="Arial" w:hAnsi="Arial"/>
          <w:sz w:val="20"/>
          <w:szCs w:val="20"/>
          <w:color w:val="auto"/>
        </w:rPr>
      </w:pPr>
    </w:p>
    <w:p>
      <w:pPr>
        <w:ind w:left="1300" w:right="20" w:hanging="648"/>
        <w:spacing w:after="0" w:line="260" w:lineRule="auto"/>
        <w:rPr>
          <w:rFonts w:ascii="Arial" w:cs="Arial" w:eastAsia="Arial" w:hAnsi="Arial"/>
          <w:sz w:val="20"/>
          <w:szCs w:val="20"/>
          <w:color w:val="auto"/>
        </w:rPr>
      </w:pPr>
      <w:r>
        <w:rPr>
          <w:rFonts w:ascii="Arial" w:cs="Arial" w:eastAsia="Arial" w:hAnsi="Arial"/>
          <w:sz w:val="20"/>
          <w:szCs w:val="20"/>
          <w:color w:val="auto"/>
        </w:rPr>
        <w:t>65.2 increase the authorised share capital by such sum to be divided into Shares of such nominal value, as such Ordinary Resolution shall prescribe;</w:t>
      </w:r>
    </w:p>
    <w:p>
      <w:pPr>
        <w:spacing w:after="0" w:line="14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65.3   consolidate and divide all or any of its share capital into Shares of larger amount than its existing Shares;</w:t>
      </w:r>
    </w:p>
    <w:p>
      <w:pPr>
        <w:spacing w:after="0" w:line="188" w:lineRule="exact"/>
        <w:rPr>
          <w:rFonts w:ascii="Arial" w:cs="Arial" w:eastAsia="Arial" w:hAnsi="Arial"/>
          <w:sz w:val="20"/>
          <w:szCs w:val="20"/>
          <w:color w:val="auto"/>
        </w:rPr>
      </w:pPr>
    </w:p>
    <w:p>
      <w:pPr>
        <w:ind w:left="1300" w:hanging="648"/>
        <w:spacing w:after="0" w:line="246" w:lineRule="auto"/>
        <w:rPr>
          <w:rFonts w:ascii="Arial" w:cs="Arial" w:eastAsia="Arial" w:hAnsi="Arial"/>
          <w:sz w:val="20"/>
          <w:szCs w:val="20"/>
          <w:color w:val="auto"/>
        </w:rPr>
      </w:pPr>
      <w:r>
        <w:rPr>
          <w:rFonts w:ascii="Arial" w:cs="Arial" w:eastAsia="Arial" w:hAnsi="Arial"/>
          <w:sz w:val="20"/>
          <w:szCs w:val="20"/>
          <w:color w:val="auto"/>
        </w:rPr>
        <w:t>65.4 by subdivision of its existing Shares or any of them divide the whole or any part of its share capital into Shares of smaller nominal value than is fixed by its Memorandum, subject to the Companies Act, so, however, that in the sub-division the proportion between the amount paid and the amount, if any, unpaid on each reduced Share shall be the same as it was in the case of the Share from which the reduced Share is derived;</w:t>
      </w:r>
    </w:p>
    <w:p>
      <w:pPr>
        <w:spacing w:after="0" w:line="164" w:lineRule="exact"/>
        <w:rPr>
          <w:rFonts w:ascii="Arial" w:cs="Arial" w:eastAsia="Arial" w:hAnsi="Arial"/>
          <w:sz w:val="20"/>
          <w:szCs w:val="20"/>
          <w:color w:val="auto"/>
        </w:rPr>
      </w:pPr>
    </w:p>
    <w:p>
      <w:pPr>
        <w:ind w:left="1300" w:hanging="648"/>
        <w:spacing w:after="0" w:line="260" w:lineRule="auto"/>
        <w:rPr>
          <w:rFonts w:ascii="Arial" w:cs="Arial" w:eastAsia="Arial" w:hAnsi="Arial"/>
          <w:sz w:val="20"/>
          <w:szCs w:val="20"/>
          <w:color w:val="auto"/>
        </w:rPr>
      </w:pPr>
      <w:r>
        <w:rPr>
          <w:rFonts w:ascii="Arial" w:cs="Arial" w:eastAsia="Arial" w:hAnsi="Arial"/>
          <w:sz w:val="20"/>
          <w:szCs w:val="20"/>
          <w:color w:val="auto"/>
        </w:rPr>
        <w:t>65.5 cancel any Shares that at the date of the passing of the relevant Ordinary Resolution have not been taken or agreed to be taken by any person; and</w:t>
      </w:r>
    </w:p>
    <w:p>
      <w:pPr>
        <w:spacing w:after="0" w:line="14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65.6   subject to applicable law, change the currency denomination of its share capital.</w:t>
      </w:r>
    </w:p>
    <w:p>
      <w:pPr>
        <w:spacing w:after="0" w:line="188" w:lineRule="exact"/>
        <w:rPr>
          <w:rFonts w:ascii="Arial" w:cs="Arial" w:eastAsia="Arial" w:hAnsi="Arial"/>
          <w:sz w:val="20"/>
          <w:szCs w:val="20"/>
          <w:color w:val="auto"/>
        </w:rPr>
      </w:pPr>
    </w:p>
    <w:p>
      <w:pPr>
        <w:ind w:left="660" w:hanging="652"/>
        <w:spacing w:after="0"/>
        <w:tabs>
          <w:tab w:leader="none" w:pos="6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Subject to the provisions of the Companies Act, the Company may:</w:t>
      </w:r>
    </w:p>
    <w:p>
      <w:pPr>
        <w:spacing w:after="0" w:line="188" w:lineRule="exact"/>
        <w:rPr>
          <w:rFonts w:ascii="Arial" w:cs="Arial" w:eastAsia="Arial" w:hAnsi="Arial"/>
          <w:sz w:val="20"/>
          <w:szCs w:val="20"/>
          <w:color w:val="auto"/>
        </w:rPr>
      </w:pPr>
    </w:p>
    <w:p>
      <w:pPr>
        <w:ind w:left="1300" w:right="20" w:hanging="648"/>
        <w:spacing w:after="0" w:line="260" w:lineRule="auto"/>
        <w:rPr>
          <w:rFonts w:ascii="Arial" w:cs="Arial" w:eastAsia="Arial" w:hAnsi="Arial"/>
          <w:sz w:val="20"/>
          <w:szCs w:val="20"/>
          <w:color w:val="auto"/>
        </w:rPr>
      </w:pPr>
      <w:r>
        <w:rPr>
          <w:rFonts w:ascii="Arial" w:cs="Arial" w:eastAsia="Arial" w:hAnsi="Arial"/>
          <w:sz w:val="20"/>
          <w:szCs w:val="20"/>
          <w:color w:val="auto"/>
        </w:rPr>
        <w:t>66.1 by Special Resolution change its name, alter or add to the Memorandum with respect to any objects, powers or other matters specified therein or alter or add to these Articles;</w:t>
      </w:r>
    </w:p>
    <w:p>
      <w:pPr>
        <w:spacing w:after="0" w:line="149" w:lineRule="exact"/>
        <w:rPr>
          <w:rFonts w:ascii="Arial" w:cs="Arial" w:eastAsia="Arial" w:hAnsi="Arial"/>
          <w:sz w:val="20"/>
          <w:szCs w:val="20"/>
          <w:color w:val="auto"/>
        </w:rPr>
      </w:pPr>
    </w:p>
    <w:p>
      <w:pPr>
        <w:ind w:left="1300" w:hanging="648"/>
        <w:spacing w:after="0" w:line="243" w:lineRule="auto"/>
        <w:rPr>
          <w:rFonts w:ascii="Arial" w:cs="Arial" w:eastAsia="Arial" w:hAnsi="Arial"/>
          <w:sz w:val="20"/>
          <w:szCs w:val="20"/>
          <w:color w:val="auto"/>
        </w:rPr>
      </w:pPr>
      <w:r>
        <w:rPr>
          <w:rFonts w:ascii="Arial" w:cs="Arial" w:eastAsia="Arial" w:hAnsi="Arial"/>
          <w:sz w:val="20"/>
          <w:szCs w:val="20"/>
          <w:color w:val="auto"/>
        </w:rPr>
        <w:t>66.2 in accordance with section 84 of the Companies Act, by Special Resolution reduce its issued share capital and any capital redemption reserve fund, share premium account or undenominated capital. In relation to such reductions, the Company may by Special Resolution determine the terms upon which the reduction is to be effected, including in the case of a reduction of part only of any class of Shares, those Shares to be affected. Nothing in this Article 66.2 shall, however, prejudice or limit the Company’s ability to perform or engage in any of the actions described in section 83(1) of the Companies Act by way of Ordinary Resolution only; and</w:t>
      </w:r>
    </w:p>
    <w:p>
      <w:pPr>
        <w:spacing w:after="0" w:line="16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66.3   by resolution of the Directors change the location of its registered office.</w:t>
      </w:r>
    </w:p>
    <w:p>
      <w:pPr>
        <w:spacing w:after="0" w:line="188" w:lineRule="exact"/>
        <w:rPr>
          <w:rFonts w:ascii="Arial" w:cs="Arial" w:eastAsia="Arial" w:hAnsi="Arial"/>
          <w:sz w:val="20"/>
          <w:szCs w:val="20"/>
          <w:color w:val="auto"/>
        </w:rPr>
      </w:pPr>
    </w:p>
    <w:p>
      <w:pPr>
        <w:jc w:val="both"/>
        <w:ind w:left="660" w:hanging="652"/>
        <w:spacing w:after="0" w:line="276"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Whenever as a result of an alteration or reorganisation of the share capital of the Company any Members would become entitled to fractions of a Share, the Directors may, on behalf of those Members, sell the Shares representing the fractions for the best price reasonably obtainable to any person and distribute the proceeds of sale (less any costs and expenses associated with such sale) in due proportion among those Members, and the Directors may authorise any person to execute an instrument of transfer of the Shares to, or in accordance with the directions of, the purchaser. The transferee shall not be bound to see to the application of the purchase money nor shall her title to the Shares be affected by any irregularity in or invalidity of the proceedings in reference to the sale.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589"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0"/>
          <w:szCs w:val="20"/>
          <w:b w:val="1"/>
          <w:bCs w:val="1"/>
          <w:color w:val="auto"/>
        </w:rPr>
        <w:t>CLOSING REGISTER OF MEMBERS OR FIXING RECORD DATE</w:t>
      </w:r>
    </w:p>
    <w:p>
      <w:pPr>
        <w:spacing w:after="0" w:line="195" w:lineRule="exact"/>
        <w:rPr>
          <w:sz w:val="20"/>
          <w:szCs w:val="20"/>
          <w:color w:val="auto"/>
        </w:rPr>
      </w:pPr>
    </w:p>
    <w:p>
      <w:pPr>
        <w:jc w:val="both"/>
        <w:ind w:left="660" w:hanging="652"/>
        <w:spacing w:after="0" w:line="243" w:lineRule="auto"/>
        <w:tabs>
          <w:tab w:leader="none" w:pos="6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For the purpose of determining Members entitled to notice of or to vote at any meeting of Members or any adjournment thereof, or Members entitled to receive payment of any dividend, or in order to make a determination of Members for any other proper purpose, the Board may provide, subject to the requirements of the Companies Act, that the Register of Members shall be closed for transfers at such times and for such periods, not exceeding in the whole 30 days in each year. If the Register of Members shall be so closed for the purpose of determining Members entitled to notice of or to vote at a meeting of Members such Register of Members shall be so closed for at least five (5) days immediately preceding such meeting and the record date for such determination shall be the date of the closure of the Register of Members.</w:t>
      </w:r>
    </w:p>
    <w:p>
      <w:pPr>
        <w:spacing w:after="0" w:line="166" w:lineRule="exact"/>
        <w:rPr>
          <w:rFonts w:ascii="Arial" w:cs="Arial" w:eastAsia="Arial" w:hAnsi="Arial"/>
          <w:sz w:val="20"/>
          <w:szCs w:val="20"/>
          <w:color w:val="auto"/>
        </w:rPr>
      </w:pPr>
    </w:p>
    <w:p>
      <w:pPr>
        <w:jc w:val="both"/>
        <w:ind w:left="660" w:hanging="652"/>
        <w:spacing w:after="0" w:line="243" w:lineRule="auto"/>
        <w:tabs>
          <w:tab w:leader="none" w:pos="6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In lieu of, or apart from, closing the Register of Members, the Board may fix in advance a date as the record date (a) for any such determination of Members entitled to notice of or to vote at a meeting of the Members, which record date shall not be more than ninety (90) days nor less than ten (10) days before the date of such meeting, and (b) for the purpose of determining the Members entitled to receive payment of any dividend, or in order to make a determination of Members for any other proper purpose, which record date shall not be more than ninety (90) days prior to the date of payment of such dividend or the taking of any action to which such determination of Members is relevant. The record date shall not precede the date upon which the resolution fixing the record date is adopted by the Directors.</w:t>
      </w:r>
    </w:p>
    <w:p>
      <w:pPr>
        <w:spacing w:after="0" w:line="166" w:lineRule="exact"/>
        <w:rPr>
          <w:rFonts w:ascii="Arial" w:cs="Arial" w:eastAsia="Arial" w:hAnsi="Arial"/>
          <w:sz w:val="20"/>
          <w:szCs w:val="20"/>
          <w:color w:val="auto"/>
        </w:rPr>
      </w:pPr>
    </w:p>
    <w:p>
      <w:pPr>
        <w:jc w:val="both"/>
        <w:ind w:left="660" w:hanging="652"/>
        <w:spacing w:after="0" w:line="276"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 Register of Members is not so closed and no record date is fixed for the determination of Members entitled to notice of or to vote at a meeting of Members or Members entitled to receive payment of a dividend, the date immediately preceding the date on which notice of the meeting is deemed given under these Articles or the date on which the resolution of the Directors declaring such dividend is adopted, as the case may be, shall be the record date for such determination of Members. When a determination of Members entitled to vote at any meeting of Members has been made as provided in these Articles, such determination shall apply to any adjournment thereof; provided, however, that the Directors may fix a new record date of the adjourned meeting, if they think fit.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MEETINGS</w:t>
      </w:r>
    </w:p>
    <w:p>
      <w:pPr>
        <w:spacing w:after="0" w:line="195" w:lineRule="exact"/>
        <w:rPr>
          <w:sz w:val="20"/>
          <w:szCs w:val="20"/>
          <w:color w:val="auto"/>
        </w:rPr>
      </w:pPr>
    </w:p>
    <w:p>
      <w:pPr>
        <w:ind w:left="660" w:hanging="652"/>
        <w:spacing w:after="0" w:line="260" w:lineRule="auto"/>
        <w:tabs>
          <w:tab w:leader="none" w:pos="6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Board shall convene and the Company shall hold annual general meetings in accordance with the requirements of the Companies Act.</w:t>
      </w:r>
    </w:p>
    <w:p>
      <w:pPr>
        <w:spacing w:after="0" w:line="149" w:lineRule="exact"/>
        <w:rPr>
          <w:rFonts w:ascii="Arial" w:cs="Arial" w:eastAsia="Arial" w:hAnsi="Arial"/>
          <w:sz w:val="20"/>
          <w:szCs w:val="20"/>
          <w:color w:val="auto"/>
        </w:rPr>
      </w:pPr>
    </w:p>
    <w:p>
      <w:pPr>
        <w:jc w:val="both"/>
        <w:ind w:left="660" w:hanging="652"/>
        <w:spacing w:after="0" w:line="291"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Board may, whenever it thinks fit, and shall, on the requisition in writing of Members holding such number of Shares as is prescribed by, and made in accordance with section 178(3) of the Companies Act, convene a general meeting in the manner required by the Companies Act. All general meetings other than annual general meetings shall be called extraordinary general meetings.</w:t>
      </w:r>
    </w:p>
    <w:p>
      <w:pPr>
        <w:spacing w:after="0" w:line="124"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Company shall in each year hold a general meeting as its annual general meeting in addition to any other meeting in that year, and shall specify the meeting as such in the notices calling it. Not more than fifteen months shall elapse between the date of one annual general meeting of the Company and that of the next. Subject to the Companies Act, any general meeting may be held outside of Ireland.</w:t>
      </w:r>
    </w:p>
    <w:p>
      <w:pPr>
        <w:spacing w:after="0" w:line="164" w:lineRule="exact"/>
        <w:rPr>
          <w:rFonts w:ascii="Arial" w:cs="Arial" w:eastAsia="Arial" w:hAnsi="Arial"/>
          <w:sz w:val="20"/>
          <w:szCs w:val="20"/>
          <w:color w:val="auto"/>
        </w:rPr>
      </w:pPr>
    </w:p>
    <w:p>
      <w:pPr>
        <w:ind w:left="660" w:hanging="652"/>
        <w:spacing w:after="0"/>
        <w:tabs>
          <w:tab w:leader="none" w:pos="6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Each general meeting shall be held at such time and place as specified in the notice of meeting.</w:t>
      </w:r>
    </w:p>
    <w:p>
      <w:pPr>
        <w:spacing w:after="0" w:line="188"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Board may, in its absolute discretion, authorise the Secretary to postpone any general meeting called in accordance with the provisions of these Articles (other than a meeting requisitioned under Article 72 of these Articles or the postponement of which would be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589" w:right="239" w:bottom="1440" w:gutter="0" w:footer="0" w:header="0"/>
        </w:sectPr>
      </w:pPr>
    </w:p>
    <w:bookmarkStart w:id="120" w:name="page121"/>
    <w:bookmarkEnd w:id="120"/>
    <w:p>
      <w:pPr>
        <w:jc w:val="both"/>
        <w:ind w:left="660"/>
        <w:spacing w:after="0" w:line="246" w:lineRule="auto"/>
        <w:rPr>
          <w:sz w:val="20"/>
          <w:szCs w:val="20"/>
          <w:color w:val="auto"/>
        </w:rPr>
      </w:pPr>
      <w:r>
        <w:rPr>
          <w:rFonts w:ascii="Arial" w:cs="Arial" w:eastAsia="Arial" w:hAnsi="Arial"/>
          <w:sz w:val="20"/>
          <w:szCs w:val="20"/>
          <w:color w:val="auto"/>
        </w:rPr>
        <w:t>contrary to the Companies Act, law or a court order pursuant to the Companies Act) if the Board considers that, for any reason, it is impractical or unreasonable to hold the general meeting, provided that notice of postponement is given to each Member before the time for such meeting. Fresh notice of the date, time and place for the postponed meeting shall be given to each Member in accordance with the provisions of these articles.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GENERAL MEETINGS</w:t>
      </w:r>
    </w:p>
    <w:p>
      <w:pPr>
        <w:spacing w:after="0" w:line="195" w:lineRule="exact"/>
        <w:rPr>
          <w:sz w:val="20"/>
          <w:szCs w:val="20"/>
          <w:color w:val="auto"/>
        </w:rPr>
      </w:pPr>
    </w:p>
    <w:p>
      <w:pPr>
        <w:jc w:val="both"/>
        <w:ind w:left="660" w:hanging="652"/>
        <w:spacing w:after="0" w:line="243" w:lineRule="auto"/>
        <w:tabs>
          <w:tab w:leader="none" w:pos="6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Subject to the provisions of the Companies Act allowing a general meeting to be called by shorter notice, an annual general meeting, and an extraordinary general meeting called for the passing of a Special Resolution, shall be called by at least twenty-one (21) clear days’ notice and all other extraordinary general meetings shall be called by at least fourteen (14) clear days’ notice. Such notice shall state the date, time, place of the meeting and, in the case of an extraordinary general meeting, the general nature of the business to be considered. Every notice shall be exclusive of the day on which it is given or deemed to be given and of the day for which it is given and shall specify such other details as are required by applicable law or the relevant code, rules and regulations applicable to the listing of the Shares on an Exchange.</w:t>
      </w:r>
    </w:p>
    <w:p>
      <w:pPr>
        <w:spacing w:after="0" w:line="166" w:lineRule="exact"/>
        <w:rPr>
          <w:rFonts w:ascii="Arial" w:cs="Arial" w:eastAsia="Arial" w:hAnsi="Arial"/>
          <w:sz w:val="20"/>
          <w:szCs w:val="20"/>
          <w:color w:val="auto"/>
        </w:rPr>
      </w:pPr>
    </w:p>
    <w:p>
      <w:pPr>
        <w:jc w:val="both"/>
        <w:ind w:left="660" w:hanging="652"/>
        <w:spacing w:after="0" w:line="291"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general meeting of the Company shall, whether or not the notice specified in this article has been given and whether or not the provisions of the Articles regarding general meetings have been complied with, be deemed to have been duly convened if applicable law so permits and it is so agreed by the Auditors and by all the Members entitled to attend and vote thereat or by their proxies.</w:t>
      </w:r>
    </w:p>
    <w:p>
      <w:pPr>
        <w:spacing w:after="0" w:line="124"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notice convening an annual general meeting shall specify the meeting as such, and the notice convening a meeting to pass a Special Resolution shall specify the intention to propose the resolution as a Special Resolution. Notice of every general meeting shall be given in any manner permitted by these Articles to all Members other than such as, under the provisions hereof or the terms of issue of the Shares they hold, those who are not entitled to receive such notice from the Company.</w:t>
      </w:r>
    </w:p>
    <w:p>
      <w:pPr>
        <w:spacing w:after="0" w:line="149" w:lineRule="exact"/>
        <w:rPr>
          <w:rFonts w:ascii="Arial" w:cs="Arial" w:eastAsia="Arial" w:hAnsi="Arial"/>
          <w:sz w:val="19"/>
          <w:szCs w:val="19"/>
          <w:color w:val="auto"/>
        </w:rPr>
      </w:pPr>
    </w:p>
    <w:p>
      <w:pPr>
        <w:jc w:val="both"/>
        <w:ind w:left="660" w:hanging="652"/>
        <w:spacing w:after="0" w:line="250" w:lineRule="auto"/>
        <w:tabs>
          <w:tab w:leader="none" w:pos="6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There shall appear with reasonable prominence in every notice of general meetings of the Company a statement that a Member entitled to attend and vote is entitled to appoint one or more proxies to attend and vote instead of her and that a proxy need not be a Member of the Company.</w:t>
      </w:r>
    </w:p>
    <w:p>
      <w:pPr>
        <w:spacing w:after="0" w:line="159"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accidental omission to give notice of a general meeting to, or the non-receipt of notice of a meeting by any person entitled to receive notice shall not invalidate the proceedings of that meeting.</w:t>
      </w:r>
    </w:p>
    <w:p>
      <w:pPr>
        <w:spacing w:after="0" w:line="149" w:lineRule="exact"/>
        <w:rPr>
          <w:rFonts w:ascii="Arial" w:cs="Arial" w:eastAsia="Arial" w:hAnsi="Arial"/>
          <w:sz w:val="20"/>
          <w:szCs w:val="20"/>
          <w:color w:val="auto"/>
        </w:rPr>
      </w:pPr>
    </w:p>
    <w:p>
      <w:pPr>
        <w:jc w:val="both"/>
        <w:ind w:left="660" w:hanging="652"/>
        <w:spacing w:after="0" w:line="244" w:lineRule="auto"/>
        <w:tabs>
          <w:tab w:leader="none" w:pos="6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In cases where instruments of proxy are sent out with notices, the accidental omission to send such instrument of proxy to, or the non-receipt of such instrument of proxy by, any person entitled to receive notice shall not invalidate any resolution passed or any proceeding at any such meeting. A Member present, either in person or by proxy, at any general meeting of the Company or of the holders of any class of Shares in the Company, will be deemed to have received notice of that meeting and, where required, of the purpose for which it was called.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PROCEEDINGS AT GENERAL MEETINGS</w:t>
      </w:r>
    </w:p>
    <w:p>
      <w:pPr>
        <w:spacing w:after="0" w:line="195" w:lineRule="exact"/>
        <w:rPr>
          <w:sz w:val="20"/>
          <w:szCs w:val="20"/>
          <w:color w:val="auto"/>
        </w:rPr>
      </w:pPr>
    </w:p>
    <w:p>
      <w:pPr>
        <w:ind w:left="660" w:hanging="652"/>
        <w:spacing w:after="0" w:line="260" w:lineRule="auto"/>
        <w:tabs>
          <w:tab w:leader="none" w:pos="6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All business shall be deemed special that is transacted at an extraordinary general meeting, and also all business that is transacted at an annual general meeting with the exception of:</w:t>
      </w:r>
    </w:p>
    <w:p>
      <w:pPr>
        <w:spacing w:after="0" w:line="149" w:lineRule="exact"/>
        <w:rPr>
          <w:rFonts w:ascii="Arial" w:cs="Arial" w:eastAsia="Arial" w:hAnsi="Arial"/>
          <w:sz w:val="20"/>
          <w:szCs w:val="20"/>
          <w:color w:val="auto"/>
        </w:rPr>
      </w:pPr>
    </w:p>
    <w:p>
      <w:pPr>
        <w:ind w:left="1300" w:hanging="648"/>
        <w:spacing w:after="0" w:line="260" w:lineRule="auto"/>
        <w:rPr>
          <w:rFonts w:ascii="Arial" w:cs="Arial" w:eastAsia="Arial" w:hAnsi="Arial"/>
          <w:sz w:val="20"/>
          <w:szCs w:val="20"/>
          <w:color w:val="auto"/>
        </w:rPr>
      </w:pPr>
      <w:r>
        <w:rPr>
          <w:rFonts w:ascii="Arial" w:cs="Arial" w:eastAsia="Arial" w:hAnsi="Arial"/>
          <w:sz w:val="20"/>
          <w:szCs w:val="20"/>
          <w:color w:val="auto"/>
        </w:rPr>
        <w:t>82.1 the consideration of the Company’s statutory financial statements and the report of the Directors and the report of the Auditors on those statements and that report;</w:t>
      </w:r>
    </w:p>
    <w:p>
      <w:pPr>
        <w:spacing w:after="0" w:line="14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82.2   the review by the Members of the Company’s affairs;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595" w:right="239" w:bottom="1440" w:gutter="0" w:footer="0" w:header="0"/>
        </w:sectPr>
      </w:pPr>
    </w:p>
    <w:bookmarkStart w:id="121" w:name="page122"/>
    <w:bookmarkEnd w:id="121"/>
    <w:p>
      <w:pPr>
        <w:ind w:left="660"/>
        <w:spacing w:after="0"/>
        <w:tabs>
          <w:tab w:leader="none" w:pos="1280" w:val="left"/>
        </w:tabs>
        <w:rPr>
          <w:sz w:val="20"/>
          <w:szCs w:val="20"/>
          <w:color w:val="auto"/>
        </w:rPr>
      </w:pPr>
      <w:r>
        <w:rPr>
          <w:rFonts w:ascii="Arial" w:cs="Arial" w:eastAsia="Arial" w:hAnsi="Arial"/>
          <w:sz w:val="20"/>
          <w:szCs w:val="20"/>
          <w:color w:val="auto"/>
        </w:rPr>
        <w:t>82.3</w:t>
      </w:r>
      <w:r>
        <w:rPr>
          <w:sz w:val="20"/>
          <w:szCs w:val="20"/>
          <w:color w:val="auto"/>
        </w:rPr>
        <w:tab/>
      </w:r>
      <w:r>
        <w:rPr>
          <w:rFonts w:ascii="Arial" w:cs="Arial" w:eastAsia="Arial" w:hAnsi="Arial"/>
          <w:sz w:val="18"/>
          <w:szCs w:val="18"/>
          <w:color w:val="auto"/>
        </w:rPr>
        <w:t>the declaration of a dividend (if any) of an amount not exceeding the amount recommended by the Directors;</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82.4</w:t>
      </w:r>
      <w:r>
        <w:rPr>
          <w:sz w:val="20"/>
          <w:szCs w:val="20"/>
          <w:color w:val="auto"/>
        </w:rPr>
        <w:tab/>
      </w:r>
      <w:r>
        <w:rPr>
          <w:rFonts w:ascii="Arial" w:cs="Arial" w:eastAsia="Arial" w:hAnsi="Arial"/>
          <w:sz w:val="18"/>
          <w:szCs w:val="18"/>
          <w:color w:val="auto"/>
        </w:rPr>
        <w:t>the appointment and reappointment of Auditors;</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82.5</w:t>
      </w:r>
      <w:r>
        <w:rPr>
          <w:sz w:val="20"/>
          <w:szCs w:val="20"/>
          <w:color w:val="auto"/>
        </w:rPr>
        <w:tab/>
      </w:r>
      <w:r>
        <w:rPr>
          <w:rFonts w:ascii="Arial" w:cs="Arial" w:eastAsia="Arial" w:hAnsi="Arial"/>
          <w:sz w:val="18"/>
          <w:szCs w:val="18"/>
          <w:color w:val="auto"/>
        </w:rPr>
        <w:t>the authorisation of the Directors to approve the remuneration of the Auditors; and</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82.6</w:t>
      </w:r>
      <w:r>
        <w:rPr>
          <w:sz w:val="20"/>
          <w:szCs w:val="20"/>
          <w:color w:val="auto"/>
        </w:rPr>
        <w:tab/>
      </w:r>
      <w:r>
        <w:rPr>
          <w:rFonts w:ascii="Arial" w:cs="Arial" w:eastAsia="Arial" w:hAnsi="Arial"/>
          <w:sz w:val="18"/>
          <w:szCs w:val="18"/>
          <w:color w:val="auto"/>
        </w:rPr>
        <w:t>the election and re-election of Directors.</w:t>
      </w:r>
    </w:p>
    <w:p>
      <w:pPr>
        <w:spacing w:after="0" w:line="189" w:lineRule="exact"/>
        <w:rPr>
          <w:sz w:val="20"/>
          <w:szCs w:val="20"/>
          <w:color w:val="auto"/>
        </w:rPr>
      </w:pPr>
    </w:p>
    <w:p>
      <w:pPr>
        <w:jc w:val="both"/>
        <w:ind w:left="660" w:hanging="652"/>
        <w:spacing w:after="0" w:line="250" w:lineRule="auto"/>
        <w:tabs>
          <w:tab w:leader="none" w:pos="6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No business shall be transacted at any general meeting unless a quorum is present. One or more Members present in person or by proxy holding not less than a majority of the issued and outstanding ordinary shares of the Company entitled to vote at the meeting in question shall be a quorum.</w:t>
      </w:r>
    </w:p>
    <w:p>
      <w:pPr>
        <w:spacing w:after="0" w:line="159" w:lineRule="exact"/>
        <w:rPr>
          <w:rFonts w:ascii="Arial" w:cs="Arial" w:eastAsia="Arial" w:hAnsi="Arial"/>
          <w:sz w:val="20"/>
          <w:szCs w:val="20"/>
          <w:color w:val="auto"/>
        </w:rPr>
      </w:pPr>
    </w:p>
    <w:p>
      <w:pPr>
        <w:jc w:val="both"/>
        <w:ind w:left="660" w:hanging="652"/>
        <w:spacing w:after="0" w:line="263" w:lineRule="auto"/>
        <w:tabs>
          <w:tab w:leader="none" w:pos="660" w:val="left"/>
        </w:tabs>
        <w:numPr>
          <w:ilvl w:val="0"/>
          <w:numId w:val="80"/>
        </w:numPr>
        <w:rPr>
          <w:rFonts w:ascii="Arial" w:cs="Arial" w:eastAsia="Arial" w:hAnsi="Arial"/>
          <w:sz w:val="19"/>
          <w:szCs w:val="19"/>
          <w:color w:val="auto"/>
        </w:rPr>
      </w:pPr>
      <w:r>
        <w:rPr>
          <w:rFonts w:ascii="Arial" w:cs="Arial" w:eastAsia="Arial" w:hAnsi="Arial"/>
          <w:sz w:val="19"/>
          <w:szCs w:val="19"/>
          <w:color w:val="auto"/>
        </w:rPr>
        <w:t>If within one hour from the time appointed for the meeting a quorum is not present, the meeting, if convened upon the requisition of Members, shall be dissolved and in any other case it shall stand adjourned to the same day in the next week at the same time and place or to such other time or such other place as the Board may determine and if at the adjourned meeting a quorum is not present within one hour from the time appointed for the meeting the Members present shall be a quorum.</w:t>
      </w:r>
    </w:p>
    <w:p>
      <w:pPr>
        <w:spacing w:after="0" w:line="149" w:lineRule="exact"/>
        <w:rPr>
          <w:rFonts w:ascii="Arial" w:cs="Arial" w:eastAsia="Arial" w:hAnsi="Arial"/>
          <w:sz w:val="19"/>
          <w:szCs w:val="19"/>
          <w:color w:val="auto"/>
        </w:rPr>
      </w:pPr>
    </w:p>
    <w:p>
      <w:pPr>
        <w:jc w:val="both"/>
        <w:ind w:left="660" w:hanging="652"/>
        <w:spacing w:after="0" w:line="263" w:lineRule="auto"/>
        <w:tabs>
          <w:tab w:leader="none" w:pos="660" w:val="left"/>
        </w:tabs>
        <w:numPr>
          <w:ilvl w:val="0"/>
          <w:numId w:val="80"/>
        </w:numPr>
        <w:rPr>
          <w:rFonts w:ascii="Arial" w:cs="Arial" w:eastAsia="Arial" w:hAnsi="Arial"/>
          <w:sz w:val="19"/>
          <w:szCs w:val="19"/>
          <w:color w:val="auto"/>
        </w:rPr>
      </w:pPr>
      <w:r>
        <w:rPr>
          <w:rFonts w:ascii="Arial" w:cs="Arial" w:eastAsia="Arial" w:hAnsi="Arial"/>
          <w:sz w:val="19"/>
          <w:szCs w:val="19"/>
          <w:color w:val="auto"/>
        </w:rPr>
        <w:t>If the Board wishes to make this facility available to Members for a specific or all general meetings of the Company, a Member may participate in any general meeting of the Company, by means of a telephone, video, electronic or similar communication equipment by way of which all persons participating in such meeting can communicate with each other simultaneously and instantaneously and such participation shall be deemed to constitute presence in person at the meeting.</w:t>
      </w:r>
    </w:p>
    <w:p>
      <w:pPr>
        <w:spacing w:after="0" w:line="149" w:lineRule="exact"/>
        <w:rPr>
          <w:rFonts w:ascii="Arial" w:cs="Arial" w:eastAsia="Arial" w:hAnsi="Arial"/>
          <w:sz w:val="19"/>
          <w:szCs w:val="19"/>
          <w:color w:val="auto"/>
        </w:rPr>
      </w:pPr>
    </w:p>
    <w:p>
      <w:pPr>
        <w:ind w:left="660" w:hanging="652"/>
        <w:spacing w:after="0"/>
        <w:tabs>
          <w:tab w:leader="none" w:pos="6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Each Director and the Auditors shall be entitled to attend and speak at any general meeting of the Company.</w:t>
      </w:r>
    </w:p>
    <w:p>
      <w:pPr>
        <w:spacing w:after="0" w:line="188" w:lineRule="exact"/>
        <w:rPr>
          <w:rFonts w:ascii="Arial" w:cs="Arial" w:eastAsia="Arial" w:hAnsi="Arial"/>
          <w:sz w:val="20"/>
          <w:szCs w:val="20"/>
          <w:color w:val="auto"/>
        </w:rPr>
      </w:pPr>
    </w:p>
    <w:p>
      <w:pPr>
        <w:jc w:val="both"/>
        <w:ind w:left="660" w:hanging="652"/>
        <w:spacing w:after="0" w:line="263" w:lineRule="auto"/>
        <w:tabs>
          <w:tab w:leader="none" w:pos="66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Chairman, if any, of the Board shall preside as Chairman at every general meeting of the Company, or if there is no such Chairman, or if she shall not be present within one hour after the time appointed for the holding of the meeting, or is unwilling to act, the Directors present shall elect one of their number to be Chairman of the meeting or if all of the Directors present decline to take the chair, then the Members present shall choose one of their own number to be Chairman of the meeting.</w:t>
      </w:r>
    </w:p>
    <w:p>
      <w:pPr>
        <w:spacing w:after="0" w:line="149" w:lineRule="exact"/>
        <w:rPr>
          <w:rFonts w:ascii="Arial" w:cs="Arial" w:eastAsia="Arial" w:hAnsi="Arial"/>
          <w:sz w:val="19"/>
          <w:szCs w:val="19"/>
          <w:color w:val="auto"/>
        </w:rPr>
      </w:pPr>
    </w:p>
    <w:p>
      <w:pPr>
        <w:jc w:val="both"/>
        <w:ind w:left="660" w:hanging="652"/>
        <w:spacing w:after="0" w:line="243" w:lineRule="auto"/>
        <w:tabs>
          <w:tab w:leader="none" w:pos="6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Chairman may, with the consent of any general meeting duly constituted hereunder, and shall if so directed by the meeting, adjourn the meeting from time to time and from place to place, but no business shall be transacted at any adjourned meeting other than the business left unfinished, or which might have be transacted, at the meeting from which the adjournment took place. When a general meeting is adjourned for thirty days or more, notice of the adjourned meeting shall be given as in the case of an original meeting; save as aforesaid it shall not be necessary to give any notice of an adjournment or of the business to be transacted at an adjourned general meeting.</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89.</w:t>
      </w:r>
    </w:p>
    <w:p>
      <w:pPr>
        <w:spacing w:after="0" w:line="189" w:lineRule="exact"/>
        <w:rPr>
          <w:sz w:val="20"/>
          <w:szCs w:val="20"/>
          <w:color w:val="auto"/>
        </w:rPr>
      </w:pPr>
    </w:p>
    <w:p>
      <w:pPr>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89.1</w:t>
        <w:tab/>
        <w:t>Subject to the Companies Act and these Articles, a resolution may only be put to a vote at a general meeting of the Company or of any class of Members if:</w:t>
      </w:r>
    </w:p>
    <w:p>
      <w:pPr>
        <w:spacing w:after="0" w:line="150" w:lineRule="exact"/>
        <w:rPr>
          <w:sz w:val="20"/>
          <w:szCs w:val="20"/>
          <w:color w:val="auto"/>
        </w:rPr>
      </w:pPr>
    </w:p>
    <w:p>
      <w:pPr>
        <w:ind w:left="1960" w:hanging="655"/>
        <w:spacing w:after="0"/>
        <w:tabs>
          <w:tab w:leader="none" w:pos="19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it is proposed by or at the direction of the Board;</w:t>
      </w:r>
    </w:p>
    <w:p>
      <w:pPr>
        <w:spacing w:after="0" w:line="188" w:lineRule="exact"/>
        <w:rPr>
          <w:rFonts w:ascii="Arial" w:cs="Arial" w:eastAsia="Arial" w:hAnsi="Arial"/>
          <w:sz w:val="20"/>
          <w:szCs w:val="20"/>
          <w:color w:val="auto"/>
        </w:rPr>
      </w:pPr>
    </w:p>
    <w:p>
      <w:pPr>
        <w:ind w:left="1960" w:hanging="655"/>
        <w:spacing w:after="0"/>
        <w:tabs>
          <w:tab w:leader="none" w:pos="19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it is proposed at the direction of the Court;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595" w:right="239" w:bottom="1440" w:gutter="0" w:footer="0" w:header="0"/>
        </w:sectPr>
      </w:pPr>
    </w:p>
    <w:bookmarkStart w:id="122" w:name="page123"/>
    <w:bookmarkEnd w:id="122"/>
    <w:p>
      <w:pPr>
        <w:ind w:left="1960" w:hanging="655"/>
        <w:spacing w:after="0" w:line="260" w:lineRule="auto"/>
        <w:tabs>
          <w:tab w:leader="none" w:pos="19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it is proposed on the requisition in writing of such number of Members as is prescribed by, and is made in accordance with section 178(3) of the Companies Act;</w:t>
      </w:r>
    </w:p>
    <w:p>
      <w:pPr>
        <w:spacing w:after="0" w:line="149" w:lineRule="exact"/>
        <w:rPr>
          <w:rFonts w:ascii="Arial" w:cs="Arial" w:eastAsia="Arial" w:hAnsi="Arial"/>
          <w:sz w:val="20"/>
          <w:szCs w:val="20"/>
          <w:color w:val="auto"/>
        </w:rPr>
      </w:pPr>
    </w:p>
    <w:p>
      <w:pPr>
        <w:ind w:left="1960" w:hanging="655"/>
        <w:spacing w:after="0"/>
        <w:tabs>
          <w:tab w:leader="none" w:pos="19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it is proposed pursuant to, and in accordance with the procedures and requirements of Articles 97 or 98; or</w:t>
      </w:r>
    </w:p>
    <w:p>
      <w:pPr>
        <w:spacing w:after="0" w:line="188" w:lineRule="exact"/>
        <w:rPr>
          <w:rFonts w:ascii="Arial" w:cs="Arial" w:eastAsia="Arial" w:hAnsi="Arial"/>
          <w:sz w:val="20"/>
          <w:szCs w:val="20"/>
          <w:color w:val="auto"/>
        </w:rPr>
      </w:pPr>
    </w:p>
    <w:p>
      <w:pPr>
        <w:ind w:left="1960" w:hanging="655"/>
        <w:spacing w:after="0" w:line="260" w:lineRule="auto"/>
        <w:tabs>
          <w:tab w:leader="none" w:pos="19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Chairman of the meeting in her absolute discretion decides that the resolution may properly be regarded as within the scope of the meeting.</w:t>
      </w:r>
    </w:p>
    <w:p>
      <w:pPr>
        <w:spacing w:after="0" w:line="150" w:lineRule="exact"/>
        <w:rPr>
          <w:sz w:val="20"/>
          <w:szCs w:val="20"/>
          <w:color w:val="auto"/>
        </w:rPr>
      </w:pPr>
    </w:p>
    <w:p>
      <w:pPr>
        <w:jc w:val="both"/>
        <w:ind w:left="1300" w:hanging="647"/>
        <w:spacing w:after="0" w:line="386" w:lineRule="auto"/>
        <w:tabs>
          <w:tab w:leader="none" w:pos="1280" w:val="left"/>
        </w:tabs>
        <w:rPr>
          <w:sz w:val="20"/>
          <w:szCs w:val="20"/>
          <w:color w:val="auto"/>
        </w:rPr>
      </w:pPr>
      <w:r>
        <w:rPr>
          <w:rFonts w:ascii="Arial" w:cs="Arial" w:eastAsia="Arial" w:hAnsi="Arial"/>
          <w:sz w:val="20"/>
          <w:szCs w:val="20"/>
          <w:color w:val="auto"/>
        </w:rPr>
        <w:t>89.2</w:t>
      </w:r>
      <w:r>
        <w:rPr>
          <w:sz w:val="20"/>
          <w:szCs w:val="20"/>
          <w:color w:val="auto"/>
        </w:rPr>
        <w:tab/>
      </w:r>
      <w:r>
        <w:rPr>
          <w:rFonts w:ascii="Arial" w:cs="Arial" w:eastAsia="Arial" w:hAnsi="Arial"/>
          <w:sz w:val="16"/>
          <w:szCs w:val="16"/>
          <w:color w:val="auto"/>
        </w:rPr>
        <w:t>No amendment may be made to a resolution, at or before the time when it is put to a vote, unless the Chairman of the meeting in her absolute discretion decides that the amendment or the amended resolution may properly be put to a vote at that meeting.</w:t>
      </w:r>
    </w:p>
    <w:p>
      <w:pPr>
        <w:spacing w:after="0" w:line="56" w:lineRule="exact"/>
        <w:rPr>
          <w:sz w:val="20"/>
          <w:szCs w:val="20"/>
          <w:color w:val="auto"/>
        </w:rPr>
      </w:pPr>
    </w:p>
    <w:p>
      <w:pPr>
        <w:jc w:val="both"/>
        <w:ind w:left="1300" w:hanging="647"/>
        <w:spacing w:after="0" w:line="291" w:lineRule="auto"/>
        <w:tabs>
          <w:tab w:leader="none" w:pos="1280" w:val="left"/>
        </w:tabs>
        <w:rPr>
          <w:sz w:val="20"/>
          <w:szCs w:val="20"/>
          <w:color w:val="auto"/>
        </w:rPr>
      </w:pPr>
      <w:r>
        <w:rPr>
          <w:rFonts w:ascii="Arial" w:cs="Arial" w:eastAsia="Arial" w:hAnsi="Arial"/>
          <w:sz w:val="20"/>
          <w:szCs w:val="20"/>
          <w:color w:val="auto"/>
        </w:rPr>
        <w:t>89.3</w:t>
      </w:r>
      <w:r>
        <w:rPr>
          <w:sz w:val="20"/>
          <w:szCs w:val="20"/>
          <w:color w:val="auto"/>
        </w:rPr>
        <w:tab/>
      </w:r>
      <w:r>
        <w:rPr>
          <w:rFonts w:ascii="Arial" w:cs="Arial" w:eastAsia="Arial" w:hAnsi="Arial"/>
          <w:sz w:val="18"/>
          <w:szCs w:val="18"/>
          <w:color w:val="auto"/>
        </w:rPr>
        <w:t>If the Chairman of the meeting rules a resolution or an amendment to a resolution admissible or out of order (as the case may be), the proceedings of the meeting or on the resolution in question shall not be invalidated by any error in her ruling. Any ruling by the Chairman of the meeting in relation to a resolution or an amendment to a resolution shall be final and conclusive.</w:t>
      </w:r>
    </w:p>
    <w:p>
      <w:pPr>
        <w:spacing w:after="0" w:line="125" w:lineRule="exact"/>
        <w:rPr>
          <w:sz w:val="20"/>
          <w:szCs w:val="20"/>
          <w:color w:val="auto"/>
        </w:rPr>
      </w:pPr>
    </w:p>
    <w:p>
      <w:pPr>
        <w:jc w:val="both"/>
        <w:ind w:left="660" w:hanging="652"/>
        <w:spacing w:after="0" w:line="250" w:lineRule="auto"/>
        <w:tabs>
          <w:tab w:leader="none" w:pos="6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Except where a greater majority is required by the Companies Act or these Articles, any question proposed for a decision of the Members at any general meeting of the Company or a decision of any class of Members at a separate meeting of any class of Shares shall be decided by an Ordinary Resolution.</w:t>
      </w:r>
    </w:p>
    <w:p>
      <w:pPr>
        <w:spacing w:after="0" w:line="159"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At any general meeting a resolution put to the vote of the meeting shall be decided on a poll. The Board or the Chairman may determine the manner in which the poll is to be taken and the manner in which the votes are to be counted.</w:t>
      </w:r>
    </w:p>
    <w:p>
      <w:pPr>
        <w:spacing w:after="0" w:line="149" w:lineRule="exact"/>
        <w:rPr>
          <w:rFonts w:ascii="Arial" w:cs="Arial" w:eastAsia="Arial" w:hAnsi="Arial"/>
          <w:sz w:val="20"/>
          <w:szCs w:val="20"/>
          <w:color w:val="auto"/>
        </w:rPr>
      </w:pPr>
    </w:p>
    <w:p>
      <w:pPr>
        <w:jc w:val="both"/>
        <w:ind w:left="660" w:hanging="652"/>
        <w:spacing w:after="0" w:line="246" w:lineRule="auto"/>
        <w:tabs>
          <w:tab w:leader="none" w:pos="6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A poll demanded on the election of the Chairman or on a question of adjournment shall be taken forthwith. A poll demanded on any other question shall be taken at such time, not being more than ten days from the date of the meeting or adjourned meeting at which the vote was taken, as the Chairman of the meeting directs, and any business other than that on which a poll has been demanded may be proceeded with pending the taking of the poll.</w:t>
      </w:r>
    </w:p>
    <w:p>
      <w:pPr>
        <w:spacing w:after="0" w:line="164"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No notice need be given of a poll not taken immediately. The result of the poll shall be deemed to be the resolution of the general meeting at which the poll was demanded. On a poll a Member entitled to more than one vote need not use all her votes or cast all the votes she uses in the same way.</w:t>
      </w:r>
    </w:p>
    <w:p>
      <w:pPr>
        <w:spacing w:after="0" w:line="159" w:lineRule="exact"/>
        <w:rPr>
          <w:rFonts w:ascii="Arial" w:cs="Arial" w:eastAsia="Arial" w:hAnsi="Arial"/>
          <w:sz w:val="20"/>
          <w:szCs w:val="20"/>
          <w:color w:val="auto"/>
        </w:rPr>
      </w:pPr>
    </w:p>
    <w:p>
      <w:pPr>
        <w:jc w:val="both"/>
        <w:ind w:left="660" w:hanging="652"/>
        <w:spacing w:after="0" w:line="269" w:lineRule="auto"/>
        <w:tabs>
          <w:tab w:leader="none" w:pos="6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If authorised by the Board, any vote taken by written ballot may be satisfied by a ballot submitted by electronic or telephonic transmission, provided that any such electronic or telephonic submission must either set forth or be submitted with information from which it can be determined that the electronic submission has been authorised by the Member or proxy.</w:t>
      </w:r>
    </w:p>
    <w:p>
      <w:pPr>
        <w:spacing w:after="0" w:line="143" w:lineRule="exact"/>
        <w:rPr>
          <w:rFonts w:ascii="Arial" w:cs="Arial" w:eastAsia="Arial" w:hAnsi="Arial"/>
          <w:sz w:val="19"/>
          <w:szCs w:val="19"/>
          <w:color w:val="auto"/>
        </w:rPr>
      </w:pPr>
    </w:p>
    <w:p>
      <w:pPr>
        <w:jc w:val="both"/>
        <w:ind w:left="660" w:hanging="652"/>
        <w:spacing w:after="0" w:line="260" w:lineRule="auto"/>
        <w:tabs>
          <w:tab w:leader="none" w:pos="6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Board may, and at any general meeting, the chairman of such meeting may make such arrangement and impose any requirement or restriction it or she considers appropriate to ensure the security of a general meeting including, without limitation, requirements for evidence of identity to be produced by those attending the meeting, the searching of personal property and the restriction of items that may be taken into the meeting place. The Board and, at any general meeting, the chairman of such meeting are entitled to refuse entry to a person who refuses to comply with such arrangements, requirements or restrictions.</w:t>
      </w:r>
    </w:p>
    <w:p>
      <w:pPr>
        <w:spacing w:after="0" w:line="153" w:lineRule="exact"/>
        <w:rPr>
          <w:rFonts w:ascii="Arial" w:cs="Arial" w:eastAsia="Arial" w:hAnsi="Arial"/>
          <w:sz w:val="19"/>
          <w:szCs w:val="19"/>
          <w:color w:val="auto"/>
        </w:rPr>
      </w:pPr>
    </w:p>
    <w:p>
      <w:pPr>
        <w:ind w:left="660" w:hanging="652"/>
        <w:spacing w:after="0" w:line="260" w:lineRule="auto"/>
        <w:tabs>
          <w:tab w:leader="none" w:pos="6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Subject to the Companies Act, a resolution in writing signed by all of the Members for the time being entitled to attend and vote on such resolution at a general meeting (or being bodies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595" w:right="239" w:bottom="1440" w:gutter="0" w:footer="0" w:header="0"/>
        </w:sectPr>
      </w:pPr>
    </w:p>
    <w:bookmarkStart w:id="123" w:name="page124"/>
    <w:bookmarkEnd w:id="123"/>
    <w:p>
      <w:pPr>
        <w:jc w:val="both"/>
        <w:ind w:left="660"/>
        <w:spacing w:after="0" w:line="246" w:lineRule="auto"/>
        <w:rPr>
          <w:sz w:val="20"/>
          <w:szCs w:val="20"/>
          <w:color w:val="auto"/>
        </w:rPr>
      </w:pPr>
      <w:r>
        <w:rPr>
          <w:rFonts w:ascii="Arial" w:cs="Arial" w:eastAsia="Arial" w:hAnsi="Arial"/>
          <w:sz w:val="20"/>
          <w:szCs w:val="20"/>
          <w:color w:val="auto"/>
        </w:rPr>
        <w:t>corporate by their duly authorised representatives) shall be as valid and effective for all purposes as if the resolution had been passed at a general meeting of the Company duly convened and held, and may consist of several documents in like form each signed by one or more persons, and if described as a special resolution shall be deemed to be a Special Resolution. Any such resolution shall be served on the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NOMINATIONS OF DIRECTORS</w:t>
      </w:r>
    </w:p>
    <w:p>
      <w:pPr>
        <w:spacing w:after="0" w:line="195" w:lineRule="exact"/>
        <w:rPr>
          <w:sz w:val="20"/>
          <w:szCs w:val="20"/>
          <w:color w:val="auto"/>
        </w:rPr>
      </w:pPr>
    </w:p>
    <w:p>
      <w:pPr>
        <w:ind w:left="660" w:hanging="652"/>
        <w:spacing w:after="0" w:line="260" w:lineRule="auto"/>
        <w:tabs>
          <w:tab w:leader="none" w:pos="6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Nominations of persons for election to the Board (other than Directors to be nominated by any series of preferred shares, voting separately as a class) at a general meeting may only be made:</w:t>
      </w:r>
    </w:p>
    <w:p>
      <w:pPr>
        <w:spacing w:after="0" w:line="14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97.1   pursuant to the Company’s notice of meeting pursuant to Article 71 at the recommendation of the Board;</w:t>
      </w:r>
    </w:p>
    <w:p>
      <w:pPr>
        <w:spacing w:after="0" w:line="188"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97.2   by or at the direction of the Board or any authorised committee thereof; or</w:t>
      </w:r>
    </w:p>
    <w:p>
      <w:pPr>
        <w:spacing w:after="0" w:line="188" w:lineRule="exact"/>
        <w:rPr>
          <w:rFonts w:ascii="Arial" w:cs="Arial" w:eastAsia="Arial" w:hAnsi="Arial"/>
          <w:sz w:val="20"/>
          <w:szCs w:val="20"/>
          <w:color w:val="auto"/>
        </w:rPr>
      </w:pPr>
    </w:p>
    <w:p>
      <w:pPr>
        <w:ind w:left="1300" w:hanging="648"/>
        <w:spacing w:after="0" w:line="260" w:lineRule="auto"/>
        <w:rPr>
          <w:rFonts w:ascii="Arial" w:cs="Arial" w:eastAsia="Arial" w:hAnsi="Arial"/>
          <w:sz w:val="20"/>
          <w:szCs w:val="20"/>
          <w:color w:val="auto"/>
        </w:rPr>
      </w:pPr>
      <w:r>
        <w:rPr>
          <w:rFonts w:ascii="Arial" w:cs="Arial" w:eastAsia="Arial" w:hAnsi="Arial"/>
          <w:sz w:val="19"/>
          <w:szCs w:val="19"/>
          <w:color w:val="auto"/>
        </w:rPr>
        <w:t>97.3 by any Member who (i) complies with the notice procedures set forth in Articles 98 or 99, as applicable, (ii) was a Member at the time such notice is delivered to the Secretary and on the record date for the determination of Members entitled to vote at such general meeting and (iii) is present at the relevant general meeting, either in person or by proxy, to present her nomination, provided, however, that Members shall only be entitled to nominate persons for election to the Board at annual general meetings or at general meetings called specifically for the purpose of electing Directors.</w:t>
      </w:r>
    </w:p>
    <w:p>
      <w:pPr>
        <w:spacing w:after="0" w:line="153" w:lineRule="exact"/>
        <w:rPr>
          <w:rFonts w:ascii="Arial" w:cs="Arial" w:eastAsia="Arial" w:hAnsi="Arial"/>
          <w:sz w:val="20"/>
          <w:szCs w:val="20"/>
          <w:color w:val="auto"/>
        </w:rPr>
      </w:pPr>
    </w:p>
    <w:p>
      <w:pPr>
        <w:jc w:val="both"/>
        <w:ind w:left="660" w:hanging="652"/>
        <w:spacing w:after="0" w:line="304"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For nominations of persons for election to the Board (other than Directors to be nominated by any series of preferred shares, voting separately as a class) to be properly brought before an annual general meeting by a Member, such annual general meeting must have been called for the purpose of, among other things, electing directors and such Member must have given timely notice thereof in writing to the Secretary. To be timely, a Member’s notice shall be delivered to the Secretary at the registered office of the Company, or such other address as the Secretary may designate, not less than 90 days nor more than 150 days prior to the first anniversary of the date the Company’s proxy statement was first released to Members in connection with the prior year’s annual general meeting; provided, however, that in the event the date of the annual general meeting is changed by more than 30 days from the first anniversary date of the prior year’s annual general meeting, notice by the Member of Shares to be timely must be so delivered not earlier than the 150th day prior to such annual general meeting and not later than the later of the 90th day prior to such annual general meeting or the 10th day following the day on which public announcement of the date of such meeting is first made. Such Member’s notice shall set forth (a) as to each person whom the Member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Exchange Act, or any successor provisions thereto, including such person’s written consent to being named in the proxy statement as a nominee and to serving as a Director of the Company if elected and (b) as to the Member giving the notice (i) the name and address of such Member, as they appear on the Register of Members, (ii) the class and number of Shares that are owned beneficially and/or of record by such Member, (iii) a representation that the Member is a registered holder of Shares entitled to vote at such meeting and intends to appear in person or by proxy at the meeting to propose such nomination and (iv) a statement as to whether the Member intends or is part of a group that intends (x) to deliver a proxy statement and/or form of proxy to holders of at least the percentage of the Company’s outstanding share capital required to approve or elect the nominee and/or</w:t>
      </w:r>
    </w:p>
    <w:p>
      <w:pPr>
        <w:spacing w:after="0" w:line="18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9"/>
          <w:szCs w:val="19"/>
          <w:color w:val="auto"/>
        </w:rPr>
        <w:t>(y) otherwise to solicit proxies from Members in support of such nomination. The Board may require any proposed nominee 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595" w:right="239" w:bottom="1440" w:gutter="0" w:footer="0" w:header="0"/>
        </w:sectPr>
      </w:pPr>
    </w:p>
    <w:bookmarkStart w:id="124" w:name="page125"/>
    <w:bookmarkEnd w:id="124"/>
    <w:p>
      <w:pPr>
        <w:jc w:val="both"/>
        <w:ind w:left="660"/>
        <w:spacing w:after="0" w:line="250" w:lineRule="auto"/>
        <w:rPr>
          <w:sz w:val="20"/>
          <w:szCs w:val="20"/>
          <w:color w:val="auto"/>
        </w:rPr>
      </w:pPr>
      <w:r>
        <w:rPr>
          <w:rFonts w:ascii="Arial" w:cs="Arial" w:eastAsia="Arial" w:hAnsi="Arial"/>
          <w:sz w:val="20"/>
          <w:szCs w:val="20"/>
          <w:color w:val="auto"/>
        </w:rPr>
        <w:t>furnish such other information as it may reasonably require to determine the eligibility of such proposed nominee to serve as a director of the Company, including such evidence satisfactory to the Board that such nominee has no interests that would limit such nominee’s ability to fulfil her duties as a Director.</w:t>
      </w:r>
    </w:p>
    <w:p>
      <w:pPr>
        <w:spacing w:after="0" w:line="159" w:lineRule="exact"/>
        <w:rPr>
          <w:sz w:val="20"/>
          <w:szCs w:val="20"/>
          <w:color w:val="auto"/>
        </w:rPr>
      </w:pPr>
    </w:p>
    <w:p>
      <w:pPr>
        <w:jc w:val="both"/>
        <w:ind w:left="660" w:hanging="652"/>
        <w:spacing w:after="0" w:line="257" w:lineRule="auto"/>
        <w:tabs>
          <w:tab w:leader="none" w:pos="660" w:val="left"/>
        </w:tabs>
        <w:numPr>
          <w:ilvl w:val="0"/>
          <w:numId w:val="85"/>
        </w:numPr>
        <w:rPr>
          <w:rFonts w:ascii="Arial" w:cs="Arial" w:eastAsia="Arial" w:hAnsi="Arial"/>
          <w:sz w:val="19"/>
          <w:szCs w:val="19"/>
          <w:color w:val="auto"/>
        </w:rPr>
      </w:pPr>
      <w:r>
        <w:rPr>
          <w:rFonts w:ascii="Arial" w:cs="Arial" w:eastAsia="Arial" w:hAnsi="Arial"/>
          <w:sz w:val="19"/>
          <w:szCs w:val="19"/>
          <w:color w:val="auto"/>
        </w:rPr>
        <w:t>For nominations of persons for election to the Board (other than directors to be nominated by any series of preferred shares, voting separately as a class) to be properly brought before a general meeting called for the purpose of the election of directors, other than an annual general meeting by a Member, such Member must have given timely notice thereof in writing to the Secretary. To be timely, a Member’s notice shall be delivered to the Secretary at the registered office of the Company or such other address as the Secretary may designate, not earlier than the 150th day prior to such general meeting and not later of the 90th day prior to such general meeting or the 10th day following the day on which public announcement is first made of the date of the general meeting and of the nominees proposed by the Board to be elected at such meeting. Such Member’s notice shall set forth the same information as is required by provisions (a) and (b) of Article 98.</w:t>
      </w:r>
    </w:p>
    <w:p>
      <w:pPr>
        <w:spacing w:after="0" w:line="140" w:lineRule="exact"/>
        <w:rPr>
          <w:rFonts w:ascii="Arial" w:cs="Arial" w:eastAsia="Arial" w:hAnsi="Arial"/>
          <w:sz w:val="19"/>
          <w:szCs w:val="19"/>
          <w:color w:val="auto"/>
        </w:rPr>
      </w:pPr>
    </w:p>
    <w:p>
      <w:pPr>
        <w:jc w:val="both"/>
        <w:ind w:left="660" w:hanging="652"/>
        <w:spacing w:after="0" w:line="276"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Unless otherwise provided by the terms of any series of preferred shares or any agreement among Members or other agreement approved by the Board, only persons who are nominated in accordance with the procedures set forth in Articles 98 and 99 shall be eligible to serve as Directors of the Company. If the Chairman of a general meeting determines that a proposed nomination was not made in compliance with Articles 98 and 99, she shall declare to the meeting that nomination is defective and such defective nomination shall be disregarded. Notwithstanding the foregoing provisions of these Articles, if the Member (or a qualified representative of the Member) does not appear at the general meeting to present her nomination, such nomination shall be disregarded.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VOTES OF MEMBERS</w:t>
      </w:r>
    </w:p>
    <w:p>
      <w:pPr>
        <w:spacing w:after="0" w:line="195" w:lineRule="exact"/>
        <w:rPr>
          <w:sz w:val="20"/>
          <w:szCs w:val="20"/>
          <w:color w:val="auto"/>
        </w:rPr>
      </w:pPr>
    </w:p>
    <w:p>
      <w:pPr>
        <w:ind w:left="660" w:hanging="652"/>
        <w:spacing w:after="0" w:line="260" w:lineRule="auto"/>
        <w:tabs>
          <w:tab w:leader="none" w:pos="6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Subject to any rights or restrictions for the time being attached to any class or classes of Shares, every Member of record present in person or by proxy shall have one vote for each Share registered in her name in the Register of Members.</w:t>
      </w:r>
    </w:p>
    <w:p>
      <w:pPr>
        <w:spacing w:after="0" w:line="136"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In the case of joint holders of record the vote of the senior holder who tenders a vote, whether in person or by proxy, shall be accepted to the exclusion of the votes of the other joint holders, and for this purpose seniority shall be determined by the order in which the names stand in the Register of Members.</w:t>
      </w:r>
    </w:p>
    <w:p>
      <w:pPr>
        <w:spacing w:after="0" w:line="145"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A Member of unsound mind, or in respect of whom an order has been made by any court, having jurisdiction in lunacy, may vote by her committee, receiver, curator bonis, or other person in the nature of a committee, receiver or curator bonis appointed by that court, and any such committee, receiver, curator bonis or other persons may vote by proxy.</w:t>
      </w:r>
    </w:p>
    <w:p>
      <w:pPr>
        <w:spacing w:after="0" w:line="145" w:lineRule="exact"/>
        <w:rPr>
          <w:rFonts w:ascii="Arial" w:cs="Arial" w:eastAsia="Arial" w:hAnsi="Arial"/>
          <w:sz w:val="20"/>
          <w:szCs w:val="20"/>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Member shall be entitled to vote at any general meeting unless she is registered as a Member on the record date for such meeting.</w:t>
      </w:r>
    </w:p>
    <w:p>
      <w:pPr>
        <w:spacing w:after="0" w:line="198" w:lineRule="exact"/>
        <w:rPr>
          <w:rFonts w:ascii="Arial" w:cs="Arial" w:eastAsia="Arial" w:hAnsi="Arial"/>
          <w:sz w:val="18"/>
          <w:szCs w:val="18"/>
          <w:color w:val="auto"/>
        </w:rPr>
      </w:pPr>
    </w:p>
    <w:p>
      <w:pPr>
        <w:jc w:val="both"/>
        <w:ind w:left="660" w:hanging="652"/>
        <w:spacing w:after="0" w:line="291"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objection shall be raised to the qualification of any voter except at the general meeting or adjourned general meeting at which the vote objected to is given or tendered and every vote not disallowed at such general meeting shall be valid for all purposes. Any such objection made in due time shall be referred to the Chairman of the general meeting whose decision shall be final and conclusive.</w:t>
      </w:r>
    </w:p>
    <w:p>
      <w:pPr>
        <w:spacing w:after="0" w:line="11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Votes may be given either personally or by proxy. A Member may appoint more than one proxy or the same proxy under one or more instruments to attend and vote at a meeting and may appoint a proxy to vote both in favour of and against the same resolution in such proportion as specified in the instrument appointing the proxy.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595"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0"/>
          <w:szCs w:val="20"/>
          <w:b w:val="1"/>
          <w:bCs w:val="1"/>
          <w:color w:val="auto"/>
        </w:rPr>
        <w:t>PROXIES AND CORPORATE REPRESENTATIVES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107.</w:t>
      </w:r>
    </w:p>
    <w:p>
      <w:pPr>
        <w:spacing w:after="0" w:line="175" w:lineRule="exact"/>
        <w:rPr>
          <w:sz w:val="20"/>
          <w:szCs w:val="20"/>
          <w:color w:val="auto"/>
        </w:rPr>
      </w:pPr>
    </w:p>
    <w:p>
      <w:pPr>
        <w:jc w:val="both"/>
        <w:ind w:left="1300" w:hanging="647"/>
        <w:spacing w:after="0" w:line="276" w:lineRule="auto"/>
        <w:tabs>
          <w:tab w:leader="none" w:pos="1280" w:val="left"/>
        </w:tabs>
        <w:rPr>
          <w:sz w:val="20"/>
          <w:szCs w:val="20"/>
          <w:color w:val="auto"/>
        </w:rPr>
      </w:pPr>
      <w:r>
        <w:rPr>
          <w:rFonts w:ascii="Arial" w:cs="Arial" w:eastAsia="Arial" w:hAnsi="Arial"/>
          <w:sz w:val="20"/>
          <w:szCs w:val="20"/>
          <w:color w:val="auto"/>
        </w:rPr>
        <w:t>107.1</w:t>
      </w:r>
      <w:r>
        <w:rPr>
          <w:sz w:val="20"/>
          <w:szCs w:val="20"/>
          <w:color w:val="auto"/>
        </w:rPr>
        <w:tab/>
      </w:r>
      <w:r>
        <w:rPr>
          <w:rFonts w:ascii="Arial" w:cs="Arial" w:eastAsia="Arial" w:hAnsi="Arial"/>
          <w:sz w:val="18"/>
          <w:szCs w:val="18"/>
          <w:color w:val="auto"/>
        </w:rPr>
        <w:t>Every Member entitled to attend and vote at a general meeting may appoint a proxy to attend, speak and vote on her behalf and may appoint more than one proxy to attend, speak and vote at the same meeting. The appointment of a proxy or corporate representative shall be in such form and may be accepted by the Company at such place and at such time (including any time less than 48 hours before the meeting) as the Board or the Secretary shall from time to time determine, subject to applicable requirements of the United States Securities and Exchange Commission and the Exchange on which the Shares are listed. No such instrument appointing a proxy or corporate representative shall be voted or acted upon after 2 years from its date.</w:t>
      </w:r>
    </w:p>
    <w:p>
      <w:pPr>
        <w:spacing w:after="0" w:line="125" w:lineRule="exact"/>
        <w:rPr>
          <w:sz w:val="20"/>
          <w:szCs w:val="20"/>
          <w:color w:val="auto"/>
        </w:rPr>
      </w:pPr>
    </w:p>
    <w:p>
      <w:pPr>
        <w:jc w:val="both"/>
        <w:ind w:left="1300" w:hanging="647"/>
        <w:spacing w:after="0" w:line="274" w:lineRule="auto"/>
        <w:tabs>
          <w:tab w:leader="none" w:pos="1280" w:val="left"/>
        </w:tabs>
        <w:rPr>
          <w:sz w:val="20"/>
          <w:szCs w:val="20"/>
          <w:color w:val="auto"/>
        </w:rPr>
      </w:pPr>
      <w:r>
        <w:rPr>
          <w:rFonts w:ascii="Arial" w:cs="Arial" w:eastAsia="Arial" w:hAnsi="Arial"/>
          <w:sz w:val="20"/>
          <w:szCs w:val="20"/>
          <w:color w:val="auto"/>
        </w:rPr>
        <w:t>107.2</w:t>
      </w:r>
      <w:r>
        <w:rPr>
          <w:sz w:val="20"/>
          <w:szCs w:val="20"/>
          <w:color w:val="auto"/>
        </w:rPr>
        <w:tab/>
      </w:r>
      <w:r>
        <w:rPr>
          <w:rFonts w:ascii="Arial" w:cs="Arial" w:eastAsia="Arial" w:hAnsi="Arial"/>
          <w:sz w:val="18"/>
          <w:szCs w:val="18"/>
          <w:color w:val="auto"/>
        </w:rPr>
        <w:t>Without limiting the foregoing, the Directors may from time to time permit appointments of a proxy to be made by means of an electronic (including telephonic) or internet communication or facility and may in a similar manner permit supplements to, or amendments or revocations of, any such electronic (including telephonic) or internet communication or facility to be made. The Directors may in addition prescribe the method of determining the time at which any such electronic (including telephonic) or internet communication or facility is to be treated as received by the Company. The Directors may treat any such electronic (including telephonic) or internet communication or facility which purports to be or is expressed to be sent on behalf of a Member as sufficient evidence of the authority of the person sending that instruction to send it on behalf of that Member.</w:t>
      </w:r>
    </w:p>
    <w:p>
      <w:pPr>
        <w:spacing w:after="0" w:line="129" w:lineRule="exact"/>
        <w:rPr>
          <w:sz w:val="20"/>
          <w:szCs w:val="20"/>
          <w:color w:val="auto"/>
        </w:rPr>
      </w:pPr>
    </w:p>
    <w:p>
      <w:pPr>
        <w:jc w:val="both"/>
        <w:ind w:left="660" w:hanging="652"/>
        <w:spacing w:after="0" w:line="244" w:lineRule="auto"/>
        <w:tabs>
          <w:tab w:leader="none" w:pos="6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Any body corporate which is a Member of the Company may authorise such person as it thinks fit to act as its representative at any meeting of the Company or of any class of Members of the Company and the person so authorised shall be entitled to exercise the same powers on behalf of the body corporate which she represents as that body corporate could exercise if it were an individual Member of the Company. The Company may require evidence from the body corporate of the due authorisation of such person to act as the representative of the relevant body corporate.</w:t>
      </w:r>
    </w:p>
    <w:p>
      <w:pPr>
        <w:spacing w:after="0" w:line="154"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 appointment of proxy relating to more than one meeting (including any adjournment thereof) having once been received by the Company for the purposes of any meeting shall not require to be delivered, deposited or received again by the Company for the purposes of any subsequent meeting to which it relates.</w:t>
      </w:r>
    </w:p>
    <w:p>
      <w:pPr>
        <w:spacing w:after="0" w:line="145" w:lineRule="exact"/>
        <w:rPr>
          <w:rFonts w:ascii="Arial" w:cs="Arial" w:eastAsia="Arial" w:hAnsi="Arial"/>
          <w:sz w:val="20"/>
          <w:szCs w:val="20"/>
          <w:color w:val="auto"/>
        </w:rPr>
      </w:pPr>
    </w:p>
    <w:p>
      <w:pPr>
        <w:ind w:left="660" w:hanging="652"/>
        <w:spacing w:after="0" w:line="316"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Receipt by the Company of an appointment of proxy in respect of a meeting shall not preclude a Member from attending and voting at the meeting or at any adjournment thereof which attendance and voting will automatically cancel any proxy previously submitted.</w:t>
      </w:r>
    </w:p>
    <w:p>
      <w:pPr>
        <w:spacing w:after="0" w:line="89" w:lineRule="exact"/>
        <w:rPr>
          <w:rFonts w:ascii="Arial" w:cs="Arial" w:eastAsia="Arial" w:hAnsi="Arial"/>
          <w:sz w:val="18"/>
          <w:szCs w:val="18"/>
          <w:color w:val="auto"/>
        </w:rPr>
      </w:pPr>
    </w:p>
    <w:p>
      <w:pPr>
        <w:ind w:left="660" w:hanging="652"/>
        <w:spacing w:after="0" w:line="260" w:lineRule="auto"/>
        <w:tabs>
          <w:tab w:leader="none" w:pos="6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 appointment proxy shall be valid, unless the contrary is stated therein, as well for any adjournment of the meeting as for the meeting to which it relates.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112.</w:t>
      </w:r>
    </w:p>
    <w:p>
      <w:pPr>
        <w:spacing w:after="0" w:line="175"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20"/>
          <w:szCs w:val="20"/>
          <w:color w:val="auto"/>
        </w:rPr>
        <w:t>112.1</w:t>
      </w:r>
      <w:r>
        <w:rPr>
          <w:sz w:val="20"/>
          <w:szCs w:val="20"/>
          <w:color w:val="auto"/>
        </w:rPr>
        <w:tab/>
      </w:r>
      <w:r>
        <w:rPr>
          <w:rFonts w:ascii="Arial" w:cs="Arial" w:eastAsia="Arial" w:hAnsi="Arial"/>
          <w:sz w:val="19"/>
          <w:szCs w:val="19"/>
          <w:color w:val="auto"/>
        </w:rPr>
        <w:t>A vote given in accordance with the terms of an appointment of proxy or a resolution authorising a representative to act on behalf of a body corporate shall be valid notwithstanding the death or insanity of the principal, or the revocation of the appointment of proxy or of the authority under which the proxy was appointed or of the resolution authorising the representative to act or transfer of the Share in respect of which the proxy was appointed or the authorisation of the representative to act was given, provided that no direction in writing (whether in electronic form or otherwise) of such death, insanity, revocation or transfer shall have been received by the Company at the registered office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589" w:right="239" w:bottom="1440" w:gutter="0" w:footer="0" w:header="0"/>
        </w:sectPr>
      </w:pPr>
    </w:p>
    <w:bookmarkStart w:id="126" w:name="page127"/>
    <w:bookmarkEnd w:id="126"/>
    <w:p>
      <w:pPr>
        <w:ind w:left="1300"/>
        <w:spacing w:after="0" w:line="289" w:lineRule="auto"/>
        <w:rPr>
          <w:sz w:val="20"/>
          <w:szCs w:val="20"/>
          <w:color w:val="auto"/>
        </w:rPr>
      </w:pPr>
      <w:r>
        <w:rPr>
          <w:rFonts w:ascii="Arial" w:cs="Arial" w:eastAsia="Arial" w:hAnsi="Arial"/>
          <w:sz w:val="20"/>
          <w:szCs w:val="20"/>
          <w:color w:val="auto"/>
        </w:rPr>
        <w:t>before the commencement of the meeting or adjourned meeting at which the appointment of proxy is used or at which the representative acts.</w:t>
      </w:r>
    </w:p>
    <w:p>
      <w:pPr>
        <w:spacing w:after="0" w:line="121"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Arial" w:cs="Arial" w:eastAsia="Arial" w:hAnsi="Arial"/>
          <w:sz w:val="20"/>
          <w:szCs w:val="20"/>
          <w:color w:val="auto"/>
        </w:rPr>
        <w:t>112.2</w:t>
      </w:r>
      <w:r>
        <w:rPr>
          <w:sz w:val="20"/>
          <w:szCs w:val="20"/>
          <w:color w:val="auto"/>
        </w:rPr>
        <w:tab/>
      </w:r>
      <w:r>
        <w:rPr>
          <w:rFonts w:ascii="Arial" w:cs="Arial" w:eastAsia="Arial" w:hAnsi="Arial"/>
          <w:sz w:val="19"/>
          <w:szCs w:val="19"/>
          <w:color w:val="auto"/>
        </w:rPr>
        <w:t>The Directors may send, at the expense of the Company, by post, electronic mail or otherwise, to the Members forms for the appointment of a proxy (with or without stamped envelopes for their return) for use at any general meeting or at any class meeting, either in blank or nominating any one or more of the Directors or any other persons in the alternative.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DIRECTORS</w:t>
      </w:r>
    </w:p>
    <w:p>
      <w:pPr>
        <w:spacing w:after="0" w:line="195"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Board may determine the size of the Board from time to time at its absolute discretion.</w:t>
      </w:r>
    </w:p>
    <w:p>
      <w:pPr>
        <w:spacing w:after="0" w:line="188" w:lineRule="exact"/>
        <w:rPr>
          <w:rFonts w:ascii="Arial" w:cs="Arial" w:eastAsia="Arial" w:hAnsi="Arial"/>
          <w:sz w:val="20"/>
          <w:szCs w:val="20"/>
          <w:color w:val="auto"/>
        </w:rPr>
      </w:pPr>
    </w:p>
    <w:p>
      <w:pPr>
        <w:jc w:val="both"/>
        <w:ind w:left="660" w:hanging="652"/>
        <w:spacing w:after="0" w:line="244" w:lineRule="auto"/>
        <w:tabs>
          <w:tab w:leader="none" w:pos="6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remuneration to be paid to the Directors shall be such remuneration as the Directors shall determine. The Directors shall also be entitled to be paid their travelling, hotel and other expenses properly incurred by them in going to, attending and returning from meetings of the Directors, or any committee of the Directors, or general meetings of the Company, or otherwise in connection with the business of the Company, or to receive a fixed allowance in respect thereof as may be determined by the Board from time to time, or a combination partly of one such method and partly the other.</w:t>
      </w:r>
    </w:p>
    <w:p>
      <w:pPr>
        <w:spacing w:after="0" w:line="167" w:lineRule="exact"/>
        <w:rPr>
          <w:rFonts w:ascii="Arial" w:cs="Arial" w:eastAsia="Arial" w:hAnsi="Arial"/>
          <w:sz w:val="20"/>
          <w:szCs w:val="20"/>
          <w:color w:val="auto"/>
        </w:rPr>
      </w:pPr>
    </w:p>
    <w:p>
      <w:pPr>
        <w:jc w:val="both"/>
        <w:ind w:left="660" w:hanging="652"/>
        <w:spacing w:after="0" w:line="246" w:lineRule="auto"/>
        <w:tabs>
          <w:tab w:leader="none" w:pos="6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Board may approve additional remuneration to any Director undertaking any special work or services for, or undertaking any special mission on behalf of, the Company other than her ordinary routine work as a Director. Any fees paid to a Director who is also counsel or solicitor to the Company, or otherwise serves it in a professional capacity shall be in addition to her remuneration as a Director.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DIRECTORS’ AND OFFICERS’ INTERESTS</w:t>
      </w:r>
    </w:p>
    <w:p>
      <w:pPr>
        <w:spacing w:after="0" w:line="195" w:lineRule="exact"/>
        <w:rPr>
          <w:sz w:val="20"/>
          <w:szCs w:val="20"/>
          <w:color w:val="auto"/>
        </w:rPr>
      </w:pPr>
    </w:p>
    <w:p>
      <w:pPr>
        <w:jc w:val="both"/>
        <w:ind w:left="660" w:hanging="652"/>
        <w:spacing w:after="0" w:line="242" w:lineRule="auto"/>
        <w:tabs>
          <w:tab w:leader="none" w:pos="660" w:val="left"/>
        </w:tabs>
        <w:numPr>
          <w:ilvl w:val="0"/>
          <w:numId w:val="89"/>
        </w:numPr>
        <w:rPr>
          <w:rFonts w:ascii="Arial" w:cs="Arial" w:eastAsia="Arial" w:hAnsi="Arial"/>
          <w:sz w:val="20"/>
          <w:szCs w:val="20"/>
          <w:color w:val="auto"/>
        </w:rPr>
      </w:pPr>
      <w:r>
        <w:rPr>
          <w:rFonts w:ascii="Arial" w:cs="Arial" w:eastAsia="Arial" w:hAnsi="Arial"/>
          <w:sz w:val="20"/>
          <w:szCs w:val="20"/>
          <w:color w:val="auto"/>
        </w:rPr>
        <w:t>A Director of the Company who is in any way, whether directly or indirectly, interested in a contract, transaction or arrangement or proposed contract, transaction or arrangement with the Company shall, in accordance with section 231 of the Companies Act, declare the nature of her interest at the first opportunity either (a) at a meeting of the Board at which the question of entering into the contract, transaction or arrangement is first taken into consideration, if the Director of the Company knows this interest then exists, or in any other case, at the first meeting of the Board after learning that she is or has become so interested or (b) by providing a general notice to the Board declaring that she is a director of, or has an interest in, a person and is to be regarded as interested in any transaction or arrangement made with that person, and after giving such general notice it shall not be necessary to give special notice relating to any particular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117.</w:t>
      </w:r>
    </w:p>
    <w:p>
      <w:pPr>
        <w:spacing w:after="0" w:line="189" w:lineRule="exact"/>
        <w:rPr>
          <w:sz w:val="20"/>
          <w:szCs w:val="20"/>
          <w:color w:val="auto"/>
        </w:rPr>
      </w:pPr>
    </w:p>
    <w:p>
      <w:pPr>
        <w:jc w:val="both"/>
        <w:ind w:left="1300" w:hanging="647"/>
        <w:spacing w:after="0" w:line="316" w:lineRule="auto"/>
        <w:tabs>
          <w:tab w:leader="none" w:pos="1280" w:val="left"/>
        </w:tabs>
        <w:rPr>
          <w:sz w:val="20"/>
          <w:szCs w:val="20"/>
          <w:color w:val="auto"/>
        </w:rPr>
      </w:pPr>
      <w:r>
        <w:rPr>
          <w:rFonts w:ascii="Arial" w:cs="Arial" w:eastAsia="Arial" w:hAnsi="Arial"/>
          <w:sz w:val="20"/>
          <w:szCs w:val="20"/>
          <w:color w:val="auto"/>
        </w:rPr>
        <w:t>117.1</w:t>
      </w:r>
      <w:r>
        <w:rPr>
          <w:sz w:val="20"/>
          <w:szCs w:val="20"/>
          <w:color w:val="auto"/>
        </w:rPr>
        <w:tab/>
      </w:r>
      <w:r>
        <w:rPr>
          <w:rFonts w:ascii="Arial" w:cs="Arial" w:eastAsia="Arial" w:hAnsi="Arial"/>
          <w:sz w:val="18"/>
          <w:szCs w:val="18"/>
          <w:color w:val="auto"/>
        </w:rPr>
        <w:t>A Director may hold any other office or place of profit under the Company (other than the office of its Auditors) in conjunction with her office of Director for such period and on such terms as to remuneration and otherwise as the Board may determine.</w:t>
      </w:r>
    </w:p>
    <w:p>
      <w:pPr>
        <w:spacing w:after="0" w:line="103" w:lineRule="exact"/>
        <w:rPr>
          <w:sz w:val="20"/>
          <w:szCs w:val="20"/>
          <w:color w:val="auto"/>
        </w:rPr>
      </w:pPr>
    </w:p>
    <w:p>
      <w:pPr>
        <w:jc w:val="both"/>
        <w:ind w:left="1300" w:hanging="647"/>
        <w:spacing w:after="0" w:line="244" w:lineRule="auto"/>
        <w:tabs>
          <w:tab w:leader="none" w:pos="1280" w:val="left"/>
        </w:tabs>
        <w:rPr>
          <w:sz w:val="20"/>
          <w:szCs w:val="20"/>
          <w:color w:val="auto"/>
        </w:rPr>
      </w:pPr>
      <w:r>
        <w:rPr>
          <w:rFonts w:ascii="Arial" w:cs="Arial" w:eastAsia="Arial" w:hAnsi="Arial"/>
          <w:sz w:val="20"/>
          <w:szCs w:val="20"/>
          <w:color w:val="auto"/>
        </w:rPr>
        <w:t>117.2</w:t>
        <w:tab/>
        <w:t>A Director is expressly permitted (for the purposes of section 228(1)(d) of the Companies Act) to use the property of the Company pursuant to or in connection with: the exercise and performance of her duties, functions and powers as Director or employee; the terms of any contract of service or employment or letter of appointment; and any other usage authorised by the Directors (or a person authorised by the Directors) from time to time; and including in each case for a Director’s own benefit or for the benefit of another person.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609" w:right="239" w:bottom="1440" w:gutter="0" w:footer="0" w:header="0"/>
        </w:sectPr>
      </w:pPr>
    </w:p>
    <w:bookmarkStart w:id="127" w:name="page128"/>
    <w:bookmarkEnd w:id="127"/>
    <w:p>
      <w:pPr>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117.3</w:t>
        <w:tab/>
        <w:t>As recognised by section 228(1)(e) of the Companies Act, the Directors may agree to restrict their power to exercise independent judgement but only where this has been expressly approved by a resolution of the Board.</w:t>
      </w:r>
    </w:p>
    <w:p>
      <w:pPr>
        <w:spacing w:after="0" w:line="150" w:lineRule="exact"/>
        <w:rPr>
          <w:sz w:val="20"/>
          <w:szCs w:val="20"/>
          <w:color w:val="auto"/>
        </w:rPr>
      </w:pPr>
    </w:p>
    <w:p>
      <w:pPr>
        <w:ind w:left="660" w:hanging="652"/>
        <w:spacing w:after="0" w:line="260" w:lineRule="auto"/>
        <w:tabs>
          <w:tab w:leader="none" w:pos="660" w:val="left"/>
        </w:tabs>
        <w:numPr>
          <w:ilvl w:val="0"/>
          <w:numId w:val="90"/>
        </w:numPr>
        <w:rPr>
          <w:rFonts w:ascii="Arial" w:cs="Arial" w:eastAsia="Arial" w:hAnsi="Arial"/>
          <w:sz w:val="20"/>
          <w:szCs w:val="20"/>
          <w:color w:val="auto"/>
        </w:rPr>
      </w:pPr>
      <w:r>
        <w:rPr>
          <w:rFonts w:ascii="Arial" w:cs="Arial" w:eastAsia="Arial" w:hAnsi="Arial"/>
          <w:sz w:val="20"/>
          <w:szCs w:val="20"/>
          <w:color w:val="auto"/>
        </w:rPr>
        <w:t>A Director may act by herself or her firm in a professional capacity for the Company (other than as its Auditors) and she or her firm shall be entitled to remuneration for professional services as if she were not a Director.</w:t>
      </w:r>
    </w:p>
    <w:p>
      <w:pPr>
        <w:spacing w:after="0" w:line="136" w:lineRule="exact"/>
        <w:rPr>
          <w:rFonts w:ascii="Arial" w:cs="Arial" w:eastAsia="Arial" w:hAnsi="Arial"/>
          <w:sz w:val="20"/>
          <w:szCs w:val="20"/>
          <w:color w:val="auto"/>
        </w:rPr>
      </w:pPr>
    </w:p>
    <w:p>
      <w:pPr>
        <w:jc w:val="both"/>
        <w:ind w:left="660" w:hanging="652"/>
        <w:spacing w:after="0" w:line="259" w:lineRule="auto"/>
        <w:tabs>
          <w:tab w:leader="none" w:pos="6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A Director may be or become a director, managing director, joint managing director, deputy managing director, executive director, manager or other officer or Member of any other company or otherwise interested in any company promoted by the Company or in which the Company may be interested as shareholder or otherwise, and no such Director shall be accountable to the Company for any remuneration or other benefits received by her as a director, managing director, joint managing director, deputy managing director, executive director, manager or other officer or Member of such other company; provided that she has declared the nature of her position with, or interest in, such company to the Board in accordance with Article 116.</w:t>
      </w:r>
    </w:p>
    <w:p>
      <w:pPr>
        <w:spacing w:after="0" w:line="138" w:lineRule="exact"/>
        <w:rPr>
          <w:rFonts w:ascii="Arial" w:cs="Arial" w:eastAsia="Arial" w:hAnsi="Arial"/>
          <w:sz w:val="19"/>
          <w:szCs w:val="19"/>
          <w:color w:val="auto"/>
        </w:rPr>
      </w:pPr>
    </w:p>
    <w:p>
      <w:pPr>
        <w:jc w:val="both"/>
        <w:ind w:left="660" w:hanging="652"/>
        <w:spacing w:after="0" w:line="278"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of the Company shall be in any way interested be or be liable to be avoided, nor shall any Director of the Company so contracting or being so interested be liable to account to the Company for any profit realised by any such contract or transaction by reason of such Director of the Company holding office or of the fiduciary relation thereby established; provided that:</w:t>
      </w:r>
    </w:p>
    <w:p>
      <w:pPr>
        <w:spacing w:after="0" w:line="12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120.1  she has declared the nature of her interest in such contract or transaction to the Board in accordance with Article 116; and</w:t>
      </w:r>
    </w:p>
    <w:p>
      <w:pPr>
        <w:spacing w:after="0" w:line="198" w:lineRule="exact"/>
        <w:rPr>
          <w:rFonts w:ascii="Arial" w:cs="Arial" w:eastAsia="Arial" w:hAnsi="Arial"/>
          <w:sz w:val="18"/>
          <w:szCs w:val="18"/>
          <w:color w:val="auto"/>
        </w:rPr>
      </w:pPr>
    </w:p>
    <w:p>
      <w:pPr>
        <w:ind w:left="1300" w:hanging="648"/>
        <w:spacing w:after="0" w:line="260" w:lineRule="auto"/>
        <w:rPr>
          <w:rFonts w:ascii="Arial" w:cs="Arial" w:eastAsia="Arial" w:hAnsi="Arial"/>
          <w:sz w:val="18"/>
          <w:szCs w:val="18"/>
          <w:color w:val="auto"/>
        </w:rPr>
      </w:pPr>
      <w:r>
        <w:rPr>
          <w:rFonts w:ascii="Arial" w:cs="Arial" w:eastAsia="Arial" w:hAnsi="Arial"/>
          <w:sz w:val="20"/>
          <w:szCs w:val="20"/>
          <w:color w:val="auto"/>
        </w:rPr>
        <w:t>120.2 the contract or transaction is approved by a majority of the disinterested Directors, notwithstanding the fact that the disinterested Directors may represent less than a quorum.</w:t>
      </w:r>
    </w:p>
    <w:p>
      <w:pPr>
        <w:spacing w:after="0" w:line="136" w:lineRule="exact"/>
        <w:rPr>
          <w:rFonts w:ascii="Arial" w:cs="Arial" w:eastAsia="Arial" w:hAnsi="Arial"/>
          <w:sz w:val="18"/>
          <w:szCs w:val="18"/>
          <w:color w:val="auto"/>
        </w:rPr>
      </w:pPr>
    </w:p>
    <w:p>
      <w:pPr>
        <w:jc w:val="both"/>
        <w:ind w:left="660" w:hanging="652"/>
        <w:spacing w:after="0" w:line="282"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Director may be counted in determining the presence of a quorum at a meeting of the Board which authorises or approves the contract, transaction or arrangement in which she is interested and she shall be at liberty to vote in respect of any contract, transaction or arrangement in which she is interested, provided that the nature of the interest of any Director in any such contract or transaction shall be disclosed by her in accordance with Article 116, at or prior to its consideration and any vote thereon.</w:t>
      </w:r>
    </w:p>
    <w:p>
      <w:pPr>
        <w:spacing w:after="0" w:line="134"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20"/>
          <w:szCs w:val="20"/>
          <w:color w:val="auto"/>
        </w:rPr>
      </w:pPr>
      <w:r>
        <w:rPr>
          <w:rFonts w:ascii="Arial" w:cs="Arial" w:eastAsia="Arial" w:hAnsi="Arial"/>
          <w:sz w:val="20"/>
          <w:szCs w:val="20"/>
          <w:color w:val="auto"/>
        </w:rPr>
        <w:t>For the purposes of Article 116:-</w:t>
      </w:r>
    </w:p>
    <w:p>
      <w:pPr>
        <w:spacing w:after="0" w:line="175" w:lineRule="exact"/>
        <w:rPr>
          <w:rFonts w:ascii="Arial" w:cs="Arial" w:eastAsia="Arial" w:hAnsi="Arial"/>
          <w:sz w:val="20"/>
          <w:szCs w:val="20"/>
          <w:color w:val="auto"/>
        </w:rPr>
      </w:pPr>
    </w:p>
    <w:p>
      <w:pPr>
        <w:ind w:left="1300" w:hanging="648"/>
        <w:spacing w:after="0" w:line="291" w:lineRule="auto"/>
        <w:rPr>
          <w:rFonts w:ascii="Arial" w:cs="Arial" w:eastAsia="Arial" w:hAnsi="Arial"/>
          <w:sz w:val="20"/>
          <w:szCs w:val="20"/>
          <w:color w:val="auto"/>
        </w:rPr>
      </w:pPr>
      <w:r>
        <w:rPr>
          <w:rFonts w:ascii="Arial" w:cs="Arial" w:eastAsia="Arial" w:hAnsi="Arial"/>
          <w:sz w:val="18"/>
          <w:szCs w:val="18"/>
          <w:color w:val="auto"/>
        </w:rPr>
        <w:t>122.1 a general notice given to the Directors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w:t>
      </w:r>
    </w:p>
    <w:p>
      <w:pPr>
        <w:spacing w:after="0" w:line="111" w:lineRule="exact"/>
        <w:rPr>
          <w:rFonts w:ascii="Arial" w:cs="Arial" w:eastAsia="Arial" w:hAnsi="Arial"/>
          <w:sz w:val="20"/>
          <w:szCs w:val="20"/>
          <w:color w:val="auto"/>
        </w:rPr>
      </w:pPr>
    </w:p>
    <w:p>
      <w:pPr>
        <w:ind w:left="1300" w:hanging="648"/>
        <w:spacing w:after="0" w:line="260" w:lineRule="auto"/>
        <w:rPr>
          <w:rFonts w:ascii="Arial" w:cs="Arial" w:eastAsia="Arial" w:hAnsi="Arial"/>
          <w:sz w:val="20"/>
          <w:szCs w:val="20"/>
          <w:color w:val="auto"/>
        </w:rPr>
      </w:pPr>
      <w:r>
        <w:rPr>
          <w:rFonts w:ascii="Arial" w:cs="Arial" w:eastAsia="Arial" w:hAnsi="Arial"/>
          <w:sz w:val="20"/>
          <w:szCs w:val="20"/>
          <w:color w:val="auto"/>
        </w:rPr>
        <w:t>122.2 an interest of which a Director has no knowledge and of which it is unreasonable to expect her to have knowledge shall not be treated as an interest of her; and</w:t>
      </w:r>
    </w:p>
    <w:p>
      <w:pPr>
        <w:spacing w:after="0" w:line="136" w:lineRule="exact"/>
        <w:rPr>
          <w:rFonts w:ascii="Arial" w:cs="Arial" w:eastAsia="Arial" w:hAnsi="Arial"/>
          <w:sz w:val="20"/>
          <w:szCs w:val="20"/>
          <w:color w:val="auto"/>
        </w:rPr>
      </w:pPr>
    </w:p>
    <w:p>
      <w:pPr>
        <w:ind w:left="1300" w:hanging="648"/>
        <w:spacing w:after="0" w:line="244" w:lineRule="auto"/>
        <w:rPr>
          <w:rFonts w:ascii="Arial" w:cs="Arial" w:eastAsia="Arial" w:hAnsi="Arial"/>
          <w:sz w:val="20"/>
          <w:szCs w:val="20"/>
          <w:color w:val="auto"/>
        </w:rPr>
      </w:pPr>
      <w:r>
        <w:rPr>
          <w:rFonts w:ascii="Arial" w:cs="Arial" w:eastAsia="Arial" w:hAnsi="Arial"/>
          <w:sz w:val="20"/>
          <w:szCs w:val="20"/>
          <w:color w:val="auto"/>
        </w:rPr>
        <w:t>122.3 a copy of every declaration made and notice given under Article 116 shall be entered within three days after the making or giving thereof in a book kept for this purpose. Such book shall be open for inspection without charge by any Director, Secretary, the Auditor or Member of the Company at the registered office and shall be produced at every general meeting of the Company and at any meeting of the Directors if any Director so requests in sufficient time to enable the book to be available at the meeting.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595"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20"/>
          <w:szCs w:val="20"/>
          <w:b w:val="1"/>
          <w:bCs w:val="1"/>
          <w:color w:val="auto"/>
        </w:rPr>
        <w:t>POWERS AND DUTIES OF DIRECTORS</w:t>
      </w:r>
    </w:p>
    <w:p>
      <w:pPr>
        <w:spacing w:after="0" w:line="195" w:lineRule="exact"/>
        <w:rPr>
          <w:sz w:val="20"/>
          <w:szCs w:val="20"/>
          <w:color w:val="auto"/>
        </w:rPr>
      </w:pPr>
    </w:p>
    <w:p>
      <w:pPr>
        <w:jc w:val="both"/>
        <w:ind w:left="660" w:hanging="652"/>
        <w:spacing w:after="0" w:line="244" w:lineRule="auto"/>
        <w:tabs>
          <w:tab w:leader="none" w:pos="6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business of the Company shall be managed by the Directors, who may pay all expenses incurred in promoting and registering the Company and may exercise all such powers of the Company as are not, by the Companies Act or by these Articles, required to be exercised by the Company in general meeting, subject, nevertheless, to any of these Articles and to the provisions of the Companies Act. No resolution made by the Company in general meeting shall invalidate any prior act of the Directors that would have been valid if that resolution had not been made.</w:t>
      </w:r>
    </w:p>
    <w:p>
      <w:pPr>
        <w:spacing w:after="0" w:line="167"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Board shall have the power to appoint and remove executives in such terms as the Board sees fit and to give such titles and responsibilities to those executives as it sees fit.</w:t>
      </w:r>
    </w:p>
    <w:p>
      <w:pPr>
        <w:spacing w:after="0" w:line="149"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Company may exercise the powers conferred by the Companies Act with regard to having an official seal for use abroad and such powers shall be vested in the Directors.</w:t>
      </w:r>
    </w:p>
    <w:p>
      <w:pPr>
        <w:spacing w:after="0" w:line="149" w:lineRule="exact"/>
        <w:rPr>
          <w:rFonts w:ascii="Arial" w:cs="Arial" w:eastAsia="Arial" w:hAnsi="Arial"/>
          <w:sz w:val="20"/>
          <w:szCs w:val="20"/>
          <w:color w:val="auto"/>
        </w:rPr>
      </w:pPr>
    </w:p>
    <w:p>
      <w:pPr>
        <w:jc w:val="both"/>
        <w:ind w:left="660" w:hanging="652"/>
        <w:spacing w:after="0" w:line="263" w:lineRule="auto"/>
        <w:tabs>
          <w:tab w:leader="none" w:pos="660" w:val="left"/>
        </w:tabs>
        <w:numPr>
          <w:ilvl w:val="0"/>
          <w:numId w:val="91"/>
        </w:numPr>
        <w:rPr>
          <w:rFonts w:ascii="Arial" w:cs="Arial" w:eastAsia="Arial" w:hAnsi="Arial"/>
          <w:sz w:val="19"/>
          <w:szCs w:val="19"/>
          <w:color w:val="auto"/>
        </w:rPr>
      </w:pPr>
      <w:r>
        <w:rPr>
          <w:rFonts w:ascii="Arial" w:cs="Arial" w:eastAsia="Arial" w:hAnsi="Arial"/>
          <w:sz w:val="19"/>
          <w:szCs w:val="19"/>
          <w:color w:val="auto"/>
        </w:rPr>
        <w:t>Subject as otherwise provided with these Articles, the Directors may exercise the voting powers conferred by shares of any other company held or owned by the Company in such manner in all respects as they think fit and in particular they may exercise their voting powers in favour of any resolution appointing the Directors or any of them as directors or officers of such other company or providing for the payment of remuneration or pensions to the directors or officers of such other company.</w:t>
      </w:r>
    </w:p>
    <w:p>
      <w:pPr>
        <w:spacing w:after="0" w:line="149" w:lineRule="exact"/>
        <w:rPr>
          <w:rFonts w:ascii="Arial" w:cs="Arial" w:eastAsia="Arial" w:hAnsi="Arial"/>
          <w:sz w:val="19"/>
          <w:szCs w:val="19"/>
          <w:color w:val="auto"/>
        </w:rPr>
      </w:pPr>
    </w:p>
    <w:p>
      <w:pPr>
        <w:jc w:val="both"/>
        <w:ind w:left="660" w:right="20" w:hanging="652"/>
        <w:spacing w:after="0" w:line="250" w:lineRule="auto"/>
        <w:tabs>
          <w:tab w:leader="none" w:pos="6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All cheques, promissory notes, drafts, bills of exchange and other negotiable instruments and all receipts for money paid to the Company shall be signed, drawn, accepted, endorsed or otherwise executed, as the case may be, by such person or persons and in such manner as the Directors shall from time to time by resolution determine.</w:t>
      </w:r>
    </w:p>
    <w:p>
      <w:pPr>
        <w:spacing w:after="0" w:line="159" w:lineRule="exact"/>
        <w:rPr>
          <w:rFonts w:ascii="Arial" w:cs="Arial" w:eastAsia="Arial" w:hAnsi="Arial"/>
          <w:sz w:val="20"/>
          <w:szCs w:val="20"/>
          <w:color w:val="auto"/>
        </w:rPr>
      </w:pPr>
    </w:p>
    <w:p>
      <w:pPr>
        <w:jc w:val="both"/>
        <w:ind w:left="660" w:hanging="652"/>
        <w:spacing w:after="0" w:line="278"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Directors may from time to time authorise such person or persons as they see fit to perform all acts, including without prejudice to the foregoing, to effect a transfer of any shares, bonds, or other evidences of indebtedness or obligations, subscription rights, warrants, and other securities in another body corporate in which the Company holds an interest and to issue the necessary powers of attorney for the same; and each such person is authorised on behalf of the Company to vote such securities, to appoint proxies with respect thereto, and to execute consents, waivers and releases with respect thereto, or to cause any such action to be taken.</w:t>
      </w:r>
    </w:p>
    <w:p>
      <w:pPr>
        <w:spacing w:after="0" w:line="138"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Board may exercise all powers of the Company to borrow money and to mortgage or charge its undertaking, property and uncalled capital or any part thereof and to issue debentures, debenture stock, mortgages, bonds or such other securities whether outright or as security for any debt, liability or obligation of the Company or of any third party.</w:t>
      </w:r>
    </w:p>
    <w:p>
      <w:pPr>
        <w:spacing w:after="0" w:line="159" w:lineRule="exact"/>
        <w:rPr>
          <w:rFonts w:ascii="Arial" w:cs="Arial" w:eastAsia="Arial" w:hAnsi="Arial"/>
          <w:sz w:val="20"/>
          <w:szCs w:val="20"/>
          <w:color w:val="auto"/>
        </w:rPr>
      </w:pPr>
    </w:p>
    <w:p>
      <w:pPr>
        <w:jc w:val="both"/>
        <w:ind w:left="660" w:hanging="652"/>
        <w:spacing w:after="0" w:line="27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Directors may procure the establishment and maintenance of or participate in, or contribute to any non-contributory or contributory pension or superannuation fund, scheme or arrangement or life assurance scheme or arrangement for the benefit of, and pay, provide for or procure the grant of donations, gratuities, pensions, allowances, benefits or emoluments to any persons (including Directors or other officers) who are or shall have been at any time in the employment or service of the Company or of any company which is or was a subsidiary of the Company or of the predecessor in business of the Company or any such subsidiary or holding Company and the wives, widows, families, relatives or dependants of any such persons. The Directors may also procure the establishment and subsidy of or subscription to and support of any institutions, associations, clubs, funds or trusts calculated to be for the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589" w:right="239" w:bottom="1440" w:gutter="0" w:footer="0" w:header="0"/>
        </w:sectPr>
      </w:pPr>
    </w:p>
    <w:bookmarkStart w:id="129" w:name="page130"/>
    <w:bookmarkEnd w:id="129"/>
    <w:p>
      <w:pPr>
        <w:jc w:val="both"/>
        <w:ind w:left="660"/>
        <w:spacing w:after="0" w:line="260" w:lineRule="auto"/>
        <w:rPr>
          <w:sz w:val="20"/>
          <w:szCs w:val="20"/>
          <w:color w:val="auto"/>
        </w:rPr>
      </w:pPr>
      <w:r>
        <w:rPr>
          <w:rFonts w:ascii="Arial" w:cs="Arial" w:eastAsia="Arial" w:hAnsi="Arial"/>
          <w:sz w:val="19"/>
          <w:szCs w:val="19"/>
          <w:color w:val="auto"/>
        </w:rPr>
        <w:t>benefit of any such persons as aforesaid or otherwise to advance the interests and well being of the Company or of any such other company as aforesaid or its Members, and payments for or towards the issuance of any such persons as aforesaid and subscriptions or guarantees of money for charitable or benevolent objects or for any exhibition or for any public, general or useful object. Provided that any Director shall be entitled to retain any benefit received by her under this article, subject only, where the Companies Act requires, to disclosure to the Members and the approval of the Company in general meeting.</w:t>
      </w:r>
    </w:p>
    <w:p>
      <w:pPr>
        <w:spacing w:after="0" w:line="140" w:lineRule="exact"/>
        <w:rPr>
          <w:sz w:val="20"/>
          <w:szCs w:val="20"/>
          <w:color w:val="auto"/>
        </w:rPr>
      </w:pPr>
    </w:p>
    <w:p>
      <w:pPr>
        <w:ind w:left="660" w:hanging="652"/>
        <w:spacing w:after="0" w:line="287" w:lineRule="auto"/>
        <w:tabs>
          <w:tab w:leader="none" w:pos="6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Board may from time to time provide for the management of the affairs of the Company in such manner as it shall think fit and the specific delegation provisions contained in the articles shall not limit the general powers conferred by these Articles.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MINUTES</w:t>
      </w:r>
    </w:p>
    <w:p>
      <w:pPr>
        <w:spacing w:after="0" w:line="181" w:lineRule="exact"/>
        <w:rPr>
          <w:sz w:val="20"/>
          <w:szCs w:val="20"/>
          <w:color w:val="auto"/>
        </w:rPr>
      </w:pPr>
    </w:p>
    <w:p>
      <w:pPr>
        <w:jc w:val="both"/>
        <w:ind w:left="660" w:hanging="652"/>
        <w:spacing w:after="0" w:line="250" w:lineRule="auto"/>
        <w:tabs>
          <w:tab w:leader="none" w:pos="660"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Board shall cause minutes to be made in books kept for the purpose of all appointments of officers made by the Board, all resolutions and proceedings at meetings of the Company or the holders of any class of Shares, of the Directors and of committees of Directors, including the names of the Directors present at each meeting.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DELEGATION OF THE BOARD’S POWERS</w:t>
      </w:r>
    </w:p>
    <w:p>
      <w:pPr>
        <w:spacing w:after="0" w:line="181" w:lineRule="exact"/>
        <w:rPr>
          <w:sz w:val="20"/>
          <w:szCs w:val="20"/>
          <w:color w:val="auto"/>
        </w:rPr>
      </w:pPr>
    </w:p>
    <w:p>
      <w:pPr>
        <w:jc w:val="both"/>
        <w:ind w:left="660" w:hanging="652"/>
        <w:spacing w:after="0" w:line="260" w:lineRule="auto"/>
        <w:tabs>
          <w:tab w:leader="none" w:pos="660"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Board may delegate any of its powers (with power to sub-delegate) to any committee consisting of one or more Directors. The Board may also delegate to any Director such of its powers as it considers desirable to be exercised by her. Any such delegation may be made subject to any conditions the Board may impose, and either collaterally with or to the exclusion of its own powers and may be revoked or altered. Subject to any such conditions, the proceedings of a committee of the Board shall be governed by the Articles regulating the proceedings of Directors, so far as they are capable of applying.</w:t>
      </w:r>
    </w:p>
    <w:p>
      <w:pPr>
        <w:spacing w:after="0" w:line="140" w:lineRule="exact"/>
        <w:rPr>
          <w:rFonts w:ascii="Arial" w:cs="Arial" w:eastAsia="Arial" w:hAnsi="Arial"/>
          <w:sz w:val="19"/>
          <w:szCs w:val="19"/>
          <w:color w:val="auto"/>
        </w:rPr>
      </w:pPr>
    </w:p>
    <w:p>
      <w:pPr>
        <w:ind w:left="660" w:right="20" w:hanging="652"/>
        <w:spacing w:after="0" w:line="316"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Board may by power of attorney or otherwise appoint any person to be the agent of the Company on such conditions as the Board may determine, provided that the delegation is not to the exclusion of its own powers and may be revoked by the Board at any time.</w:t>
      </w:r>
    </w:p>
    <w:p>
      <w:pPr>
        <w:spacing w:after="0" w:line="89" w:lineRule="exact"/>
        <w:rPr>
          <w:rFonts w:ascii="Arial" w:cs="Arial" w:eastAsia="Arial" w:hAnsi="Arial"/>
          <w:sz w:val="18"/>
          <w:szCs w:val="18"/>
          <w:color w:val="auto"/>
        </w:rPr>
      </w:pPr>
    </w:p>
    <w:p>
      <w:pPr>
        <w:jc w:val="both"/>
        <w:ind w:left="660" w:hanging="652"/>
        <w:spacing w:after="0" w:line="276"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Board may by power of attorney or otherwise appoint any company, firm, person or body of persons, whether nominated directly or indirectly by the Board, to be the attorney or authorised signatory of the Company for such purpose and with such powers, authorities and discretions (not exceeding those vested in or exercisable by the Board under these Articles) and for such period and subject to such conditions as they may think fit, and any such powers of attorney or other appointment may contain such provisions for the protection and convenience of persons dealing with any such attorneys or authorised signatories as the Board may think fit and may also authorise any such attorney or authorised signatory to delegate all or any of the powers, authorities and discretions vested in her.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OFFICERS</w:t>
      </w:r>
    </w:p>
    <w:p>
      <w:pPr>
        <w:spacing w:after="0" w:line="181" w:lineRule="exact"/>
        <w:rPr>
          <w:sz w:val="20"/>
          <w:szCs w:val="20"/>
          <w:color w:val="auto"/>
        </w:rPr>
      </w:pPr>
    </w:p>
    <w:p>
      <w:pPr>
        <w:ind w:left="660" w:hanging="652"/>
        <w:spacing w:after="0" w:line="287" w:lineRule="auto"/>
        <w:tabs>
          <w:tab w:leader="none" w:pos="660"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Company shall have a chairman who shall be a Director and shall be elected by the Board. In addition to the chairman, the Directors and the Secretary, the Company may have such officers as the Board may from time to time determine.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PROCEEDINGS OF DIRECTORS</w:t>
      </w:r>
    </w:p>
    <w:p>
      <w:pPr>
        <w:spacing w:after="0" w:line="181" w:lineRule="exact"/>
        <w:rPr>
          <w:sz w:val="20"/>
          <w:szCs w:val="20"/>
          <w:color w:val="auto"/>
        </w:rPr>
      </w:pPr>
    </w:p>
    <w:p>
      <w:pPr>
        <w:jc w:val="both"/>
        <w:ind w:left="660" w:hanging="652"/>
        <w:spacing w:after="0" w:line="291"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Except as otherwise provided by these Articles, the Directors shall meet together for the despatch of business, convening, adjourning and otherwise regulating their meetings and procedures as they think fit. Questions arising at any meeting shall be decided by a majority of votes of the Directors present at a meeting at which there is a quorum. Each Director shall have one vote.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595" w:right="239" w:bottom="1440" w:gutter="0" w:footer="0" w:header="0"/>
        </w:sectPr>
      </w:pPr>
    </w:p>
    <w:bookmarkStart w:id="130" w:name="page131"/>
    <w:bookmarkEnd w:id="130"/>
    <w:p>
      <w:pPr>
        <w:ind w:left="660" w:hanging="652"/>
        <w:spacing w:after="0" w:line="260" w:lineRule="auto"/>
        <w:tabs>
          <w:tab w:leader="none" w:pos="6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Regular meetings of the Board may be held at such times and places as may be provided for in resolutions adopted by the Board. No additional notice of a regularly scheduled meeting of the Board shall be required.</w:t>
      </w:r>
    </w:p>
    <w:p>
      <w:pPr>
        <w:spacing w:after="0" w:line="136" w:lineRule="exact"/>
        <w:rPr>
          <w:rFonts w:ascii="Arial" w:cs="Arial" w:eastAsia="Arial" w:hAnsi="Arial"/>
          <w:sz w:val="20"/>
          <w:szCs w:val="20"/>
          <w:color w:val="auto"/>
        </w:rPr>
      </w:pPr>
    </w:p>
    <w:p>
      <w:pPr>
        <w:jc w:val="both"/>
        <w:ind w:left="660" w:hanging="652"/>
        <w:spacing w:after="0" w:line="276"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Director may, and the Secretary on the requisition of a Director shall, at any time summon a meeting of the Directors by at least 24 hours’ notice in writing to every Director which notice shall set forth the general nature of the business to be considered unless notice is waived by all the Directors either at, before or after the meeting is held and provided further if notice is given in person, by telephone, cable, telex, telecopy or email the same shall be deemed to have been given on the day it is delivered to the Directors or transmitting organisation as the case may be. The accidental omission to give notice of a meeting of the Directors to, or the non-receipt of notice of a meeting by any person entitled to receive notice shall not invalidate the proceedings of that meeting.</w:t>
      </w:r>
    </w:p>
    <w:p>
      <w:pPr>
        <w:spacing w:after="0" w:line="124" w:lineRule="exact"/>
        <w:rPr>
          <w:rFonts w:ascii="Arial" w:cs="Arial" w:eastAsia="Arial" w:hAnsi="Arial"/>
          <w:sz w:val="18"/>
          <w:szCs w:val="18"/>
          <w:color w:val="auto"/>
        </w:rPr>
      </w:pPr>
    </w:p>
    <w:p>
      <w:pPr>
        <w:ind w:left="660" w:hanging="652"/>
        <w:spacing w:after="0" w:line="260" w:lineRule="auto"/>
        <w:tabs>
          <w:tab w:leader="none" w:pos="6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quorum necessary for the transaction of the business of the Board may be fixed by the Board and unless so fixed shall be a majority of the Directors in office.</w:t>
      </w:r>
    </w:p>
    <w:p>
      <w:pPr>
        <w:spacing w:after="0" w:line="136" w:lineRule="exact"/>
        <w:rPr>
          <w:rFonts w:ascii="Arial" w:cs="Arial" w:eastAsia="Arial" w:hAnsi="Arial"/>
          <w:sz w:val="20"/>
          <w:szCs w:val="20"/>
          <w:color w:val="auto"/>
        </w:rPr>
      </w:pPr>
    </w:p>
    <w:p>
      <w:pPr>
        <w:jc w:val="both"/>
        <w:ind w:left="660" w:hanging="652"/>
        <w:spacing w:after="0" w:line="246" w:lineRule="auto"/>
        <w:tabs>
          <w:tab w:leader="none" w:pos="6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continuing Directors may act notwithstanding any vacancy in their body, but if and so long as their number is reduced below the number fixed by or pursuant to these Articles as the necessary quorum of Directors, the continuing Directors or Director may act for the purpose of increasing the number of Directors to that number, or of summoning a general meeting of the Company, but for no other purpose.</w:t>
      </w:r>
    </w:p>
    <w:p>
      <w:pPr>
        <w:spacing w:after="0" w:line="151"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Directors may elect a Chairman of their Board and determine the period for which she is to hold office; but if no such Chairman is elected, or if at any meeting the Chairman is not present within five (5) minutes after the time appointed for holding the same, the Directors present may choose one of their number to be a Chairman of the meeting.</w:t>
      </w:r>
    </w:p>
    <w:p>
      <w:pPr>
        <w:spacing w:after="0" w:line="145"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All acts done by any meeting of the Directors or of a committee of Directors shall, notwithstanding that it be afterwards discovered that there was some defect in the appointment of any Director, or that they or any of them were disqualified, be as valid as if every such person had been duly appointed and qualified to be a Director.</w:t>
      </w:r>
    </w:p>
    <w:p>
      <w:pPr>
        <w:spacing w:after="0" w:line="145" w:lineRule="exact"/>
        <w:rPr>
          <w:rFonts w:ascii="Arial" w:cs="Arial" w:eastAsia="Arial" w:hAnsi="Arial"/>
          <w:sz w:val="20"/>
          <w:szCs w:val="20"/>
          <w:color w:val="auto"/>
        </w:rPr>
      </w:pPr>
    </w:p>
    <w:p>
      <w:pPr>
        <w:jc w:val="both"/>
        <w:ind w:left="660" w:hanging="652"/>
        <w:spacing w:after="0" w:line="282"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Members of the Board or of any committee thereof may participate in a meeting of the Board or of such committee by means of conference telephone or similar communications equipment by means of which all persons participating in the meeting can hear each other and participation in a meeting pursuant to this provision shall constitute presence in person at such meeting. Unless otherwise determined by the Directors the meeting shall be deemed to be held at the place where the Chairman is at the start of the meeting.</w:t>
      </w:r>
    </w:p>
    <w:p>
      <w:pPr>
        <w:spacing w:after="0" w:line="12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A resolution in writing (in one or more counterparts), signed by all the Directors for the time being or all the members of a committee of Directors shall be as valid and effectual as if it had been passed at a meeting of the Directors or committee as the case may be duly convened and held.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RESIGNATION AND DISQUALIFICATION OF DIRECTORS</w:t>
      </w:r>
    </w:p>
    <w:p>
      <w:pPr>
        <w:spacing w:after="0" w:line="181"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office of a Director shall be vacated:</w:t>
      </w:r>
    </w:p>
    <w:p>
      <w:pPr>
        <w:spacing w:after="0" w:line="175" w:lineRule="exact"/>
        <w:rPr>
          <w:rFonts w:ascii="Arial" w:cs="Arial" w:eastAsia="Arial" w:hAnsi="Arial"/>
          <w:sz w:val="20"/>
          <w:szCs w:val="20"/>
          <w:color w:val="auto"/>
        </w:rPr>
      </w:pPr>
    </w:p>
    <w:p>
      <w:pPr>
        <w:ind w:left="1300" w:right="20" w:hanging="648"/>
        <w:spacing w:after="0" w:line="260" w:lineRule="auto"/>
        <w:rPr>
          <w:rFonts w:ascii="Arial" w:cs="Arial" w:eastAsia="Arial" w:hAnsi="Arial"/>
          <w:sz w:val="20"/>
          <w:szCs w:val="20"/>
          <w:color w:val="auto"/>
        </w:rPr>
      </w:pPr>
      <w:r>
        <w:rPr>
          <w:rFonts w:ascii="Arial" w:cs="Arial" w:eastAsia="Arial" w:hAnsi="Arial"/>
          <w:sz w:val="20"/>
          <w:szCs w:val="20"/>
          <w:color w:val="auto"/>
        </w:rPr>
        <w:t>146.1 if she resigns her office, on the date on which notice of her resignation is delivered to the Registered Office or tendered at a meeting of the Board or on such later date as may be specified in such notice; or</w:t>
      </w:r>
    </w:p>
    <w:p>
      <w:pPr>
        <w:spacing w:after="0" w:line="13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146.2  on her being prohibited by law from being a Director; or</w:t>
      </w:r>
    </w:p>
    <w:p>
      <w:pPr>
        <w:spacing w:after="0" w:line="17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146.3  on her ceasing to be a Director by virtue of any provision of the Companies Act.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595" w:right="239" w:bottom="1440" w:gutter="0" w:footer="0" w:header="0"/>
        </w:sectPr>
      </w:pPr>
    </w:p>
    <w:bookmarkStart w:id="131" w:name="page132"/>
    <w:bookmarkEnd w:id="131"/>
    <w:p>
      <w:pPr>
        <w:jc w:val="both"/>
        <w:ind w:left="660" w:hanging="652"/>
        <w:spacing w:after="0" w:line="246" w:lineRule="auto"/>
        <w:tabs>
          <w:tab w:leader="none" w:pos="660"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Company may, by Ordinary Resolution, of which notice has been given in accordance with the Companies Act and these Articles, remove any Director before the expiration of her period of office notwithstanding anything in these Articles or in any agreement between the Company and such Director. Such removal shall be without prejudice to any claim such Director may have for damages for breach of any contract of service between her and the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APPOINTMENT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148.</w:t>
      </w:r>
    </w:p>
    <w:p>
      <w:pPr>
        <w:spacing w:after="0" w:line="189" w:lineRule="exact"/>
        <w:rPr>
          <w:sz w:val="20"/>
          <w:szCs w:val="20"/>
          <w:color w:val="auto"/>
        </w:rPr>
      </w:pPr>
    </w:p>
    <w:p>
      <w:pPr>
        <w:jc w:val="both"/>
        <w:ind w:left="1300" w:hanging="647"/>
        <w:spacing w:after="0" w:line="291" w:lineRule="auto"/>
        <w:tabs>
          <w:tab w:leader="none" w:pos="1280" w:val="left"/>
        </w:tabs>
        <w:rPr>
          <w:sz w:val="20"/>
          <w:szCs w:val="20"/>
          <w:color w:val="auto"/>
        </w:rPr>
      </w:pPr>
      <w:r>
        <w:rPr>
          <w:rFonts w:ascii="Arial" w:cs="Arial" w:eastAsia="Arial" w:hAnsi="Arial"/>
          <w:sz w:val="20"/>
          <w:szCs w:val="20"/>
          <w:color w:val="auto"/>
        </w:rPr>
        <w:t>148.1</w:t>
      </w:r>
      <w:r>
        <w:rPr>
          <w:sz w:val="20"/>
          <w:szCs w:val="20"/>
          <w:color w:val="auto"/>
        </w:rPr>
        <w:tab/>
      </w:r>
      <w:r>
        <w:rPr>
          <w:rFonts w:ascii="Arial" w:cs="Arial" w:eastAsia="Arial" w:hAnsi="Arial"/>
          <w:sz w:val="18"/>
          <w:szCs w:val="18"/>
          <w:color w:val="auto"/>
        </w:rPr>
        <w:t>The Directors are divided into three classes, designated Class I, Class II and Class III. Each class need not be of equal size or number. The term of each class of directors shall be three years. At each annual general meeting of Members, successors to the class of directors whose three-year term expires at that annual general meeting shall be elected for a three-year term.</w:t>
      </w:r>
    </w:p>
    <w:p>
      <w:pPr>
        <w:spacing w:after="0" w:line="125"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148.2</w:t>
        <w:tab/>
        <w:t>Save as otherwise provided in these Articles, Directors will be elected by way of Ordinary Resolution of the Company in general meeting.</w:t>
      </w:r>
    </w:p>
    <w:p>
      <w:pPr>
        <w:spacing w:after="0" w:line="150" w:lineRule="exact"/>
        <w:rPr>
          <w:sz w:val="20"/>
          <w:szCs w:val="20"/>
          <w:color w:val="auto"/>
        </w:rPr>
      </w:pPr>
    </w:p>
    <w:p>
      <w:pPr>
        <w:jc w:val="both"/>
        <w:ind w:left="1300" w:hanging="647"/>
        <w:spacing w:after="0" w:line="270" w:lineRule="auto"/>
        <w:tabs>
          <w:tab w:leader="none" w:pos="1280" w:val="left"/>
        </w:tabs>
        <w:rPr>
          <w:sz w:val="20"/>
          <w:szCs w:val="20"/>
          <w:color w:val="auto"/>
        </w:rPr>
      </w:pPr>
      <w:r>
        <w:rPr>
          <w:rFonts w:ascii="Arial" w:cs="Arial" w:eastAsia="Arial" w:hAnsi="Arial"/>
          <w:sz w:val="20"/>
          <w:szCs w:val="20"/>
          <w:color w:val="auto"/>
        </w:rPr>
        <w:t>148.3</w:t>
      </w:r>
      <w:r>
        <w:rPr>
          <w:sz w:val="20"/>
          <w:szCs w:val="20"/>
          <w:color w:val="auto"/>
        </w:rPr>
        <w:tab/>
      </w:r>
      <w:r>
        <w:rPr>
          <w:rFonts w:ascii="Arial" w:cs="Arial" w:eastAsia="Arial" w:hAnsi="Arial"/>
          <w:sz w:val="18"/>
          <w:szCs w:val="18"/>
          <w:color w:val="auto"/>
        </w:rPr>
        <w:t>If the number of Directors is changed, any increase or decrease shall be apportioned among the classes so as to maintain the number of Directors in each class as nearly equal as possible or as the Chairman of the Board may otherwise direct. In no case will a decrease in the number of Directors shorten the term of any incumbent Director. A Director shall hold office until the annual general meeting for the year in which her or his term expires and until her or his successor shall be elected and shall qualify, subject, however, to prior death, resignation, retirement, disqualification or removal from office. Any vacancy on the Board, including a vacancy that results from an increase in the number of directors or from the death, resignation, retirement, disqualification or removal of a Director, shall be deemed a casual vacancy. Subject to the terms of any one or more classes or series of preferred shares, any casual vacancy shall only be filled by decision of a majority of the Board then in office, provided that a quorum is present.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her or his predecessor. A Director retiring at a meeting shall retain office until the close or adjournment of the meeting.</w:t>
      </w:r>
    </w:p>
    <w:p>
      <w:pPr>
        <w:spacing w:after="0" w:line="150" w:lineRule="exact"/>
        <w:rPr>
          <w:sz w:val="20"/>
          <w:szCs w:val="20"/>
          <w:color w:val="auto"/>
        </w:rPr>
      </w:pPr>
    </w:p>
    <w:p>
      <w:pPr>
        <w:jc w:val="both"/>
        <w:ind w:left="660" w:hanging="652"/>
        <w:spacing w:after="0" w:line="276"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During any vacancy in the Board, the remaining Directors shall have full power to act as the Board. If, at any general meeting of the Company, the number of Directors is reduced below the minimum prescribed by the Board in accordance with Article 113 due to the failure of any persons nominated to be Directors to be elected, then in those circumstances, the nominee or nominees who receive the highest number of votes in favour of election shall be elected in order to maintain the prescribed minimum number of Directors and each such Director shall remain a Director (subject to the provisions of the Companies Act and these Articles) only until the conclusion of the next annual general meeting of the Company unless such Director is elected by the Members during such meeting.</w:t>
      </w:r>
    </w:p>
    <w:p>
      <w:pPr>
        <w:spacing w:after="0" w:line="138" w:lineRule="exact"/>
        <w:rPr>
          <w:rFonts w:ascii="Arial" w:cs="Arial" w:eastAsia="Arial" w:hAnsi="Arial"/>
          <w:sz w:val="18"/>
          <w:szCs w:val="18"/>
          <w:color w:val="auto"/>
        </w:rPr>
      </w:pPr>
    </w:p>
    <w:p>
      <w:pPr>
        <w:ind w:left="660" w:hanging="652"/>
        <w:spacing w:after="0"/>
        <w:tabs>
          <w:tab w:leader="none" w:pos="66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Alternate Directors:</w:t>
      </w:r>
    </w:p>
    <w:p>
      <w:pPr>
        <w:spacing w:after="0" w:line="188" w:lineRule="exact"/>
        <w:rPr>
          <w:rFonts w:ascii="Arial" w:cs="Arial" w:eastAsia="Arial" w:hAnsi="Arial"/>
          <w:sz w:val="20"/>
          <w:szCs w:val="20"/>
          <w:color w:val="auto"/>
        </w:rPr>
      </w:pPr>
    </w:p>
    <w:p>
      <w:pPr>
        <w:ind w:left="1300" w:hanging="648"/>
        <w:spacing w:after="0" w:line="250" w:lineRule="auto"/>
        <w:rPr>
          <w:rFonts w:ascii="Arial" w:cs="Arial" w:eastAsia="Arial" w:hAnsi="Arial"/>
          <w:sz w:val="20"/>
          <w:szCs w:val="20"/>
          <w:color w:val="auto"/>
        </w:rPr>
      </w:pPr>
      <w:r>
        <w:rPr>
          <w:rFonts w:ascii="Arial" w:cs="Arial" w:eastAsia="Arial" w:hAnsi="Arial"/>
          <w:sz w:val="20"/>
          <w:szCs w:val="20"/>
          <w:color w:val="auto"/>
        </w:rPr>
        <w:t>150.1 Any Director may appoint by writing under her hand any person (including another Director) to be her alternate provided always that no such appointment of a person other than a Director as an alternate shall be operative unless and until such appointment shall have been approved by resolution of the Directors.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595" w:right="239" w:bottom="1440" w:gutter="0" w:footer="0" w:header="0"/>
        </w:sectPr>
      </w:pPr>
    </w:p>
    <w:bookmarkStart w:id="132" w:name="page133"/>
    <w:bookmarkEnd w:id="132"/>
    <w:p>
      <w:pPr>
        <w:jc w:val="both"/>
        <w:ind w:left="1300" w:hanging="647"/>
        <w:spacing w:after="0" w:line="282" w:lineRule="auto"/>
        <w:tabs>
          <w:tab w:leader="none" w:pos="1280" w:val="left"/>
        </w:tabs>
        <w:rPr>
          <w:sz w:val="20"/>
          <w:szCs w:val="20"/>
          <w:color w:val="auto"/>
        </w:rPr>
      </w:pPr>
      <w:r>
        <w:rPr>
          <w:rFonts w:ascii="Arial" w:cs="Arial" w:eastAsia="Arial" w:hAnsi="Arial"/>
          <w:sz w:val="20"/>
          <w:szCs w:val="20"/>
          <w:color w:val="auto"/>
        </w:rPr>
        <w:t>150.2</w:t>
      </w:r>
      <w:r>
        <w:rPr>
          <w:sz w:val="20"/>
          <w:szCs w:val="20"/>
          <w:color w:val="auto"/>
        </w:rPr>
        <w:tab/>
      </w:r>
      <w:r>
        <w:rPr>
          <w:rFonts w:ascii="Arial" w:cs="Arial" w:eastAsia="Arial" w:hAnsi="Arial"/>
          <w:sz w:val="18"/>
          <w:szCs w:val="18"/>
          <w:color w:val="auto"/>
        </w:rPr>
        <w:t>An alternate Director shall be entitled, subject to her giving to the Company an address, to receive notices of all meetings of the Directors and of all meetings of committees of Directors of which her appointor is a member, to attend and vote at any such meeting at which the Director appointing her is not personally present and in the absence of her appointor to exercise all the powers, rights, duties and authorities of her appointor as a Director (other than the right to appoint an alternate hereunder).</w:t>
      </w:r>
    </w:p>
    <w:p>
      <w:pPr>
        <w:spacing w:after="0" w:line="135" w:lineRule="exact"/>
        <w:rPr>
          <w:sz w:val="20"/>
          <w:szCs w:val="20"/>
          <w:color w:val="auto"/>
        </w:rPr>
      </w:pPr>
    </w:p>
    <w:p>
      <w:pPr>
        <w:jc w:val="both"/>
        <w:ind w:left="1300" w:hanging="647"/>
        <w:spacing w:after="0" w:line="244" w:lineRule="auto"/>
        <w:tabs>
          <w:tab w:leader="none" w:pos="1280" w:val="left"/>
        </w:tabs>
        <w:rPr>
          <w:sz w:val="20"/>
          <w:szCs w:val="20"/>
          <w:color w:val="auto"/>
        </w:rPr>
      </w:pPr>
      <w:r>
        <w:rPr>
          <w:rFonts w:ascii="Arial" w:cs="Arial" w:eastAsia="Arial" w:hAnsi="Arial"/>
          <w:sz w:val="20"/>
          <w:szCs w:val="20"/>
          <w:color w:val="auto"/>
        </w:rPr>
        <w:t>150.3</w:t>
        <w:tab/>
        <w:t>Save as otherwise provided in these Articles, an alternate Director shall be deemed for all purposes to be a Director and shall alone be responsible for her own acts and defaults and she shall not be deemed to be the agent of the Director appointing her. The remuneration of any such alternate Director shall be payable out of the remuneration paid to the Director appointing her and shall consist of such portion of the last mentioned remuneration as shall be agreed between the alternate and the Director appointing her.</w:t>
      </w:r>
    </w:p>
    <w:p>
      <w:pPr>
        <w:spacing w:after="0" w:line="168"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Arial" w:cs="Arial" w:eastAsia="Arial" w:hAnsi="Arial"/>
          <w:sz w:val="20"/>
          <w:szCs w:val="20"/>
          <w:color w:val="auto"/>
        </w:rPr>
        <w:t>150.4</w:t>
      </w:r>
      <w:r>
        <w:rPr>
          <w:sz w:val="20"/>
          <w:szCs w:val="20"/>
          <w:color w:val="auto"/>
        </w:rPr>
        <w:tab/>
      </w:r>
      <w:r>
        <w:rPr>
          <w:rFonts w:ascii="Arial" w:cs="Arial" w:eastAsia="Arial" w:hAnsi="Arial"/>
          <w:sz w:val="18"/>
          <w:szCs w:val="18"/>
          <w:color w:val="auto"/>
        </w:rPr>
        <w:t>A Director may revoke at any time the appointment of any alternate appointed by her. If a Director shall die or cease to hold the office of Director the appointment of her alternate shall thereupon cease and determine but if a Director retires by rotation or otherwise but is reappointed or deemed to have been reappointed at the meeting at which she retires, any appointment of an alternate Director made by her which was in force immediately prior to her retirement shall continue after her re-appointment.</w:t>
      </w:r>
    </w:p>
    <w:p>
      <w:pPr>
        <w:spacing w:after="0" w:line="135" w:lineRule="exact"/>
        <w:rPr>
          <w:sz w:val="20"/>
          <w:szCs w:val="20"/>
          <w:color w:val="auto"/>
        </w:rPr>
      </w:pPr>
    </w:p>
    <w:p>
      <w:pPr>
        <w:jc w:val="both"/>
        <w:ind w:left="1300" w:hanging="647"/>
        <w:spacing w:after="0" w:line="291" w:lineRule="auto"/>
        <w:tabs>
          <w:tab w:leader="none" w:pos="1280" w:val="left"/>
        </w:tabs>
        <w:rPr>
          <w:sz w:val="20"/>
          <w:szCs w:val="20"/>
          <w:color w:val="auto"/>
        </w:rPr>
      </w:pPr>
      <w:r>
        <w:rPr>
          <w:rFonts w:ascii="Arial" w:cs="Arial" w:eastAsia="Arial" w:hAnsi="Arial"/>
          <w:sz w:val="20"/>
          <w:szCs w:val="20"/>
          <w:color w:val="auto"/>
        </w:rPr>
        <w:t>150.5</w:t>
      </w:r>
      <w:r>
        <w:rPr>
          <w:sz w:val="20"/>
          <w:szCs w:val="20"/>
          <w:color w:val="auto"/>
        </w:rPr>
        <w:tab/>
      </w:r>
      <w:r>
        <w:rPr>
          <w:rFonts w:ascii="Arial" w:cs="Arial" w:eastAsia="Arial" w:hAnsi="Arial"/>
          <w:sz w:val="18"/>
          <w:szCs w:val="18"/>
          <w:color w:val="auto"/>
        </w:rPr>
        <w:t>Any appointment or revocation pursuant to this Article 150.5 may be sent by delivery, post, cable, telegram, telex, telefax, electronic mail or any other means of communication approved by the Directors and may bear a printed or facsimile signature of the Director making such appointment or revocation or in any other manner approved by the Directors.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SECRETARY</w:t>
      </w:r>
    </w:p>
    <w:p>
      <w:pPr>
        <w:spacing w:after="0" w:line="195" w:lineRule="exact"/>
        <w:rPr>
          <w:sz w:val="20"/>
          <w:szCs w:val="20"/>
          <w:color w:val="auto"/>
        </w:rPr>
      </w:pPr>
    </w:p>
    <w:p>
      <w:pPr>
        <w:ind w:left="660" w:hanging="652"/>
        <w:spacing w:after="0" w:line="260" w:lineRule="auto"/>
        <w:tabs>
          <w:tab w:leader="none" w:pos="66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Secretary shall be appointed by the Board at such remuneration (if any) and on such terms as it may think fit and any Secretary so appointed may be removed by the Board.</w:t>
      </w:r>
    </w:p>
    <w:p>
      <w:pPr>
        <w:spacing w:after="0" w:line="149" w:lineRule="exact"/>
        <w:rPr>
          <w:rFonts w:ascii="Arial" w:cs="Arial" w:eastAsia="Arial" w:hAnsi="Arial"/>
          <w:sz w:val="20"/>
          <w:szCs w:val="20"/>
          <w:color w:val="auto"/>
        </w:rPr>
      </w:pPr>
    </w:p>
    <w:p>
      <w:pPr>
        <w:jc w:val="both"/>
        <w:ind w:left="660" w:hanging="652"/>
        <w:spacing w:after="0" w:line="291"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duties of the Secretary shall be those prescribed by the Companies Act, together with such other duties as shall from time to time be prescribed by the Board, and in any case, shall include the making and keeping of records of the votes, doings and proceedings of all meetings of the Members and the Board of the Company, and committees, and the authentication of records of the Company.</w:t>
      </w:r>
    </w:p>
    <w:p>
      <w:pPr>
        <w:spacing w:after="0" w:line="124" w:lineRule="exact"/>
        <w:rPr>
          <w:rFonts w:ascii="Arial" w:cs="Arial" w:eastAsia="Arial" w:hAnsi="Arial"/>
          <w:sz w:val="18"/>
          <w:szCs w:val="18"/>
          <w:color w:val="auto"/>
        </w:rPr>
      </w:pPr>
    </w:p>
    <w:p>
      <w:pPr>
        <w:ind w:left="660" w:hanging="652"/>
        <w:spacing w:after="0" w:line="316"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provision of the Companies Act or these articles requiring or authorising a thing to be done by or to a Director and the Secretary shall not be satisfied by its being done by or to the same person acting both as Director and as, or in the place of, the Secretary.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SEAL</w:t>
      </w:r>
    </w:p>
    <w:p>
      <w:pPr>
        <w:spacing w:after="0" w:line="195" w:lineRule="exact"/>
        <w:rPr>
          <w:sz w:val="20"/>
          <w:szCs w:val="20"/>
          <w:color w:val="auto"/>
        </w:rPr>
      </w:pPr>
    </w:p>
    <w:p>
      <w:pPr>
        <w:jc w:val="both"/>
        <w:ind w:left="660" w:hanging="652"/>
        <w:spacing w:after="0" w:line="263" w:lineRule="auto"/>
        <w:tabs>
          <w:tab w:leader="none" w:pos="66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Company may, if the Board so determines, have a Seal (including any official seals kept pursuant to the Companies Act) which shall only be used by the authority of the Board or of a committee of the Board authorised by the Board in that regard and every instrument to which the Seal has been affixed shall be signed by any person who shall be either a Director or the Secretary or Assistant Secretary or some other person authorised by the Board, either generally or specifically, for the purpose.</w:t>
      </w:r>
    </w:p>
    <w:p>
      <w:pPr>
        <w:spacing w:after="0" w:line="149" w:lineRule="exact"/>
        <w:rPr>
          <w:rFonts w:ascii="Arial" w:cs="Arial" w:eastAsia="Arial" w:hAnsi="Arial"/>
          <w:sz w:val="19"/>
          <w:szCs w:val="19"/>
          <w:color w:val="auto"/>
        </w:rPr>
      </w:pPr>
    </w:p>
    <w:p>
      <w:pPr>
        <w:ind w:left="660" w:right="20" w:hanging="652"/>
        <w:spacing w:after="0" w:line="260" w:lineRule="auto"/>
        <w:tabs>
          <w:tab w:leader="none" w:pos="6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Company may have for use in any place or places outside Ireland, a duplicate Seal or Seals each of which shall be a duplicate of the Seal of the Company except, in the case of 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595" w:right="239" w:bottom="1440" w:gutter="0" w:footer="0" w:header="0"/>
        </w:sectPr>
      </w:pPr>
    </w:p>
    <w:bookmarkStart w:id="133" w:name="page134"/>
    <w:bookmarkEnd w:id="133"/>
    <w:p>
      <w:pPr>
        <w:ind w:left="660"/>
        <w:spacing w:after="0" w:line="287" w:lineRule="auto"/>
        <w:rPr>
          <w:sz w:val="20"/>
          <w:szCs w:val="20"/>
          <w:color w:val="auto"/>
        </w:rPr>
      </w:pPr>
      <w:r>
        <w:rPr>
          <w:rFonts w:ascii="Arial" w:cs="Arial" w:eastAsia="Arial" w:hAnsi="Arial"/>
          <w:sz w:val="19"/>
          <w:szCs w:val="19"/>
          <w:color w:val="auto"/>
        </w:rPr>
        <w:t>Seal for use in sealing documents creating or evidencing securities issued by the Company, for the addition on its face of the word “Securities” and if the Board so determines, with the addition on its face of the name of every place where it is to be used.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DIVIDENDS, DISTRIBUTIONS AND RESERVES</w:t>
      </w:r>
    </w:p>
    <w:p>
      <w:pPr>
        <w:spacing w:after="0" w:line="181"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in general meeting may declare dividends, but no dividends shall exceed the amount recommended by the Directors.</w:t>
      </w:r>
    </w:p>
    <w:p>
      <w:pPr>
        <w:spacing w:after="0" w:line="198"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Subject to the Companies Act, the Board may from time to time declare dividends (including interim dividends) and distributions on Shares of the Company outstanding and authorise payment of the same out of the funds of the Company lawfully available therefore and in any currency chosen at its discretion.</w:t>
      </w:r>
    </w:p>
    <w:p>
      <w:pPr>
        <w:spacing w:after="0" w:line="145" w:lineRule="exact"/>
        <w:rPr>
          <w:rFonts w:ascii="Arial" w:cs="Arial" w:eastAsia="Arial" w:hAnsi="Arial"/>
          <w:sz w:val="20"/>
          <w:szCs w:val="20"/>
          <w:color w:val="auto"/>
        </w:rPr>
      </w:pPr>
    </w:p>
    <w:p>
      <w:pPr>
        <w:jc w:val="both"/>
        <w:ind w:left="660" w:hanging="652"/>
        <w:spacing w:after="0" w:line="246" w:lineRule="auto"/>
        <w:tabs>
          <w:tab w:leader="none" w:pos="6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Board may, before declaring any dividends or distributions, set aside such sums as they think proper as a reserve or reserves which shall at the discretion of the Directors, be applicable for any purpose of the Company and pending such application may, at the like discretion, be employed in the business of the Company. The Directors may also, without placing the same to reserve, carry forward any profits which they may think it prudent not to divide.</w:t>
      </w:r>
    </w:p>
    <w:p>
      <w:pPr>
        <w:spacing w:after="0" w:line="151" w:lineRule="exact"/>
        <w:rPr>
          <w:rFonts w:ascii="Arial" w:cs="Arial" w:eastAsia="Arial" w:hAnsi="Arial"/>
          <w:sz w:val="20"/>
          <w:szCs w:val="20"/>
          <w:color w:val="auto"/>
        </w:rPr>
      </w:pPr>
    </w:p>
    <w:p>
      <w:pPr>
        <w:ind w:left="660" w:hanging="652"/>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dividend, interim dividend or distribution shall be paid otherwise than in accordance with the provisions of the Companies Act.</w:t>
      </w:r>
    </w:p>
    <w:p>
      <w:pPr>
        <w:spacing w:after="0" w:line="198" w:lineRule="exact"/>
        <w:rPr>
          <w:rFonts w:ascii="Arial" w:cs="Arial" w:eastAsia="Arial" w:hAnsi="Arial"/>
          <w:sz w:val="18"/>
          <w:szCs w:val="18"/>
          <w:color w:val="auto"/>
        </w:rPr>
      </w:pPr>
    </w:p>
    <w:p>
      <w:pPr>
        <w:jc w:val="both"/>
        <w:ind w:left="660" w:hanging="652"/>
        <w:spacing w:after="0" w:line="291"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Subject to the rights of persons, if any, entitled to Shares with special rights as to dividends or distributions, if dividends or distributions are to be declared on a class of Shares they shall be declared and paid according to the amounts paid or credited as paid on the Shares of such class outstanding on the record date for such dividend or distribution as determined in accordance with these Articles.</w:t>
      </w:r>
    </w:p>
    <w:p>
      <w:pPr>
        <w:spacing w:after="0" w:line="111" w:lineRule="exact"/>
        <w:rPr>
          <w:rFonts w:ascii="Arial" w:cs="Arial" w:eastAsia="Arial" w:hAnsi="Arial"/>
          <w:sz w:val="18"/>
          <w:szCs w:val="18"/>
          <w:color w:val="auto"/>
        </w:rPr>
      </w:pPr>
    </w:p>
    <w:p>
      <w:pPr>
        <w:ind w:left="660" w:right="20" w:hanging="652"/>
        <w:spacing w:after="0" w:line="260" w:lineRule="auto"/>
        <w:tabs>
          <w:tab w:leader="none" w:pos="6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Directors may deduct from any dividend payable to any Member all sums of money (if any) immediately payable by her to the Company in relation to the Shares of the Company.</w:t>
      </w:r>
    </w:p>
    <w:p>
      <w:pPr>
        <w:spacing w:after="0" w:line="136" w:lineRule="exact"/>
        <w:rPr>
          <w:rFonts w:ascii="Arial" w:cs="Arial" w:eastAsia="Arial" w:hAnsi="Arial"/>
          <w:sz w:val="20"/>
          <w:szCs w:val="20"/>
          <w:color w:val="auto"/>
        </w:rPr>
      </w:pPr>
    </w:p>
    <w:p>
      <w:pPr>
        <w:jc w:val="both"/>
        <w:ind w:left="660" w:hanging="652"/>
        <w:spacing w:after="0" w:line="243" w:lineRule="auto"/>
        <w:tabs>
          <w:tab w:leader="none" w:pos="6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Board or any general meeting declaring a dividend (upon the recommendation of the Board), may direct that any dividend or distribution be paid wholly or partly by the distribution of specific assets and in particular of paid up Shares, debentures, or debenture stock of any other company or in any one or more of such ways and where any difficulty arises in regard to such distribution, the Board may settle the same as they think expedient and in particular may issue fractional certificates and fix the value for distribution of such specific assets or any part thereof and may determine that cash payments shall be made to any Members upon the footing of the value so fixed in order to adjust the rights of all Members and may vest any such specific assets in trustees as may seem expedient to the Board.</w:t>
      </w:r>
    </w:p>
    <w:p>
      <w:pPr>
        <w:spacing w:after="0" w:line="152" w:lineRule="exact"/>
        <w:rPr>
          <w:rFonts w:ascii="Arial" w:cs="Arial" w:eastAsia="Arial" w:hAnsi="Arial"/>
          <w:sz w:val="20"/>
          <w:szCs w:val="20"/>
          <w:color w:val="auto"/>
        </w:rPr>
      </w:pPr>
    </w:p>
    <w:p>
      <w:pPr>
        <w:jc w:val="both"/>
        <w:ind w:left="660" w:hanging="652"/>
        <w:spacing w:after="0" w:line="256" w:lineRule="auto"/>
        <w:tabs>
          <w:tab w:leader="none" w:pos="6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Any dividend, distribution, interest or other monies payable in cash in respect of Shares may be paid by cheque or warrant sent through the post, or sent by any electronic or other means of payment, directed to the registered address of the holder or, in the case of joint holders, to the holder who is first named on the Register of Members or to such person and to such address as such holder or joint holders may in writing direct. Every such cheque or warrant, electronic or other payment shall be made payable to the order of the person to whom it is sent and payment of the cheque or warrant shall be a good discharge to the Company. Any one of two or more joint holders may give effectual receipts for any dividends, bonuses, or other monies payable in respect of the Share held by them as joint holders. Any such dividend or other distribution may also be paid by any other method (including payment in a currency other than US$, electronic funds transfer, direct debit, bank transfer or by means of a relevant system) which the Directors consider appropriate and any Member who elects for such method of payment shall be deemed to have accepted all of the risks inherent therein.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20"/>
          </w:cols>
          <w:pgMar w:left="240" w:top="595" w:right="239" w:bottom="1440" w:gutter="0" w:footer="0" w:header="0"/>
        </w:sectPr>
      </w:pPr>
    </w:p>
    <w:bookmarkStart w:id="134" w:name="page135"/>
    <w:bookmarkEnd w:id="134"/>
    <w:p>
      <w:pPr>
        <w:ind w:left="660"/>
        <w:spacing w:after="0" w:line="260" w:lineRule="auto"/>
        <w:rPr>
          <w:sz w:val="20"/>
          <w:szCs w:val="20"/>
          <w:color w:val="auto"/>
        </w:rPr>
      </w:pPr>
      <w:r>
        <w:rPr>
          <w:rFonts w:ascii="Arial" w:cs="Arial" w:eastAsia="Arial" w:hAnsi="Arial"/>
          <w:sz w:val="20"/>
          <w:szCs w:val="20"/>
          <w:color w:val="auto"/>
        </w:rPr>
        <w:t>debiting of the Company’s account in respect of the relevant amount shall be evidence of good discharge of the Company’s obligations in respect of any payment made by any such methods.</w:t>
      </w:r>
    </w:p>
    <w:p>
      <w:pPr>
        <w:spacing w:after="0" w:line="136"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No dividend or distribution shall bear interest against the Company.</w:t>
      </w:r>
    </w:p>
    <w:p>
      <w:pPr>
        <w:spacing w:after="0" w:line="188" w:lineRule="exact"/>
        <w:rPr>
          <w:rFonts w:ascii="Arial" w:cs="Arial" w:eastAsia="Arial" w:hAnsi="Arial"/>
          <w:sz w:val="20"/>
          <w:szCs w:val="20"/>
          <w:color w:val="auto"/>
        </w:rPr>
      </w:pPr>
    </w:p>
    <w:p>
      <w:pPr>
        <w:jc w:val="both"/>
        <w:ind w:left="660" w:hanging="652"/>
        <w:spacing w:after="0" w:line="269" w:lineRule="auto"/>
        <w:tabs>
          <w:tab w:leader="none" w:pos="66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If the Directors so resolve, any dividend which has remained unclaimed for six years from the date of its declaration shall be forfeited and cease to remain owing by the Company. The payment by the Directors of any unclaimed dividend or other monies payable in respect of a Share into a separate account shall not constitute the Company a trustee in respect thereof.</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CAPITALISATION</w:t>
      </w:r>
    </w:p>
    <w:p>
      <w:pPr>
        <w:spacing w:after="0" w:line="195" w:lineRule="exact"/>
        <w:rPr>
          <w:sz w:val="20"/>
          <w:szCs w:val="20"/>
          <w:color w:val="auto"/>
        </w:rPr>
      </w:pPr>
    </w:p>
    <w:p>
      <w:pPr>
        <w:ind w:left="660" w:right="20" w:hanging="652"/>
        <w:spacing w:after="0" w:line="316"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Without prejudice to any powers conferred on the Directors as aforesaid, and subject to the Directors’ authority to issue and allot Shares under Articles 6 and 7 (or any other such authority granted in accordance with the Companies Act), the Directors may:</w:t>
      </w:r>
    </w:p>
    <w:p>
      <w:pPr>
        <w:spacing w:after="0" w:line="103" w:lineRule="exact"/>
        <w:rPr>
          <w:rFonts w:ascii="Arial" w:cs="Arial" w:eastAsia="Arial" w:hAnsi="Arial"/>
          <w:sz w:val="18"/>
          <w:szCs w:val="18"/>
          <w:color w:val="auto"/>
        </w:rPr>
      </w:pPr>
    </w:p>
    <w:p>
      <w:pPr>
        <w:ind w:left="1300" w:right="20" w:hanging="648"/>
        <w:spacing w:after="0" w:line="260" w:lineRule="auto"/>
        <w:rPr>
          <w:rFonts w:ascii="Arial" w:cs="Arial" w:eastAsia="Arial" w:hAnsi="Arial"/>
          <w:sz w:val="18"/>
          <w:szCs w:val="18"/>
          <w:color w:val="auto"/>
        </w:rPr>
      </w:pPr>
      <w:r>
        <w:rPr>
          <w:rFonts w:ascii="Arial" w:cs="Arial" w:eastAsia="Arial" w:hAnsi="Arial"/>
          <w:sz w:val="20"/>
          <w:szCs w:val="20"/>
          <w:color w:val="auto"/>
        </w:rPr>
        <w:t>166.1 resolve to capitalise an amount standing to the credit of any reserves (including a share premium account, undenominated capital, redemption reserve and profit and loss account), whether or not available for distribution;</w:t>
      </w:r>
    </w:p>
    <w:p>
      <w:pPr>
        <w:spacing w:after="0" w:line="149" w:lineRule="exact"/>
        <w:rPr>
          <w:rFonts w:ascii="Arial" w:cs="Arial" w:eastAsia="Arial" w:hAnsi="Arial"/>
          <w:sz w:val="18"/>
          <w:szCs w:val="18"/>
          <w:color w:val="auto"/>
        </w:rPr>
      </w:pPr>
    </w:p>
    <w:p>
      <w:pPr>
        <w:ind w:left="1300" w:hanging="648"/>
        <w:spacing w:after="0" w:line="243" w:lineRule="auto"/>
        <w:rPr>
          <w:rFonts w:ascii="Arial" w:cs="Arial" w:eastAsia="Arial" w:hAnsi="Arial"/>
          <w:sz w:val="18"/>
          <w:szCs w:val="18"/>
          <w:color w:val="auto"/>
        </w:rPr>
      </w:pPr>
      <w:r>
        <w:rPr>
          <w:rFonts w:ascii="Arial" w:cs="Arial" w:eastAsia="Arial" w:hAnsi="Arial"/>
          <w:sz w:val="20"/>
          <w:szCs w:val="20"/>
          <w:color w:val="auto"/>
        </w:rPr>
        <w:t>166.2 appropriate the sum resolved to be capitalised to the Members in proportion to the nominal amount of Shares held by them respectively and apply that sum on their behalf in or towards paying up in full unissued Shares or debentures of a nominal amount equal to that sum, and allot the Shares or debentures, credited as fully paid, to the Members (or as the Board of may direct) in those proportions, or partly in one way and partly in the other, but reserves that are not available for distribution may, for the purposes of this Article 166.2, only be applied in paying up unissued Shares to be allotted to Members credited as fully paid;</w:t>
      </w:r>
    </w:p>
    <w:p>
      <w:pPr>
        <w:spacing w:after="0" w:line="169" w:lineRule="exact"/>
        <w:rPr>
          <w:rFonts w:ascii="Arial" w:cs="Arial" w:eastAsia="Arial" w:hAnsi="Arial"/>
          <w:sz w:val="18"/>
          <w:szCs w:val="18"/>
          <w:color w:val="auto"/>
        </w:rPr>
      </w:pPr>
    </w:p>
    <w:p>
      <w:pPr>
        <w:ind w:left="1300" w:hanging="648"/>
        <w:spacing w:after="0" w:line="250" w:lineRule="auto"/>
        <w:rPr>
          <w:rFonts w:ascii="Arial" w:cs="Arial" w:eastAsia="Arial" w:hAnsi="Arial"/>
          <w:sz w:val="18"/>
          <w:szCs w:val="18"/>
          <w:color w:val="auto"/>
        </w:rPr>
      </w:pPr>
      <w:r>
        <w:rPr>
          <w:rFonts w:ascii="Arial" w:cs="Arial" w:eastAsia="Arial" w:hAnsi="Arial"/>
          <w:sz w:val="20"/>
          <w:szCs w:val="20"/>
          <w:color w:val="auto"/>
        </w:rPr>
        <w:t>166.3 make any arrangements it thinks fit to resolve a difficulty arising in the distribution of a capitalised reserve and in particular, without limitation, where Shares or debentures become distributable in fractions the Board may deal with the fractions as it thinks fit;</w:t>
      </w:r>
    </w:p>
    <w:p>
      <w:pPr>
        <w:spacing w:after="0" w:line="159" w:lineRule="exact"/>
        <w:rPr>
          <w:rFonts w:ascii="Arial" w:cs="Arial" w:eastAsia="Arial" w:hAnsi="Arial"/>
          <w:sz w:val="18"/>
          <w:szCs w:val="18"/>
          <w:color w:val="auto"/>
        </w:rPr>
      </w:pPr>
    </w:p>
    <w:p>
      <w:pPr>
        <w:ind w:left="1300" w:hanging="648"/>
        <w:spacing w:after="0" w:line="291" w:lineRule="auto"/>
        <w:rPr>
          <w:rFonts w:ascii="Arial" w:cs="Arial" w:eastAsia="Arial" w:hAnsi="Arial"/>
          <w:sz w:val="18"/>
          <w:szCs w:val="18"/>
          <w:color w:val="auto"/>
        </w:rPr>
      </w:pPr>
      <w:r>
        <w:rPr>
          <w:rFonts w:ascii="Arial" w:cs="Arial" w:eastAsia="Arial" w:hAnsi="Arial"/>
          <w:sz w:val="18"/>
          <w:szCs w:val="18"/>
          <w:color w:val="auto"/>
        </w:rPr>
        <w:t>166.4 authorise a person to enter (on behalf of all the Members concerned) into an agreement with the Company providing for the allotment to the Members respectively, credited as fully paid, of Shares or debentures to which they may be entitled on the capitalisation and any such agreement made under this authority being effective and binding on all those Members; and</w:t>
      </w:r>
    </w:p>
    <w:p>
      <w:pPr>
        <w:spacing w:after="0" w:line="12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166.5  generally do all acts and things required to give effect to the resolution.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ACCOUNTS</w:t>
      </w:r>
    </w:p>
    <w:p>
      <w:pPr>
        <w:spacing w:after="0" w:line="195"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Directors shall cause the Company to keep adequate accounting records, which are sufficient to:</w:t>
      </w:r>
    </w:p>
    <w:p>
      <w:pPr>
        <w:spacing w:after="0" w:line="188"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167.1  correctly record and explain the transactions of the Company;</w:t>
      </w:r>
    </w:p>
    <w:p>
      <w:pPr>
        <w:spacing w:after="0" w:line="188" w:lineRule="exact"/>
        <w:rPr>
          <w:rFonts w:ascii="Arial" w:cs="Arial" w:eastAsia="Arial" w:hAnsi="Arial"/>
          <w:sz w:val="20"/>
          <w:szCs w:val="20"/>
          <w:color w:val="auto"/>
        </w:rPr>
      </w:pPr>
    </w:p>
    <w:p>
      <w:pPr>
        <w:ind w:left="1300" w:right="20" w:hanging="648"/>
        <w:spacing w:after="0" w:line="260" w:lineRule="auto"/>
        <w:rPr>
          <w:rFonts w:ascii="Arial" w:cs="Arial" w:eastAsia="Arial" w:hAnsi="Arial"/>
          <w:sz w:val="20"/>
          <w:szCs w:val="20"/>
          <w:color w:val="auto"/>
        </w:rPr>
      </w:pPr>
      <w:r>
        <w:rPr>
          <w:rFonts w:ascii="Arial" w:cs="Arial" w:eastAsia="Arial" w:hAnsi="Arial"/>
          <w:sz w:val="20"/>
          <w:szCs w:val="20"/>
          <w:color w:val="auto"/>
        </w:rPr>
        <w:t>167.2 enable at any time, the assets, liabilities, financial position and profit or loss of the Company to be determined with reasonable accuracy;</w:t>
      </w:r>
    </w:p>
    <w:p>
      <w:pPr>
        <w:spacing w:after="0" w:line="149" w:lineRule="exact"/>
        <w:rPr>
          <w:rFonts w:ascii="Arial" w:cs="Arial" w:eastAsia="Arial" w:hAnsi="Arial"/>
          <w:sz w:val="20"/>
          <w:szCs w:val="20"/>
          <w:color w:val="auto"/>
        </w:rPr>
      </w:pPr>
    </w:p>
    <w:p>
      <w:pPr>
        <w:ind w:left="1300" w:hanging="648"/>
        <w:spacing w:after="0" w:line="250" w:lineRule="auto"/>
        <w:rPr>
          <w:rFonts w:ascii="Arial" w:cs="Arial" w:eastAsia="Arial" w:hAnsi="Arial"/>
          <w:sz w:val="20"/>
          <w:szCs w:val="20"/>
          <w:color w:val="auto"/>
        </w:rPr>
      </w:pPr>
      <w:r>
        <w:rPr>
          <w:rFonts w:ascii="Arial" w:cs="Arial" w:eastAsia="Arial" w:hAnsi="Arial"/>
          <w:sz w:val="20"/>
          <w:szCs w:val="20"/>
          <w:color w:val="auto"/>
        </w:rPr>
        <w:t>167.3 enable the Directors to ensure that any financial statements of the Company and any directors’ report, required to be prepared under the Companies Act, complies with the requirements of the Companies Act and where applicable, Article 4 of the IAS Regulation;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20"/>
          </w:cols>
          <w:pgMar w:left="240" w:top="595" w:right="239" w:bottom="1440" w:gutter="0" w:footer="0" w:header="0"/>
        </w:sectPr>
      </w:pPr>
    </w:p>
    <w:bookmarkStart w:id="135" w:name="page136"/>
    <w:bookmarkEnd w:id="135"/>
    <w:p>
      <w:pPr>
        <w:ind w:left="1300" w:hanging="647"/>
        <w:spacing w:after="0" w:line="316" w:lineRule="auto"/>
        <w:tabs>
          <w:tab w:leader="none" w:pos="1280" w:val="left"/>
        </w:tabs>
        <w:rPr>
          <w:sz w:val="20"/>
          <w:szCs w:val="20"/>
          <w:color w:val="auto"/>
        </w:rPr>
      </w:pPr>
      <w:r>
        <w:rPr>
          <w:rFonts w:ascii="Arial" w:cs="Arial" w:eastAsia="Arial" w:hAnsi="Arial"/>
          <w:sz w:val="20"/>
          <w:szCs w:val="20"/>
          <w:color w:val="auto"/>
        </w:rPr>
        <w:t>167.4</w:t>
      </w:r>
      <w:r>
        <w:rPr>
          <w:sz w:val="20"/>
          <w:szCs w:val="20"/>
          <w:color w:val="auto"/>
        </w:rPr>
        <w:tab/>
      </w:r>
      <w:r>
        <w:rPr>
          <w:rFonts w:ascii="Arial" w:cs="Arial" w:eastAsia="Arial" w:hAnsi="Arial"/>
          <w:sz w:val="18"/>
          <w:szCs w:val="18"/>
          <w:color w:val="auto"/>
        </w:rPr>
        <w:t>will record all sums of money received and expended by the Company and the matters in respect of which the receipt or expenditure takes place, all sales and purchases of goods by the Company and the assets and liabilities of the Company; and</w:t>
      </w:r>
    </w:p>
    <w:p>
      <w:pPr>
        <w:spacing w:after="0" w:line="1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167.5</w:t>
      </w:r>
      <w:r>
        <w:rPr>
          <w:sz w:val="20"/>
          <w:szCs w:val="20"/>
          <w:color w:val="auto"/>
        </w:rPr>
        <w:tab/>
      </w:r>
      <w:r>
        <w:rPr>
          <w:rFonts w:ascii="Arial" w:cs="Arial" w:eastAsia="Arial" w:hAnsi="Arial"/>
          <w:sz w:val="16"/>
          <w:szCs w:val="16"/>
          <w:color w:val="auto"/>
        </w:rPr>
        <w:t>will enable the statutory financial statements of the Company to be audited.</w:t>
      </w:r>
    </w:p>
    <w:p>
      <w:pPr>
        <w:spacing w:after="0" w:line="189" w:lineRule="exact"/>
        <w:rPr>
          <w:sz w:val="20"/>
          <w:szCs w:val="20"/>
          <w:color w:val="auto"/>
        </w:rPr>
      </w:pPr>
    </w:p>
    <w:p>
      <w:pPr>
        <w:jc w:val="both"/>
        <w:ind w:left="660" w:hanging="652"/>
        <w:spacing w:after="0" w:line="260" w:lineRule="auto"/>
        <w:tabs>
          <w:tab w:leader="none" w:pos="66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Accounting records shall be kept on a continuous and consistent basis, in that entries therein shall be made in a timely manner and be consistent from year to year in accordance with the Companies Act. The Company may send by post, electronic mail or any other means of electronic communication a summary financial statement to its Members or persons nominated by any Member. The Company may meet, but shall be under no obligation to meet, any request from any of its Members to be sent additional copies of its full report and accounts or summary financial statement or other communications with its Members.</w:t>
      </w:r>
    </w:p>
    <w:p>
      <w:pPr>
        <w:spacing w:after="0" w:line="153" w:lineRule="exact"/>
        <w:rPr>
          <w:rFonts w:ascii="Arial" w:cs="Arial" w:eastAsia="Arial" w:hAnsi="Arial"/>
          <w:sz w:val="19"/>
          <w:szCs w:val="19"/>
          <w:color w:val="auto"/>
        </w:rPr>
      </w:pPr>
    </w:p>
    <w:p>
      <w:pPr>
        <w:ind w:left="660" w:right="20" w:hanging="652"/>
        <w:spacing w:after="0" w:line="287" w:lineRule="auto"/>
        <w:tabs>
          <w:tab w:leader="none" w:pos="66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accounting records shall be kept at the registered office of the Company or, subject to the provisions of the Companies Act, at such other place as the Directors think fit and shall be open at all reasonable times to the inspection of the Directors.</w:t>
      </w:r>
    </w:p>
    <w:p>
      <w:pPr>
        <w:spacing w:after="0" w:line="125" w:lineRule="exact"/>
        <w:rPr>
          <w:rFonts w:ascii="Arial" w:cs="Arial" w:eastAsia="Arial" w:hAnsi="Arial"/>
          <w:sz w:val="19"/>
          <w:szCs w:val="19"/>
          <w:color w:val="auto"/>
        </w:rPr>
      </w:pPr>
    </w:p>
    <w:p>
      <w:pPr>
        <w:ind w:left="660" w:hanging="652"/>
        <w:spacing w:after="0" w:line="260" w:lineRule="auto"/>
        <w:tabs>
          <w:tab w:leader="none" w:pos="6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Proper records shall not be deemed to be kept as required by Articles 167 to 172, if there are not kept such accounting records as are necessary to give a true and fair view of the state of the Company’s affairs and to explain its transactions.</w:t>
      </w:r>
    </w:p>
    <w:p>
      <w:pPr>
        <w:spacing w:after="0" w:line="149"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In accordance with the provisions of the Companies Act, the Board may from time to time cause to be prepared and to be laid before the Company in general meeting profit and loss accounts, balance sheets, group accounts (if any) and such other reports and accounts as may be required by law.</w:t>
      </w:r>
    </w:p>
    <w:p>
      <w:pPr>
        <w:spacing w:after="0" w:line="159" w:lineRule="exact"/>
        <w:rPr>
          <w:rFonts w:ascii="Arial" w:cs="Arial" w:eastAsia="Arial" w:hAnsi="Arial"/>
          <w:sz w:val="20"/>
          <w:szCs w:val="20"/>
          <w:color w:val="auto"/>
        </w:rPr>
      </w:pPr>
    </w:p>
    <w:p>
      <w:pPr>
        <w:jc w:val="both"/>
        <w:ind w:left="660" w:hanging="652"/>
        <w:spacing w:after="0" w:line="276"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copy of every balance sheet (including every document required by law to be annexed thereto) which is to be laid before the annual general meeting of the Company together with a copy of the Directors’ report and Auditors’ report shall be sent by post, electronic mail or any other means of communication (electronic or otherwise), not less than twenty-one clear days before the date of the annual general meeting, to every person entitled under the provisions of the Companies Act to receive them; provided that in the case of those documents sent by electronic mail or any other means of electronic communication, such documents shall be sent with the consent of the recipient, to the Address of the recipient notified to the Company by the recipient for such purposes.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AUDITORS</w:t>
      </w:r>
    </w:p>
    <w:p>
      <w:pPr>
        <w:spacing w:after="0" w:line="195" w:lineRule="exact"/>
        <w:rPr>
          <w:sz w:val="20"/>
          <w:szCs w:val="20"/>
          <w:color w:val="auto"/>
        </w:rPr>
      </w:pPr>
    </w:p>
    <w:p>
      <w:pPr>
        <w:ind w:left="660" w:hanging="652"/>
        <w:spacing w:after="0" w:line="260" w:lineRule="auto"/>
        <w:tabs>
          <w:tab w:leader="none" w:pos="6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Auditors shall be appointed and their duties regulated in accordance with the Companies Act, any other applicable law and such requirements not inconsistent with the Companies Act as the Board may from time to time determine.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NOTICES</w:t>
      </w:r>
    </w:p>
    <w:p>
      <w:pPr>
        <w:spacing w:after="0" w:line="195"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notice to be given, served, sent or delivered pursuant to these articles shall be in writing (whether in electronic form or otherwise).</w:t>
      </w:r>
    </w:p>
    <w:p>
      <w:pPr>
        <w:spacing w:after="0" w:line="211" w:lineRule="exact"/>
        <w:rPr>
          <w:rFonts w:ascii="Arial" w:cs="Arial" w:eastAsia="Arial" w:hAnsi="Arial"/>
          <w:sz w:val="18"/>
          <w:szCs w:val="18"/>
          <w:color w:val="auto"/>
        </w:rPr>
      </w:pPr>
    </w:p>
    <w:p>
      <w:pPr>
        <w:ind w:left="1300" w:hanging="648"/>
        <w:spacing w:after="0" w:line="260" w:lineRule="auto"/>
        <w:rPr>
          <w:rFonts w:ascii="Arial" w:cs="Arial" w:eastAsia="Arial" w:hAnsi="Arial"/>
          <w:sz w:val="18"/>
          <w:szCs w:val="18"/>
          <w:color w:val="auto"/>
        </w:rPr>
      </w:pPr>
      <w:r>
        <w:rPr>
          <w:rFonts w:ascii="Arial" w:cs="Arial" w:eastAsia="Arial" w:hAnsi="Arial"/>
          <w:sz w:val="20"/>
          <w:szCs w:val="20"/>
          <w:color w:val="auto"/>
        </w:rPr>
        <w:t>174.1 A notice or document to be given, served, sent or delivered in pursuance of these articles may be given to, served on or delivered to any Member by the Company:</w:t>
      </w:r>
    </w:p>
    <w:p>
      <w:pPr>
        <w:spacing w:after="0" w:line="149" w:lineRule="exact"/>
        <w:rPr>
          <w:rFonts w:ascii="Arial" w:cs="Arial" w:eastAsia="Arial" w:hAnsi="Arial"/>
          <w:sz w:val="18"/>
          <w:szCs w:val="18"/>
          <w:color w:val="auto"/>
        </w:rPr>
      </w:pPr>
    </w:p>
    <w:p>
      <w:pPr>
        <w:ind w:left="1960" w:hanging="655"/>
        <w:spacing w:after="0"/>
        <w:tabs>
          <w:tab w:leader="none" w:pos="196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by handing same to her or her authorised agent;</w:t>
      </w:r>
    </w:p>
    <w:p>
      <w:pPr>
        <w:spacing w:after="0" w:line="188" w:lineRule="exact"/>
        <w:rPr>
          <w:rFonts w:ascii="Arial" w:cs="Arial" w:eastAsia="Arial" w:hAnsi="Arial"/>
          <w:sz w:val="20"/>
          <w:szCs w:val="20"/>
          <w:color w:val="auto"/>
        </w:rPr>
      </w:pPr>
    </w:p>
    <w:p>
      <w:pPr>
        <w:ind w:left="1960" w:hanging="655"/>
        <w:spacing w:after="0"/>
        <w:tabs>
          <w:tab w:leader="none" w:pos="196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by leaving the same at her registered address;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595" w:right="239" w:bottom="1440" w:gutter="0" w:footer="0" w:header="0"/>
        </w:sectPr>
      </w:pPr>
    </w:p>
    <w:bookmarkStart w:id="136" w:name="page137"/>
    <w:bookmarkEnd w:id="136"/>
    <w:p>
      <w:pPr>
        <w:ind w:left="760" w:hanging="655"/>
        <w:spacing w:after="0"/>
        <w:tabs>
          <w:tab w:leader="none" w:pos="76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by sending the same by the post in a pre-paid cover addressed to her at her registered address; or</w:t>
      </w:r>
    </w:p>
    <w:p>
      <w:pPr>
        <w:spacing w:after="0" w:line="188" w:lineRule="exact"/>
        <w:rPr>
          <w:rFonts w:ascii="Arial" w:cs="Arial" w:eastAsia="Arial" w:hAnsi="Arial"/>
          <w:sz w:val="20"/>
          <w:szCs w:val="20"/>
          <w:color w:val="auto"/>
        </w:rPr>
      </w:pPr>
    </w:p>
    <w:p>
      <w:pPr>
        <w:jc w:val="both"/>
        <w:ind w:left="760" w:hanging="655"/>
        <w:spacing w:after="0" w:line="246" w:lineRule="auto"/>
        <w:tabs>
          <w:tab w:leader="none" w:pos="76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by sending, with the consent of the Member to the extent required by law, the same by means of electronic mail or other means of electronic communication approved by the Directors, to the Address of the Member notified to the Company by the Member for such purpose (or if not so notified, then to the Address of the Member last known to the Company).</w:t>
      </w:r>
    </w:p>
    <w:p>
      <w:pPr>
        <w:spacing w:after="0" w:line="165" w:lineRule="exact"/>
        <w:rPr>
          <w:sz w:val="20"/>
          <w:szCs w:val="20"/>
          <w:color w:val="auto"/>
        </w:rPr>
      </w:pPr>
    </w:p>
    <w:p>
      <w:pPr>
        <w:jc w:val="both"/>
        <w:ind w:left="100" w:hanging="647"/>
        <w:spacing w:after="0" w:line="250" w:lineRule="auto"/>
        <w:tabs>
          <w:tab w:leader="none" w:pos="80" w:val="left"/>
        </w:tabs>
        <w:rPr>
          <w:sz w:val="20"/>
          <w:szCs w:val="20"/>
          <w:color w:val="auto"/>
        </w:rPr>
      </w:pPr>
      <w:r>
        <w:rPr>
          <w:rFonts w:ascii="Arial" w:cs="Arial" w:eastAsia="Arial" w:hAnsi="Arial"/>
          <w:sz w:val="20"/>
          <w:szCs w:val="20"/>
          <w:color w:val="auto"/>
        </w:rPr>
        <w:t>174.2</w:t>
        <w:tab/>
        <w:t>For the purposes of these Articles and the Companies Act, a document shall be deemed to have been sent to a Member if a notice is given, served, sent or delivered to the Member and the notice specifies the website or hotlink or other electronic link at or through which the Member may obtain a copy of the relevant document.</w:t>
      </w:r>
    </w:p>
    <w:p>
      <w:pPr>
        <w:spacing w:after="0" w:line="159" w:lineRule="exact"/>
        <w:rPr>
          <w:sz w:val="20"/>
          <w:szCs w:val="20"/>
          <w:color w:val="auto"/>
        </w:rPr>
      </w:pPr>
    </w:p>
    <w:p>
      <w:pPr>
        <w:jc w:val="both"/>
        <w:ind w:left="100" w:hanging="647"/>
        <w:spacing w:after="0" w:line="250" w:lineRule="auto"/>
        <w:tabs>
          <w:tab w:leader="none" w:pos="80" w:val="left"/>
        </w:tabs>
        <w:rPr>
          <w:sz w:val="20"/>
          <w:szCs w:val="20"/>
          <w:color w:val="auto"/>
        </w:rPr>
      </w:pPr>
      <w:r>
        <w:rPr>
          <w:rFonts w:ascii="Arial" w:cs="Arial" w:eastAsia="Arial" w:hAnsi="Arial"/>
          <w:sz w:val="20"/>
          <w:szCs w:val="20"/>
          <w:color w:val="auto"/>
        </w:rPr>
        <w:t>174.3</w:t>
        <w:tab/>
        <w:t>Where a notice or document is given, served or delivered pursuant to sub-paragraph 174.1(a) or 174.1(b) of this article, the giving, service or delivery thereof shall be deemed to have been effected at the time the same was handed to the Member or her authorised agent, or left at her registered address (as the case may be).</w:t>
      </w:r>
    </w:p>
    <w:p>
      <w:pPr>
        <w:spacing w:after="0" w:line="159" w:lineRule="exact"/>
        <w:rPr>
          <w:sz w:val="20"/>
          <w:szCs w:val="20"/>
          <w:color w:val="auto"/>
        </w:rPr>
      </w:pPr>
    </w:p>
    <w:p>
      <w:pPr>
        <w:jc w:val="both"/>
        <w:ind w:left="100" w:hanging="647"/>
        <w:spacing w:after="0" w:line="246" w:lineRule="auto"/>
        <w:tabs>
          <w:tab w:leader="none" w:pos="80" w:val="left"/>
        </w:tabs>
        <w:rPr>
          <w:sz w:val="20"/>
          <w:szCs w:val="20"/>
          <w:color w:val="auto"/>
        </w:rPr>
      </w:pPr>
      <w:r>
        <w:rPr>
          <w:rFonts w:ascii="Arial" w:cs="Arial" w:eastAsia="Arial" w:hAnsi="Arial"/>
          <w:sz w:val="20"/>
          <w:szCs w:val="20"/>
          <w:color w:val="auto"/>
        </w:rPr>
        <w:t>174.4</w:t>
        <w:tab/>
        <w:t>Where a notice or document is given, served or delivered pursuant to sub-paragraph 174.1(c) of this article, the giving, service or delivery thereof shall be deemed to have been effected at the expiration of twenty-four hours after the cover containing it was posted. In proving service or delivery it shall be sufficient to prove that such cover was properly addressed, stamped and posted.</w:t>
      </w:r>
    </w:p>
    <w:p>
      <w:pPr>
        <w:spacing w:after="0" w:line="165" w:lineRule="exact"/>
        <w:rPr>
          <w:sz w:val="20"/>
          <w:szCs w:val="20"/>
          <w:color w:val="auto"/>
        </w:rPr>
      </w:pPr>
    </w:p>
    <w:p>
      <w:pPr>
        <w:jc w:val="both"/>
        <w:ind w:left="100" w:hanging="647"/>
        <w:spacing w:after="0" w:line="287" w:lineRule="auto"/>
        <w:tabs>
          <w:tab w:leader="none" w:pos="80" w:val="left"/>
        </w:tabs>
        <w:rPr>
          <w:sz w:val="20"/>
          <w:szCs w:val="20"/>
          <w:color w:val="auto"/>
        </w:rPr>
      </w:pPr>
      <w:r>
        <w:rPr>
          <w:rFonts w:ascii="Arial" w:cs="Arial" w:eastAsia="Arial" w:hAnsi="Arial"/>
          <w:sz w:val="20"/>
          <w:szCs w:val="20"/>
          <w:color w:val="auto"/>
        </w:rPr>
        <w:t>174.5</w:t>
      </w:r>
      <w:r>
        <w:rPr>
          <w:sz w:val="20"/>
          <w:szCs w:val="20"/>
          <w:color w:val="auto"/>
        </w:rPr>
        <w:tab/>
      </w:r>
      <w:r>
        <w:rPr>
          <w:rFonts w:ascii="Arial" w:cs="Arial" w:eastAsia="Arial" w:hAnsi="Arial"/>
          <w:sz w:val="19"/>
          <w:szCs w:val="19"/>
          <w:color w:val="auto"/>
        </w:rPr>
        <w:t>Where a notice or document is given, served or delivered pursuant to sub-paragraph 174.1(d) of this article, the giving, service or delivery thereof shall be deemed to have been effected at the expiration of 48 hours after despatch.</w:t>
      </w:r>
    </w:p>
    <w:p>
      <w:pPr>
        <w:spacing w:after="0" w:line="126" w:lineRule="exact"/>
        <w:rPr>
          <w:sz w:val="20"/>
          <w:szCs w:val="20"/>
          <w:color w:val="auto"/>
        </w:rPr>
      </w:pPr>
    </w:p>
    <w:p>
      <w:pPr>
        <w:jc w:val="both"/>
        <w:ind w:left="100" w:hanging="647"/>
        <w:spacing w:after="0" w:line="244" w:lineRule="auto"/>
        <w:tabs>
          <w:tab w:leader="none" w:pos="80" w:val="left"/>
        </w:tabs>
        <w:rPr>
          <w:sz w:val="20"/>
          <w:szCs w:val="20"/>
          <w:color w:val="auto"/>
        </w:rPr>
      </w:pPr>
      <w:r>
        <w:rPr>
          <w:rFonts w:ascii="Arial" w:cs="Arial" w:eastAsia="Arial" w:hAnsi="Arial"/>
          <w:sz w:val="20"/>
          <w:szCs w:val="20"/>
          <w:color w:val="auto"/>
        </w:rPr>
        <w:t>174.6</w:t>
        <w:tab/>
        <w:t>Every legal personal representative, committee, receiver, curator bonis or other legal curator, assignee in bankruptcy, examiner or liquidator of a Member shall be bound by a notice given as aforesaid if sent to the last registered address of such Member, or, in the event of notice given or delivered pursuant to sub-paragraph 174.1(d), if sent to the address notified by the Company by the Member for such purpose notwithstanding that the Company may have notice of the death, lunacy, bankruptcy, liquidation or disability of such Member.</w:t>
      </w:r>
    </w:p>
    <w:p>
      <w:pPr>
        <w:spacing w:after="0" w:line="168" w:lineRule="exact"/>
        <w:rPr>
          <w:sz w:val="20"/>
          <w:szCs w:val="20"/>
          <w:color w:val="auto"/>
        </w:rPr>
      </w:pPr>
    </w:p>
    <w:p>
      <w:pPr>
        <w:jc w:val="both"/>
        <w:ind w:left="100" w:hanging="647"/>
        <w:spacing w:after="0" w:line="250" w:lineRule="auto"/>
        <w:tabs>
          <w:tab w:leader="none" w:pos="80" w:val="left"/>
        </w:tabs>
        <w:rPr>
          <w:sz w:val="20"/>
          <w:szCs w:val="20"/>
          <w:color w:val="auto"/>
        </w:rPr>
      </w:pPr>
      <w:r>
        <w:rPr>
          <w:rFonts w:ascii="Arial" w:cs="Arial" w:eastAsia="Arial" w:hAnsi="Arial"/>
          <w:sz w:val="20"/>
          <w:szCs w:val="20"/>
          <w:color w:val="auto"/>
        </w:rPr>
        <w:t>174.7</w:t>
        <w:tab/>
        <w:t>Notwithstanding anything contained in this Article, the Company shall not be obliged to take account of or make any investigations as to the existence of any suspension or curtailment of postal services within or in relation to all or any part of any jurisdiction.</w:t>
      </w:r>
    </w:p>
    <w:p>
      <w:pPr>
        <w:spacing w:after="0" w:line="159" w:lineRule="exact"/>
        <w:rPr>
          <w:sz w:val="20"/>
          <w:szCs w:val="20"/>
          <w:color w:val="auto"/>
        </w:rPr>
      </w:pPr>
    </w:p>
    <w:p>
      <w:pPr>
        <w:jc w:val="both"/>
        <w:ind w:left="100" w:hanging="647"/>
        <w:spacing w:after="0" w:line="272" w:lineRule="auto"/>
        <w:tabs>
          <w:tab w:leader="none" w:pos="80" w:val="left"/>
        </w:tabs>
        <w:rPr>
          <w:sz w:val="20"/>
          <w:szCs w:val="20"/>
          <w:color w:val="auto"/>
        </w:rPr>
      </w:pPr>
      <w:r>
        <w:rPr>
          <w:rFonts w:ascii="Arial" w:cs="Arial" w:eastAsia="Arial" w:hAnsi="Arial"/>
          <w:sz w:val="20"/>
          <w:szCs w:val="20"/>
          <w:color w:val="auto"/>
        </w:rPr>
        <w:t>174.8</w:t>
      </w:r>
      <w:r>
        <w:rPr>
          <w:sz w:val="20"/>
          <w:szCs w:val="20"/>
          <w:color w:val="auto"/>
        </w:rPr>
        <w:tab/>
      </w:r>
      <w:r>
        <w:rPr>
          <w:rFonts w:ascii="Arial" w:cs="Arial" w:eastAsia="Arial" w:hAnsi="Arial"/>
          <w:sz w:val="18"/>
          <w:szCs w:val="18"/>
          <w:color w:val="auto"/>
        </w:rPr>
        <w:t>Any requirement in these Articles for the consent of a Member in regard to the receipt by such Member of electronic mail or other means of electronic communications approved by the Directors, including the receipt of the Company’s statutory financial statements and the directors’ and Auditor’s reports thereon, shall be deemed to have been satisfied where the Company has written to the Member informing him/her of its intention to use electronic communications for such purposes and the Member has not, within four weeks of the issue of such notice, served an objection in writing on the Company to such proposal. Where a Member has given, or is deemed to have given, her/her consent to the receipt by such Member of electronic mail or other means of electronic communications approved by the Directors, she/he may revoke such consent at any time by requesting the Company to communicate with her/him in documented form; provided, however, that such revocation shall not take effect until five days after written notice of the revocation is received by the Company.</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0220"/>
          </w:cols>
          <w:pgMar w:left="1440" w:top="595" w:right="239" w:bottom="1440" w:gutter="0" w:footer="0" w:header="0"/>
        </w:sectPr>
      </w:pPr>
    </w:p>
    <w:bookmarkStart w:id="137" w:name="page138"/>
    <w:bookmarkEnd w:id="137"/>
    <w:p>
      <w:pPr>
        <w:jc w:val="both"/>
        <w:ind w:left="1300" w:hanging="647"/>
        <w:spacing w:after="0" w:line="273" w:lineRule="auto"/>
        <w:tabs>
          <w:tab w:leader="none" w:pos="1280" w:val="left"/>
        </w:tabs>
        <w:rPr>
          <w:sz w:val="20"/>
          <w:szCs w:val="20"/>
          <w:color w:val="auto"/>
        </w:rPr>
      </w:pPr>
      <w:r>
        <w:rPr>
          <w:rFonts w:ascii="Arial" w:cs="Arial" w:eastAsia="Arial" w:hAnsi="Arial"/>
          <w:sz w:val="20"/>
          <w:szCs w:val="20"/>
          <w:color w:val="auto"/>
        </w:rPr>
        <w:t>174.9</w:t>
      </w:r>
      <w:r>
        <w:rPr>
          <w:sz w:val="20"/>
          <w:szCs w:val="20"/>
          <w:color w:val="auto"/>
        </w:rPr>
        <w:tab/>
      </w:r>
      <w:r>
        <w:rPr>
          <w:rFonts w:ascii="Arial" w:cs="Arial" w:eastAsia="Arial" w:hAnsi="Arial"/>
          <w:sz w:val="18"/>
          <w:szCs w:val="18"/>
          <w:color w:val="auto"/>
        </w:rPr>
        <w:t>Without prejudice to the provisions of sub-paragraphs 174.1(a) and 174.1(b) of this article, if at any time by reason of the suspension or curtailment of postal services in any territory, the Company is unable effectively to convene a general meeting by notices sent through the post, a general meeting may be convened by a public announcement (as defined below) and such notice shall be deemed to have been duly served on all Members entitled thereto at noon (New York time) on the day on which the said public announcement is made. In any such case the Company shall put a full copy of the notice of the general meeting on its website. A “public announcement” shall mean disclosure in a press release reported by a financial news service or in a document publicly filed by the Company with the U.S. Securities and Exchange Commission pursuant to sections 13, 14 or 15(d) of the Exchange Act and the rules and regulations promulgated thereunder.</w:t>
      </w:r>
    </w:p>
    <w:p>
      <w:pPr>
        <w:spacing w:after="0" w:line="142" w:lineRule="exact"/>
        <w:rPr>
          <w:sz w:val="20"/>
          <w:szCs w:val="20"/>
          <w:color w:val="auto"/>
        </w:rPr>
      </w:pPr>
    </w:p>
    <w:p>
      <w:pPr>
        <w:ind w:left="660" w:hanging="652"/>
        <w:spacing w:after="0" w:line="287" w:lineRule="auto"/>
        <w:tabs>
          <w:tab w:leader="none" w:pos="66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Notice may be given by the Company to the joint Members of a Share by giving the notice to the joint Member whose name stands first in the Register in respect of the Share and notice so given shall be sufficient notice to all the joint Holders.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auto"/>
        </w:rPr>
        <w:t>176.</w:t>
      </w:r>
    </w:p>
    <w:p>
      <w:pPr>
        <w:spacing w:after="0" w:line="189" w:lineRule="exact"/>
        <w:rPr>
          <w:sz w:val="20"/>
          <w:szCs w:val="20"/>
          <w:color w:val="auto"/>
        </w:rPr>
      </w:pPr>
    </w:p>
    <w:p>
      <w:pPr>
        <w:jc w:val="both"/>
        <w:ind w:left="1300" w:right="20" w:hanging="647"/>
        <w:spacing w:after="0" w:line="287" w:lineRule="auto"/>
        <w:tabs>
          <w:tab w:leader="none" w:pos="1280" w:val="left"/>
        </w:tabs>
        <w:rPr>
          <w:sz w:val="20"/>
          <w:szCs w:val="20"/>
          <w:color w:val="auto"/>
        </w:rPr>
      </w:pPr>
      <w:r>
        <w:rPr>
          <w:rFonts w:ascii="Arial" w:cs="Arial" w:eastAsia="Arial" w:hAnsi="Arial"/>
          <w:sz w:val="20"/>
          <w:szCs w:val="20"/>
          <w:color w:val="auto"/>
        </w:rPr>
        <w:t>176.1</w:t>
      </w:r>
      <w:r>
        <w:rPr>
          <w:sz w:val="20"/>
          <w:szCs w:val="20"/>
          <w:color w:val="auto"/>
        </w:rPr>
        <w:tab/>
      </w:r>
      <w:r>
        <w:rPr>
          <w:rFonts w:ascii="Arial" w:cs="Arial" w:eastAsia="Arial" w:hAnsi="Arial"/>
          <w:sz w:val="19"/>
          <w:szCs w:val="19"/>
          <w:color w:val="auto"/>
        </w:rPr>
        <w:t>Every person who becomes entitled to a Share shall before her name is entered in the Register in respect of the Share, be bound by any notice in respect of that Share which has been duly given to a person from whom she derives her title.</w:t>
      </w:r>
    </w:p>
    <w:p>
      <w:pPr>
        <w:spacing w:after="0" w:line="12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0"/>
          <w:szCs w:val="20"/>
          <w:color w:val="auto"/>
        </w:rPr>
        <w:t>176.2</w:t>
      </w:r>
      <w:r>
        <w:rPr>
          <w:sz w:val="20"/>
          <w:szCs w:val="20"/>
          <w:color w:val="auto"/>
        </w:rPr>
        <w:tab/>
      </w:r>
      <w:r>
        <w:rPr>
          <w:rFonts w:ascii="Arial" w:cs="Arial" w:eastAsia="Arial" w:hAnsi="Arial"/>
          <w:sz w:val="19"/>
          <w:szCs w:val="19"/>
          <w:color w:val="auto"/>
        </w:rPr>
        <w:t>A notice may be given by the Company to the persons entitled to a Share in consequence of the death or bankruptcy of a Member by sending or delivering it, in any manner authorised by these articles for the giving of notice to a Member, addressed to them at the address, if any, supplied by them for that purpose. Until such an address has been supplied, a notice may be given in any manner in which it might have been given if the death or bankruptcy had not occurred.</w:t>
      </w:r>
    </w:p>
    <w:p>
      <w:pPr>
        <w:spacing w:after="0" w:line="150" w:lineRule="exact"/>
        <w:rPr>
          <w:sz w:val="20"/>
          <w:szCs w:val="20"/>
          <w:color w:val="auto"/>
        </w:rPr>
      </w:pPr>
    </w:p>
    <w:p>
      <w:pPr>
        <w:ind w:left="660" w:hanging="652"/>
        <w:spacing w:after="0" w:line="260" w:lineRule="auto"/>
        <w:tabs>
          <w:tab w:leader="none" w:pos="66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signature (whether electronic signature, an advanced electronic signature or otherwise) to any notice to be given by the Company may be written (in electronic form or otherwise) or printed.</w:t>
      </w:r>
    </w:p>
    <w:p>
      <w:pPr>
        <w:spacing w:after="0" w:line="149" w:lineRule="exact"/>
        <w:rPr>
          <w:rFonts w:ascii="Arial" w:cs="Arial" w:eastAsia="Arial" w:hAnsi="Arial"/>
          <w:sz w:val="20"/>
          <w:szCs w:val="20"/>
          <w:color w:val="auto"/>
        </w:rPr>
      </w:pPr>
    </w:p>
    <w:p>
      <w:pPr>
        <w:ind w:left="660" w:hanging="652"/>
        <w:spacing w:after="0" w:line="287" w:lineRule="auto"/>
        <w:tabs>
          <w:tab w:leader="none" w:pos="66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 Member present, either in person or by proxy, at any meeting of the Company or the Holders of any class of Shares in the Company shall be deemed to have received notice of the meeting and, where requisite, of the purposes for which it was called.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UNTRACED HOLDERS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179.</w:t>
      </w:r>
    </w:p>
    <w:p>
      <w:pPr>
        <w:spacing w:after="0" w:line="189" w:lineRule="exact"/>
        <w:rPr>
          <w:sz w:val="20"/>
          <w:szCs w:val="20"/>
          <w:color w:val="auto"/>
        </w:rPr>
      </w:pPr>
    </w:p>
    <w:p>
      <w:pPr>
        <w:ind w:left="1300" w:right="20" w:hanging="647"/>
        <w:spacing w:after="0" w:line="260" w:lineRule="auto"/>
        <w:tabs>
          <w:tab w:leader="none" w:pos="1280" w:val="left"/>
        </w:tabs>
        <w:rPr>
          <w:sz w:val="20"/>
          <w:szCs w:val="20"/>
          <w:color w:val="auto"/>
        </w:rPr>
      </w:pPr>
      <w:r>
        <w:rPr>
          <w:rFonts w:ascii="Arial" w:cs="Arial" w:eastAsia="Arial" w:hAnsi="Arial"/>
          <w:sz w:val="20"/>
          <w:szCs w:val="20"/>
          <w:color w:val="auto"/>
        </w:rPr>
        <w:t>179.1</w:t>
        <w:tab/>
        <w:t>The Company shall be entitled to sell at the best price reasonably obtainable any Share or stock of a Member or any Share or stock to which a person is entitled by transmission if and provided that:</w:t>
      </w:r>
    </w:p>
    <w:p>
      <w:pPr>
        <w:spacing w:after="0" w:line="150" w:lineRule="exact"/>
        <w:rPr>
          <w:sz w:val="20"/>
          <w:szCs w:val="20"/>
          <w:color w:val="auto"/>
        </w:rPr>
      </w:pPr>
    </w:p>
    <w:p>
      <w:pPr>
        <w:jc w:val="both"/>
        <w:ind w:left="1960" w:hanging="655"/>
        <w:spacing w:after="0" w:line="278" w:lineRule="auto"/>
        <w:tabs>
          <w:tab w:leader="none" w:pos="1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a period of six years (not less than three dividends having been declared and paid) no cheque or warrant sent by the Company through the post in a prepaid letter addressed to the Member or to the person entitled by transmission to the Share or stock at her address on the Register or other the last known address given by the Member or the person entitled by transmission to which cheques and warrants are to be sent has been cashed and no communication has been received by the Company from the Member or the person entitled by transmission;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420"/>
          </w:cols>
          <w:pgMar w:left="240" w:top="595" w:right="239" w:bottom="1440" w:gutter="0" w:footer="0" w:header="0"/>
        </w:sectPr>
      </w:pPr>
    </w:p>
    <w:bookmarkStart w:id="138" w:name="page139"/>
    <w:bookmarkEnd w:id="138"/>
    <w:p>
      <w:pPr>
        <w:jc w:val="both"/>
        <w:ind w:left="1960" w:hanging="655"/>
        <w:spacing w:after="0" w:line="250" w:lineRule="auto"/>
        <w:tabs>
          <w:tab w:leader="none" w:pos="196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at the expiration of the said period of six years the Company has given notice by advertisement in a leading Dublin newspaper and a newspaper circulating in the area in which the address referred to in paragraph (a) of this article is located of its intention to sell such Share or stock; and</w:t>
      </w:r>
    </w:p>
    <w:p>
      <w:pPr>
        <w:spacing w:after="0" w:line="159" w:lineRule="exact"/>
        <w:rPr>
          <w:rFonts w:ascii="Arial" w:cs="Arial" w:eastAsia="Arial" w:hAnsi="Arial"/>
          <w:sz w:val="20"/>
          <w:szCs w:val="20"/>
          <w:color w:val="auto"/>
        </w:rPr>
      </w:pPr>
    </w:p>
    <w:p>
      <w:pPr>
        <w:ind w:left="1960" w:right="20" w:hanging="655"/>
        <w:spacing w:after="0" w:line="316" w:lineRule="auto"/>
        <w:tabs>
          <w:tab w:leader="none" w:pos="1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has not during the further period of three months after the date of the advertisement and prior to the exercise of the power of sale received any communication from the Member or person entitled by transmission.</w:t>
      </w:r>
    </w:p>
    <w:p>
      <w:pPr>
        <w:spacing w:after="0" w:line="103" w:lineRule="exact"/>
        <w:rPr>
          <w:sz w:val="20"/>
          <w:szCs w:val="20"/>
          <w:color w:val="auto"/>
        </w:rPr>
      </w:pPr>
    </w:p>
    <w:p>
      <w:pPr>
        <w:jc w:val="both"/>
        <w:ind w:left="1300" w:hanging="647"/>
        <w:spacing w:after="0" w:line="242" w:lineRule="auto"/>
        <w:tabs>
          <w:tab w:leader="none" w:pos="1280" w:val="left"/>
        </w:tabs>
        <w:rPr>
          <w:sz w:val="20"/>
          <w:szCs w:val="20"/>
          <w:color w:val="auto"/>
        </w:rPr>
      </w:pPr>
      <w:r>
        <w:rPr>
          <w:rFonts w:ascii="Arial" w:cs="Arial" w:eastAsia="Arial" w:hAnsi="Arial"/>
          <w:sz w:val="20"/>
          <w:szCs w:val="20"/>
          <w:color w:val="auto"/>
        </w:rPr>
        <w:t>179.2</w:t>
        <w:tab/>
        <w:t>To give effect to any such sale the Company may appoint any person to execute as transferor an instrument of transfer of such Share or stock and such instrument of transfer shall be as effective as if it had been executed by the Member or person entitled by transmission to such Share or stock. The Company shall account to the Member or other person entitled to such Share or stock for the net proceeds of such sale by carrying all monies in respect thereof to a separate account which shall be a permanent debt of the Company and the Company shall be deemed to be a debtor and not a trustee in respect thereof for such Member or other person. Monies carried to such separate account may either be employed in the business of the Company or invested in such investments (other than shares of the Company or its holding company if any) as the Directors may from time to time think fit.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DESTRUCTION OF DOCUMENTS</w:t>
      </w:r>
    </w:p>
    <w:p>
      <w:pPr>
        <w:spacing w:after="0" w:line="181"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Company may destroy:</w:t>
      </w:r>
    </w:p>
    <w:p>
      <w:pPr>
        <w:spacing w:after="0" w:line="188" w:lineRule="exact"/>
        <w:rPr>
          <w:rFonts w:ascii="Arial" w:cs="Arial" w:eastAsia="Arial" w:hAnsi="Arial"/>
          <w:sz w:val="20"/>
          <w:szCs w:val="20"/>
          <w:color w:val="auto"/>
        </w:rPr>
      </w:pPr>
    </w:p>
    <w:p>
      <w:pPr>
        <w:ind w:left="1300" w:hanging="648"/>
        <w:spacing w:after="0" w:line="316" w:lineRule="auto"/>
        <w:rPr>
          <w:rFonts w:ascii="Arial" w:cs="Arial" w:eastAsia="Arial" w:hAnsi="Arial"/>
          <w:sz w:val="20"/>
          <w:szCs w:val="20"/>
          <w:color w:val="auto"/>
        </w:rPr>
      </w:pPr>
      <w:r>
        <w:rPr>
          <w:rFonts w:ascii="Arial" w:cs="Arial" w:eastAsia="Arial" w:hAnsi="Arial"/>
          <w:sz w:val="18"/>
          <w:szCs w:val="18"/>
          <w:color w:val="auto"/>
        </w:rPr>
        <w:t>180.1 any dividend mandate or any variation or cancellation thereof or any notification of change of name or address, at any time after the expiry of two years from the date such mandate variation, cancellation or notification was recorded by the Company;</w:t>
      </w:r>
    </w:p>
    <w:p>
      <w:pPr>
        <w:spacing w:after="0" w:line="103" w:lineRule="exact"/>
        <w:rPr>
          <w:rFonts w:ascii="Arial" w:cs="Arial" w:eastAsia="Arial" w:hAnsi="Arial"/>
          <w:sz w:val="20"/>
          <w:szCs w:val="20"/>
          <w:color w:val="auto"/>
        </w:rPr>
      </w:pPr>
    </w:p>
    <w:p>
      <w:pPr>
        <w:ind w:left="1300" w:hanging="648"/>
        <w:spacing w:after="0" w:line="260" w:lineRule="auto"/>
        <w:rPr>
          <w:rFonts w:ascii="Arial" w:cs="Arial" w:eastAsia="Arial" w:hAnsi="Arial"/>
          <w:sz w:val="20"/>
          <w:szCs w:val="20"/>
          <w:color w:val="auto"/>
        </w:rPr>
      </w:pPr>
      <w:r>
        <w:rPr>
          <w:rFonts w:ascii="Arial" w:cs="Arial" w:eastAsia="Arial" w:hAnsi="Arial"/>
          <w:sz w:val="20"/>
          <w:szCs w:val="20"/>
          <w:color w:val="auto"/>
        </w:rPr>
        <w:t>180.2 any instrument of transfer of Shares which has been registered, at any time after the expiry of six years from the date of registration; and</w:t>
      </w:r>
    </w:p>
    <w:p>
      <w:pPr>
        <w:spacing w:after="0" w:line="149" w:lineRule="exact"/>
        <w:rPr>
          <w:rFonts w:ascii="Arial" w:cs="Arial" w:eastAsia="Arial" w:hAnsi="Arial"/>
          <w:sz w:val="20"/>
          <w:szCs w:val="20"/>
          <w:color w:val="auto"/>
        </w:rPr>
      </w:pPr>
    </w:p>
    <w:p>
      <w:pPr>
        <w:ind w:left="1300" w:hanging="648"/>
        <w:spacing w:after="0" w:line="260" w:lineRule="auto"/>
        <w:rPr>
          <w:rFonts w:ascii="Arial" w:cs="Arial" w:eastAsia="Arial" w:hAnsi="Arial"/>
          <w:sz w:val="20"/>
          <w:szCs w:val="20"/>
          <w:color w:val="auto"/>
        </w:rPr>
      </w:pPr>
      <w:r>
        <w:rPr>
          <w:rFonts w:ascii="Arial" w:cs="Arial" w:eastAsia="Arial" w:hAnsi="Arial"/>
          <w:sz w:val="20"/>
          <w:szCs w:val="20"/>
          <w:color w:val="auto"/>
        </w:rPr>
        <w:t>180.3 any other document on the basis of which any entry in the Register was made, at any time after the expiry of six years from the date an entry in the Register was first made in respect of it;</w:t>
      </w:r>
    </w:p>
    <w:p>
      <w:pPr>
        <w:spacing w:after="0" w:line="149" w:lineRule="exact"/>
        <w:rPr>
          <w:rFonts w:ascii="Arial" w:cs="Arial" w:eastAsia="Arial" w:hAnsi="Arial"/>
          <w:sz w:val="20"/>
          <w:szCs w:val="20"/>
          <w:color w:val="auto"/>
        </w:rPr>
      </w:pPr>
    </w:p>
    <w:p>
      <w:pPr>
        <w:jc w:val="both"/>
        <w:ind w:left="660"/>
        <w:spacing w:after="0" w:line="263" w:lineRule="auto"/>
        <w:rPr>
          <w:rFonts w:ascii="Arial" w:cs="Arial" w:eastAsia="Arial" w:hAnsi="Arial"/>
          <w:sz w:val="20"/>
          <w:szCs w:val="20"/>
          <w:color w:val="auto"/>
        </w:rPr>
      </w:pPr>
      <w:r>
        <w:rPr>
          <w:rFonts w:ascii="Arial" w:cs="Arial" w:eastAsia="Arial" w:hAnsi="Arial"/>
          <w:sz w:val="19"/>
          <w:szCs w:val="19"/>
          <w:color w:val="auto"/>
        </w:rPr>
        <w:t>and it shall be presumed conclusively in favour of the Company that every share certificate (if any) so destroyed was a valid certificate duly and properly sealed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149"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the foregoing provisions of this article shall apply only to the destruction of a document in good faith and without express notice to the Company that the preservation of such document was relevant to a claim;</w:t>
      </w:r>
    </w:p>
    <w:p>
      <w:pPr>
        <w:spacing w:after="0" w:line="149" w:lineRule="exact"/>
        <w:rPr>
          <w:rFonts w:ascii="Arial" w:cs="Arial" w:eastAsia="Arial" w:hAnsi="Arial"/>
          <w:sz w:val="20"/>
          <w:szCs w:val="20"/>
          <w:color w:val="auto"/>
        </w:rPr>
      </w:pPr>
    </w:p>
    <w:p>
      <w:pPr>
        <w:jc w:val="both"/>
        <w:ind w:left="1960" w:right="20" w:hanging="655"/>
        <w:spacing w:after="0" w:line="250" w:lineRule="auto"/>
        <w:tabs>
          <w:tab w:leader="none" w:pos="196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nothing contained in this article shall be construed as imposing upon the Company any liability in respect of the destruction of any such document earlier than as aforesaid or in any case where the conditions of proviso (a) above are not fulfilled; and</w:t>
      </w:r>
    </w:p>
    <w:p>
      <w:pPr>
        <w:spacing w:after="0" w:line="159" w:lineRule="exact"/>
        <w:rPr>
          <w:rFonts w:ascii="Arial" w:cs="Arial" w:eastAsia="Arial" w:hAnsi="Arial"/>
          <w:sz w:val="20"/>
          <w:szCs w:val="20"/>
          <w:color w:val="auto"/>
        </w:rPr>
      </w:pPr>
    </w:p>
    <w:p>
      <w:pPr>
        <w:ind w:left="1960" w:hanging="655"/>
        <w:spacing w:after="0"/>
        <w:tabs>
          <w:tab w:leader="none" w:pos="196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references in this article to the destruction of any document include references to its disposal in any manner.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420"/>
          </w:cols>
          <w:pgMar w:left="240" w:top="595"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0"/>
          <w:szCs w:val="20"/>
          <w:b w:val="1"/>
          <w:bCs w:val="1"/>
          <w:color w:val="auto"/>
        </w:rPr>
        <w:t>WINDING UP</w:t>
      </w:r>
    </w:p>
    <w:p>
      <w:pPr>
        <w:spacing w:after="0" w:line="195" w:lineRule="exact"/>
        <w:rPr>
          <w:sz w:val="20"/>
          <w:szCs w:val="20"/>
          <w:color w:val="auto"/>
        </w:rPr>
      </w:pPr>
    </w:p>
    <w:p>
      <w:pPr>
        <w:jc w:val="both"/>
        <w:ind w:left="660" w:hanging="652"/>
        <w:spacing w:after="0" w:line="257" w:lineRule="auto"/>
        <w:tabs>
          <w:tab w:leader="none" w:pos="66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not affect the rights of the Members holding Shares issued upon special terms and conditions.</w:t>
      </w:r>
    </w:p>
    <w:p>
      <w:pPr>
        <w:spacing w:after="0" w:line="154" w:lineRule="exact"/>
        <w:rPr>
          <w:rFonts w:ascii="Arial" w:cs="Arial" w:eastAsia="Arial" w:hAnsi="Arial"/>
          <w:sz w:val="19"/>
          <w:szCs w:val="19"/>
          <w:color w:val="auto"/>
        </w:rPr>
      </w:pPr>
    </w:p>
    <w:p>
      <w:pPr>
        <w:ind w:left="1300" w:hanging="648"/>
        <w:spacing w:after="0" w:line="243" w:lineRule="auto"/>
        <w:rPr>
          <w:rFonts w:ascii="Arial" w:cs="Arial" w:eastAsia="Arial" w:hAnsi="Arial"/>
          <w:sz w:val="19"/>
          <w:szCs w:val="19"/>
          <w:color w:val="auto"/>
        </w:rPr>
      </w:pPr>
      <w:r>
        <w:rPr>
          <w:rFonts w:ascii="Arial" w:cs="Arial" w:eastAsia="Arial" w:hAnsi="Arial"/>
          <w:sz w:val="20"/>
          <w:szCs w:val="20"/>
          <w:color w:val="auto"/>
        </w:rPr>
        <w:t>181.1 In case of a sale by the liquidator under section 601 of the Companies Act, the liquidator may by the contract of sale agree so as to bind all the Members for the allotment to the Members directly of the proceeds of sale in proportion to their respective interests in the Company and may further by the contract limit a time at the expiration of which obligations or Shares not accepted or required to be sold shall be deemed to have been irrevocably refused and be at the disposal of the Company, but so that nothing herein contained shall be taken to diminish, prejudice or affect the rights of dissenting Members conferred by the said section.</w:t>
      </w:r>
    </w:p>
    <w:p>
      <w:pPr>
        <w:spacing w:after="0" w:line="169" w:lineRule="exact"/>
        <w:rPr>
          <w:rFonts w:ascii="Arial" w:cs="Arial" w:eastAsia="Arial" w:hAnsi="Arial"/>
          <w:sz w:val="19"/>
          <w:szCs w:val="19"/>
          <w:color w:val="auto"/>
        </w:rPr>
      </w:pPr>
    </w:p>
    <w:p>
      <w:pPr>
        <w:ind w:left="1300" w:hanging="648"/>
        <w:spacing w:after="0" w:line="250" w:lineRule="auto"/>
        <w:rPr>
          <w:rFonts w:ascii="Arial" w:cs="Arial" w:eastAsia="Arial" w:hAnsi="Arial"/>
          <w:sz w:val="19"/>
          <w:szCs w:val="19"/>
          <w:color w:val="auto"/>
        </w:rPr>
      </w:pPr>
      <w:r>
        <w:rPr>
          <w:rFonts w:ascii="Arial" w:cs="Arial" w:eastAsia="Arial" w:hAnsi="Arial"/>
          <w:sz w:val="20"/>
          <w:szCs w:val="20"/>
          <w:color w:val="auto"/>
        </w:rPr>
        <w:t>181.2 The power of sale of the liquidator shall include a power to sell wholly or partially for debentures, debenture stock, or other obligations of another company, either then already constituted or about to be constituted for the purpose of carrying out the sale.</w:t>
      </w:r>
    </w:p>
    <w:p>
      <w:pPr>
        <w:spacing w:after="0" w:line="159" w:lineRule="exact"/>
        <w:rPr>
          <w:rFonts w:ascii="Arial" w:cs="Arial" w:eastAsia="Arial" w:hAnsi="Arial"/>
          <w:sz w:val="19"/>
          <w:szCs w:val="19"/>
          <w:color w:val="auto"/>
        </w:rPr>
      </w:pPr>
    </w:p>
    <w:p>
      <w:pPr>
        <w:jc w:val="both"/>
        <w:ind w:left="660" w:hanging="652"/>
        <w:spacing w:after="0" w:line="259" w:lineRule="auto"/>
        <w:tabs>
          <w:tab w:leader="none" w:pos="66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If the Company is wound up, the liquidator, with the sanction of a Special Resolution and any other sanction required by the Companies Act,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she determines, but so that no Member shall be compelled to accept any assets upon which there is a liability.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INDEMNITY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183.</w:t>
      </w:r>
    </w:p>
    <w:p>
      <w:pPr>
        <w:spacing w:after="0" w:line="189" w:lineRule="exact"/>
        <w:rPr>
          <w:sz w:val="20"/>
          <w:szCs w:val="20"/>
          <w:color w:val="auto"/>
        </w:rPr>
      </w:pPr>
    </w:p>
    <w:p>
      <w:pPr>
        <w:jc w:val="both"/>
        <w:ind w:left="1300" w:hanging="647"/>
        <w:spacing w:after="0" w:line="313" w:lineRule="auto"/>
        <w:tabs>
          <w:tab w:leader="none" w:pos="1280" w:val="left"/>
        </w:tabs>
        <w:rPr>
          <w:sz w:val="20"/>
          <w:szCs w:val="20"/>
          <w:color w:val="auto"/>
        </w:rPr>
      </w:pPr>
      <w:r>
        <w:rPr>
          <w:rFonts w:ascii="Arial" w:cs="Arial" w:eastAsia="Arial" w:hAnsi="Arial"/>
          <w:sz w:val="20"/>
          <w:szCs w:val="20"/>
          <w:color w:val="auto"/>
        </w:rPr>
        <w:t>183.1</w:t>
      </w:r>
      <w:r>
        <w:rPr>
          <w:sz w:val="20"/>
          <w:szCs w:val="20"/>
          <w:color w:val="auto"/>
        </w:rPr>
        <w:tab/>
      </w:r>
      <w:r>
        <w:rPr>
          <w:rFonts w:ascii="Arial" w:cs="Arial" w:eastAsia="Arial" w:hAnsi="Arial"/>
          <w:sz w:val="16"/>
          <w:szCs w:val="16"/>
          <w:color w:val="auto"/>
        </w:rPr>
        <w:t>Subject to the provisions of and so far as may be admitted by the Companies Act, every Director and Secretary shall be entitled to be indemnified by the Company against all costs, charges, losses, expenses and liabilities incurred by him in the execution and discharge of her duties or in relation thereto including any liability incurred by him in defending any proceedings, civil or criminal, which relate to anything done or omitted or alleged to have been done or omitted by him as an officer or employee of the Company and in which judgement is given in her favour (or the proceedings are otherwise disposed of without any finding or admission of any material breach of duty on her part) or in which she is acquitted or in connection with any application under any statute for relief from liability in respect of any such act or omission in which relief is granted to him by the Court.</w:t>
      </w:r>
    </w:p>
    <w:p>
      <w:pPr>
        <w:spacing w:after="0" w:line="117"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183.2</w:t>
        <w:tab/>
        <w:t>As far as permissible under the Companies Act, the Company shall indemnify any current or former executive of the Company (excluding any Directors or Secretary) 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589" w:right="239" w:bottom="1440" w:gutter="0" w:footer="0" w:header="0"/>
        </w:sectPr>
      </w:pPr>
    </w:p>
    <w:bookmarkStart w:id="140" w:name="page141"/>
    <w:bookmarkEnd w:id="140"/>
    <w:p>
      <w:pPr>
        <w:jc w:val="both"/>
        <w:ind w:left="100"/>
        <w:spacing w:after="0" w:line="258" w:lineRule="auto"/>
        <w:rPr>
          <w:sz w:val="20"/>
          <w:szCs w:val="20"/>
          <w:color w:val="auto"/>
        </w:rPr>
      </w:pPr>
      <w:r>
        <w:rPr>
          <w:rFonts w:ascii="Arial" w:cs="Arial" w:eastAsia="Arial" w:hAnsi="Arial"/>
          <w:sz w:val="19"/>
          <w:szCs w:val="19"/>
          <w:color w:val="auto"/>
        </w:rPr>
        <w:t>any person who is serving or has served at the request of the Company as a director, executive or trustee of another company, joint venture, trust or other enterprise against expenses, including attorneys’ fees, judgments, fines, and amounts paid in settlement actually and reasonably incurred by him or her in connection with any threatened, pending, or completed action, suit or proceeding, whether civil, criminal, administrative or investigative, other than an action by or in the right of the Company, to which she or he was, is, or is threatened to be made a party by reason of the fact that she or he is or was such a director, executive or trustee, provided always that the indemnity contained in this Article 183.2 shall not extend to any matter which would render it void pursuant to the Companies Act.</w:t>
      </w:r>
    </w:p>
    <w:p>
      <w:pPr>
        <w:spacing w:after="0" w:line="152" w:lineRule="exact"/>
        <w:rPr>
          <w:sz w:val="20"/>
          <w:szCs w:val="20"/>
          <w:color w:val="auto"/>
        </w:rPr>
      </w:pPr>
    </w:p>
    <w:p>
      <w:pPr>
        <w:jc w:val="both"/>
        <w:ind w:left="100" w:hanging="647"/>
        <w:spacing w:after="0" w:line="242" w:lineRule="auto"/>
        <w:tabs>
          <w:tab w:leader="none" w:pos="80" w:val="left"/>
        </w:tabs>
        <w:rPr>
          <w:sz w:val="20"/>
          <w:szCs w:val="20"/>
          <w:color w:val="auto"/>
        </w:rPr>
      </w:pPr>
      <w:r>
        <w:rPr>
          <w:rFonts w:ascii="Arial" w:cs="Arial" w:eastAsia="Arial" w:hAnsi="Arial"/>
          <w:sz w:val="20"/>
          <w:szCs w:val="20"/>
          <w:color w:val="auto"/>
        </w:rPr>
        <w:t>183.3</w:t>
        <w:tab/>
        <w:t>In the case of any threatened, pending or completed action, suit or proceeding by or in the right of the Company, the Company shall indemnify each person indicated in Article 183.2 of this article against expenses, including attorneys’ fees, actually and reasonably incurred in connection with the defence or the settlement thereof, except no indemnification shall be made in respect of any claim, issue or matter as to which such person shall have been adjudged to be liable for fraud or dishonesty in the performance of her or her duty to the Company unless and only to the extent that the Court or the court in which such action or suit was brought shall determine upon application that despite the adjudication of liability, but in view of all the circumstances of the case, such person is fairly and reasonably entitled to indemnity for such expenses as the court shall deem proper.</w:t>
      </w:r>
    </w:p>
    <w:p>
      <w:pPr>
        <w:spacing w:after="0" w:line="171" w:lineRule="exact"/>
        <w:rPr>
          <w:sz w:val="20"/>
          <w:szCs w:val="20"/>
          <w:color w:val="auto"/>
        </w:rPr>
      </w:pPr>
    </w:p>
    <w:p>
      <w:pPr>
        <w:jc w:val="both"/>
        <w:ind w:left="100" w:hanging="647"/>
        <w:spacing w:after="0" w:line="278" w:lineRule="auto"/>
        <w:tabs>
          <w:tab w:leader="none" w:pos="80" w:val="left"/>
        </w:tabs>
        <w:rPr>
          <w:sz w:val="20"/>
          <w:szCs w:val="20"/>
          <w:color w:val="auto"/>
        </w:rPr>
      </w:pPr>
      <w:r>
        <w:rPr>
          <w:rFonts w:ascii="Arial" w:cs="Arial" w:eastAsia="Arial" w:hAnsi="Arial"/>
          <w:sz w:val="20"/>
          <w:szCs w:val="20"/>
          <w:color w:val="auto"/>
        </w:rPr>
        <w:t>183.4</w:t>
      </w:r>
      <w:r>
        <w:rPr>
          <w:sz w:val="20"/>
          <w:szCs w:val="20"/>
          <w:color w:val="auto"/>
        </w:rPr>
        <w:tab/>
      </w:r>
      <w:r>
        <w:rPr>
          <w:rFonts w:ascii="Arial" w:cs="Arial" w:eastAsia="Arial" w:hAnsi="Arial"/>
          <w:sz w:val="18"/>
          <w:szCs w:val="18"/>
          <w:color w:val="auto"/>
        </w:rPr>
        <w:t>As far as permissible under the Companies Act, expenses, including attorneys’ fees, incurred in defending any action, suit or proceeding referred to in Articles 183.2 and 183.3 of this article may be paid by the Company in advance of the final disposition of such action, suit or proceeding as authorised by the Board in the specific case upon receipt of an undertaking by or on behalf of the director, executive or trustee, or other indemnitee to repay such amount, unless it shall ultimately be determined that she or he is entitled to be indemnified by the Company as authorised by these articles.</w:t>
      </w:r>
    </w:p>
    <w:p>
      <w:pPr>
        <w:spacing w:after="0" w:line="138" w:lineRule="exact"/>
        <w:rPr>
          <w:sz w:val="20"/>
          <w:szCs w:val="20"/>
          <w:color w:val="auto"/>
        </w:rPr>
      </w:pPr>
    </w:p>
    <w:p>
      <w:pPr>
        <w:jc w:val="both"/>
        <w:ind w:left="100" w:hanging="647"/>
        <w:spacing w:after="0" w:line="255" w:lineRule="auto"/>
        <w:tabs>
          <w:tab w:leader="none" w:pos="80" w:val="left"/>
        </w:tabs>
        <w:rPr>
          <w:sz w:val="20"/>
          <w:szCs w:val="20"/>
          <w:color w:val="auto"/>
        </w:rPr>
      </w:pPr>
      <w:r>
        <w:rPr>
          <w:rFonts w:ascii="Arial" w:cs="Arial" w:eastAsia="Arial" w:hAnsi="Arial"/>
          <w:sz w:val="20"/>
          <w:szCs w:val="20"/>
          <w:color w:val="auto"/>
        </w:rPr>
        <w:t>183.5</w:t>
      </w:r>
      <w:r>
        <w:rPr>
          <w:sz w:val="20"/>
          <w:szCs w:val="20"/>
          <w:color w:val="auto"/>
        </w:rPr>
        <w:tab/>
      </w:r>
      <w:r>
        <w:rPr>
          <w:rFonts w:ascii="Arial" w:cs="Arial" w:eastAsia="Arial" w:hAnsi="Arial"/>
          <w:sz w:val="19"/>
          <w:szCs w:val="19"/>
          <w:color w:val="auto"/>
        </w:rPr>
        <w:t>It being the policy of the Company that indemnification of the persons specified in this article shall be made to the fullest extent permitted by law, the indemnification provided by this Article shall not be deemed exclusive (a) of any other rights to which those seeking indemnification or advancement of expenses may be entitled under the Memorandum, Articles, any agreement, any insurance purchased by the Company, any vote of Members or disinterested directors, or pursuant to the direction (however embodied) of any court of competent jurisdiction, or otherwise, both as to action in her or his official capacity and as to action in another capacity while holding such office, or (b) of the power of the Company to indemnify any person who is or was an employee or agent of the Company or of another company, joint venture, trust or other enterprise which she or he is serving or has served at the request of the Company, to the same extent and in the same situations and subject to the same determinations as are hereinabove set forth with respect to a director, executive or trustee. As used in this paragraph 183.5, references to the “Company” include all constituent companies in a consolidation or merger in which the Company or a predecessor to the Company by consolidation or merger was involved. The indemnification provided by this article shall continue as to a person who has ceased to be a director, executive or trustee and shall inure to the benefit of the heirs, executors, and administrators of such a person.</w:t>
      </w:r>
    </w:p>
    <w:p>
      <w:pPr>
        <w:spacing w:after="0" w:line="156" w:lineRule="exact"/>
        <w:rPr>
          <w:sz w:val="20"/>
          <w:szCs w:val="20"/>
          <w:color w:val="auto"/>
        </w:rPr>
      </w:pPr>
    </w:p>
    <w:p>
      <w:pPr>
        <w:jc w:val="both"/>
        <w:ind w:left="100" w:hanging="647"/>
        <w:spacing w:after="0" w:line="287" w:lineRule="auto"/>
        <w:tabs>
          <w:tab w:leader="none" w:pos="80" w:val="left"/>
        </w:tabs>
        <w:rPr>
          <w:sz w:val="20"/>
          <w:szCs w:val="20"/>
          <w:color w:val="auto"/>
        </w:rPr>
      </w:pPr>
      <w:r>
        <w:rPr>
          <w:rFonts w:ascii="Arial" w:cs="Arial" w:eastAsia="Arial" w:hAnsi="Arial"/>
          <w:sz w:val="20"/>
          <w:szCs w:val="20"/>
          <w:color w:val="auto"/>
        </w:rPr>
        <w:t>183.6</w:t>
      </w:r>
      <w:r>
        <w:rPr>
          <w:sz w:val="20"/>
          <w:szCs w:val="20"/>
          <w:color w:val="auto"/>
        </w:rPr>
        <w:tab/>
      </w:r>
      <w:r>
        <w:rPr>
          <w:rFonts w:ascii="Arial" w:cs="Arial" w:eastAsia="Arial" w:hAnsi="Arial"/>
          <w:sz w:val="19"/>
          <w:szCs w:val="19"/>
          <w:color w:val="auto"/>
        </w:rPr>
        <w:t>The Directors shall have power to purchase and maintain for any Director, the Secretary or other officers or employees of the Company insurance against any such liability as referred to in section 235 of the Companies Act.</w:t>
      </w:r>
    </w:p>
    <w:p>
      <w:pPr>
        <w:spacing w:after="0" w:line="36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0220"/>
          </w:cols>
          <w:pgMar w:left="1440" w:top="595" w:right="239" w:bottom="1440" w:gutter="0" w:footer="0" w:header="0"/>
        </w:sectPr>
      </w:pPr>
    </w:p>
    <w:bookmarkStart w:id="141" w:name="page142"/>
    <w:bookmarkEnd w:id="141"/>
    <w:p>
      <w:pPr>
        <w:ind w:left="1292" w:hanging="647"/>
        <w:spacing w:after="0" w:line="260" w:lineRule="auto"/>
        <w:tabs>
          <w:tab w:leader="none" w:pos="1272" w:val="left"/>
        </w:tabs>
        <w:rPr>
          <w:sz w:val="20"/>
          <w:szCs w:val="20"/>
          <w:color w:val="auto"/>
        </w:rPr>
      </w:pPr>
      <w:r>
        <w:rPr>
          <w:rFonts w:ascii="Arial" w:cs="Arial" w:eastAsia="Arial" w:hAnsi="Arial"/>
          <w:sz w:val="20"/>
          <w:szCs w:val="20"/>
          <w:color w:val="auto"/>
        </w:rPr>
        <w:t>183.7</w:t>
        <w:tab/>
        <w:t>The Company may additionally indemnify any employee or agent of the Company or any director, executive, employee or agent of any of its subsidiaries to the fullest extent permitted by law.</w:t>
      </w:r>
    </w:p>
    <w:p>
      <w:pPr>
        <w:spacing w:after="0" w:line="144"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FINANCIAL YEAR</w:t>
      </w:r>
    </w:p>
    <w:p>
      <w:pPr>
        <w:spacing w:after="0" w:line="195" w:lineRule="exact"/>
        <w:rPr>
          <w:sz w:val="20"/>
          <w:szCs w:val="20"/>
          <w:color w:val="auto"/>
        </w:rPr>
      </w:pPr>
    </w:p>
    <w:p>
      <w:pPr>
        <w:ind w:left="652" w:hanging="652"/>
        <w:spacing w:after="0"/>
        <w:tabs>
          <w:tab w:leader="none" w:pos="652"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financial year of the Company shall be as prescribed by the Board from time to time.</w:t>
      </w:r>
    </w:p>
    <w:p>
      <w:pPr>
        <w:spacing w:after="0" w:line="182" w:lineRule="exact"/>
        <w:rPr>
          <w:rFonts w:ascii="Arial" w:cs="Arial" w:eastAsia="Arial" w:hAnsi="Arial"/>
          <w:sz w:val="20"/>
          <w:szCs w:val="20"/>
          <w:color w:val="auto"/>
        </w:rPr>
      </w:pPr>
    </w:p>
    <w:p>
      <w:pPr>
        <w:ind w:left="4232"/>
        <w:spacing w:after="0"/>
        <w:rPr>
          <w:rFonts w:ascii="Arial" w:cs="Arial" w:eastAsia="Arial" w:hAnsi="Arial"/>
          <w:sz w:val="20"/>
          <w:szCs w:val="20"/>
          <w:color w:val="auto"/>
        </w:rPr>
      </w:pPr>
      <w:r>
        <w:rPr>
          <w:rFonts w:ascii="Arial" w:cs="Arial" w:eastAsia="Arial" w:hAnsi="Arial"/>
          <w:sz w:val="20"/>
          <w:szCs w:val="20"/>
          <w:b w:val="1"/>
          <w:bCs w:val="1"/>
          <w:color w:val="auto"/>
        </w:rPr>
        <w:t>SHAREHOLDER RIGHTS PLAN</w:t>
      </w:r>
    </w:p>
    <w:p>
      <w:pPr>
        <w:spacing w:after="0" w:line="194" w:lineRule="exact"/>
        <w:rPr>
          <w:rFonts w:ascii="Arial" w:cs="Arial" w:eastAsia="Arial" w:hAnsi="Arial"/>
          <w:sz w:val="20"/>
          <w:szCs w:val="20"/>
          <w:color w:val="auto"/>
        </w:rPr>
      </w:pPr>
    </w:p>
    <w:p>
      <w:pPr>
        <w:ind w:left="652" w:right="20" w:hanging="652"/>
        <w:spacing w:after="0" w:line="260" w:lineRule="auto"/>
        <w:tabs>
          <w:tab w:leader="none" w:pos="652"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Board is hereby expressly authorised to adopt any shareholder rights plan, upon such terms and conditions as the Board deems expedient and in the best interests of the Company, subject to applicable law.</w:t>
      </w:r>
    </w:p>
    <w:p>
      <w:pPr>
        <w:spacing w:after="0" w:line="393"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12"/>
          </w:cols>
          <w:pgMar w:left="248" w:top="595" w:right="239" w:bottom="1440" w:gutter="0" w:footer="0" w:header="0"/>
        </w:sectPr>
      </w:pPr>
    </w:p>
    <w:bookmarkStart w:id="142" w:name="page143"/>
    <w:bookmarkEnd w:id="142"/>
    <w:p>
      <w:pPr>
        <w:ind w:right="20"/>
        <w:spacing w:after="0" w:line="405" w:lineRule="auto"/>
        <w:rPr>
          <w:sz w:val="20"/>
          <w:szCs w:val="20"/>
          <w:color w:val="auto"/>
        </w:rPr>
      </w:pPr>
      <w:r>
        <w:rPr>
          <w:rFonts w:ascii="Arial" w:cs="Arial" w:eastAsia="Arial" w:hAnsi="Arial"/>
          <w:sz w:val="19"/>
          <w:szCs w:val="19"/>
          <w:color w:val="auto"/>
        </w:rPr>
        <w:t>We, the several persons whose names, addresses and descriptions are subscribed, wish to be formed into a company in pursuance of this constitution, and we agree to take the number of shares in the capital of the Company set opposite our respective names.</w:t>
      </w:r>
    </w:p>
    <w:p>
      <w:pPr>
        <w:spacing w:after="0" w:line="200" w:lineRule="exact"/>
        <w:rPr>
          <w:sz w:val="20"/>
          <w:szCs w:val="20"/>
          <w:color w:val="auto"/>
        </w:rPr>
      </w:pPr>
    </w:p>
    <w:p>
      <w:pPr>
        <w:spacing w:after="0" w:line="369" w:lineRule="exact"/>
        <w:rPr>
          <w:sz w:val="20"/>
          <w:szCs w:val="20"/>
          <w:color w:val="auto"/>
        </w:rPr>
      </w:pPr>
    </w:p>
    <w:tbl>
      <w:tblPr>
        <w:tblLayout w:type="fixed"/>
        <w:tblInd w:w="70" w:type="dxa"/>
        <w:tblCellMar>
          <w:top w:w="0" w:type="dxa"/>
          <w:left w:w="0" w:type="dxa"/>
          <w:bottom w:w="0" w:type="dxa"/>
          <w:right w:w="0" w:type="dxa"/>
        </w:tblCellMar>
      </w:tblPr>
      <w:tr>
        <w:trPr>
          <w:trHeight w:val="274"/>
        </w:trPr>
        <w:tc>
          <w:tcPr>
            <w:tcW w:w="46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0"/>
                <w:szCs w:val="20"/>
                <w:b w:val="1"/>
                <w:bCs w:val="1"/>
                <w:color w:val="auto"/>
              </w:rPr>
              <w:t>Name, address and description of subscriber</w:t>
            </w:r>
          </w:p>
        </w:tc>
        <w:tc>
          <w:tcPr>
            <w:tcW w:w="1020" w:type="dxa"/>
            <w:vAlign w:val="bottom"/>
            <w:tcBorders>
              <w:top w:val="single" w:sz="8" w:color="auto"/>
              <w:right w:val="single" w:sz="8" w:color="auto"/>
            </w:tcBorders>
          </w:tcPr>
          <w:p>
            <w:pPr>
              <w:spacing w:after="0"/>
              <w:rPr>
                <w:sz w:val="23"/>
                <w:szCs w:val="23"/>
                <w:color w:val="auto"/>
              </w:rPr>
            </w:pPr>
          </w:p>
        </w:tc>
        <w:tc>
          <w:tcPr>
            <w:tcW w:w="56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Number of shares taken by the subscriber</w:t>
            </w:r>
          </w:p>
        </w:tc>
        <w:tc>
          <w:tcPr>
            <w:tcW w:w="0" w:type="dxa"/>
            <w:vAlign w:val="bottom"/>
          </w:tcPr>
          <w:p>
            <w:pPr>
              <w:spacing w:after="0"/>
              <w:rPr>
                <w:sz w:val="1"/>
                <w:szCs w:val="1"/>
                <w:color w:val="auto"/>
              </w:rPr>
            </w:pPr>
          </w:p>
        </w:tc>
      </w:tr>
      <w:tr>
        <w:trPr>
          <w:trHeight w:val="23"/>
        </w:trPr>
        <w:tc>
          <w:tcPr>
            <w:tcW w:w="468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03"/>
        </w:trPr>
        <w:tc>
          <w:tcPr>
            <w:tcW w:w="46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Seamus Mulligan</w:t>
            </w:r>
          </w:p>
        </w:tc>
        <w:tc>
          <w:tcPr>
            <w:tcW w:w="1020" w:type="dxa"/>
            <w:vAlign w:val="bottom"/>
            <w:tcBorders>
              <w:right w:val="single" w:sz="8" w:color="auto"/>
            </w:tcBorders>
          </w:tcPr>
          <w:p>
            <w:pPr>
              <w:spacing w:after="0"/>
              <w:rPr>
                <w:sz w:val="24"/>
                <w:szCs w:val="24"/>
                <w:color w:val="auto"/>
              </w:rPr>
            </w:pPr>
          </w:p>
        </w:tc>
        <w:tc>
          <w:tcPr>
            <w:tcW w:w="5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Woodlands</w:t>
            </w:r>
          </w:p>
        </w:tc>
        <w:tc>
          <w:tcPr>
            <w:tcW w:w="1020" w:type="dxa"/>
            <w:vAlign w:val="bottom"/>
            <w:tcBorders>
              <w:right w:val="single" w:sz="8" w:color="auto"/>
            </w:tcBorders>
          </w:tcPr>
          <w:p>
            <w:pPr>
              <w:spacing w:after="0"/>
              <w:rPr>
                <w:sz w:val="19"/>
                <w:szCs w:val="19"/>
                <w:color w:val="auto"/>
              </w:rPr>
            </w:pPr>
          </w:p>
        </w:tc>
        <w:tc>
          <w:tcPr>
            <w:tcW w:w="5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Barrymore</w:t>
            </w:r>
          </w:p>
        </w:tc>
        <w:tc>
          <w:tcPr>
            <w:tcW w:w="1020" w:type="dxa"/>
            <w:vAlign w:val="bottom"/>
            <w:tcBorders>
              <w:right w:val="single" w:sz="8" w:color="auto"/>
            </w:tcBorders>
          </w:tcPr>
          <w:p>
            <w:pPr>
              <w:spacing w:after="0"/>
              <w:rPr>
                <w:sz w:val="19"/>
                <w:szCs w:val="19"/>
                <w:color w:val="auto"/>
              </w:rPr>
            </w:pPr>
          </w:p>
        </w:tc>
        <w:tc>
          <w:tcPr>
            <w:tcW w:w="5680" w:type="dxa"/>
            <w:vAlign w:val="bottom"/>
            <w:tcBorders>
              <w:right w:val="single" w:sz="8" w:color="auto"/>
            </w:tcBorders>
          </w:tcPr>
          <w:p>
            <w:pPr>
              <w:ind w:left="2660"/>
              <w:spacing w:after="0"/>
              <w:rPr>
                <w:sz w:val="20"/>
                <w:szCs w:val="20"/>
                <w:color w:val="auto"/>
              </w:rPr>
            </w:pPr>
            <w:r>
              <w:rPr>
                <w:rFonts w:ascii="Arial" w:cs="Arial" w:eastAsia="Arial" w:hAnsi="Arial"/>
                <w:sz w:val="20"/>
                <w:szCs w:val="20"/>
                <w:color w:val="auto"/>
              </w:rPr>
              <w:t>One</w:t>
            </w:r>
          </w:p>
        </w:tc>
        <w:tc>
          <w:tcPr>
            <w:tcW w:w="0" w:type="dxa"/>
            <w:vAlign w:val="bottom"/>
          </w:tcPr>
          <w:p>
            <w:pPr>
              <w:spacing w:after="0"/>
              <w:rPr>
                <w:sz w:val="1"/>
                <w:szCs w:val="1"/>
                <w:color w:val="auto"/>
              </w:rPr>
            </w:pPr>
          </w:p>
        </w:tc>
      </w:tr>
      <w:tr>
        <w:trPr>
          <w:trHeight w:val="230"/>
        </w:trPr>
        <w:tc>
          <w:tcPr>
            <w:tcW w:w="46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Athlone</w:t>
            </w:r>
          </w:p>
        </w:tc>
        <w:tc>
          <w:tcPr>
            <w:tcW w:w="1020" w:type="dxa"/>
            <w:vAlign w:val="bottom"/>
            <w:tcBorders>
              <w:right w:val="single" w:sz="8" w:color="auto"/>
            </w:tcBorders>
          </w:tcPr>
          <w:p>
            <w:pPr>
              <w:spacing w:after="0"/>
              <w:rPr>
                <w:sz w:val="19"/>
                <w:szCs w:val="19"/>
                <w:color w:val="auto"/>
              </w:rPr>
            </w:pPr>
          </w:p>
        </w:tc>
        <w:tc>
          <w:tcPr>
            <w:tcW w:w="5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Co. Roscommon</w:t>
            </w:r>
          </w:p>
        </w:tc>
        <w:tc>
          <w:tcPr>
            <w:tcW w:w="1020" w:type="dxa"/>
            <w:vAlign w:val="bottom"/>
            <w:tcBorders>
              <w:right w:val="single" w:sz="8" w:color="auto"/>
            </w:tcBorders>
          </w:tcPr>
          <w:p>
            <w:pPr>
              <w:spacing w:after="0"/>
              <w:rPr>
                <w:sz w:val="21"/>
                <w:szCs w:val="21"/>
                <w:color w:val="auto"/>
              </w:rPr>
            </w:pPr>
          </w:p>
        </w:tc>
        <w:tc>
          <w:tcPr>
            <w:tcW w:w="5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68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David Brabazon</w:t>
            </w:r>
          </w:p>
        </w:tc>
        <w:tc>
          <w:tcPr>
            <w:tcW w:w="1020" w:type="dxa"/>
            <w:vAlign w:val="bottom"/>
            <w:tcBorders>
              <w:right w:val="single" w:sz="8" w:color="auto"/>
            </w:tcBorders>
          </w:tcPr>
          <w:p>
            <w:pPr>
              <w:spacing w:after="0"/>
              <w:rPr>
                <w:sz w:val="20"/>
                <w:szCs w:val="20"/>
                <w:color w:val="auto"/>
              </w:rPr>
            </w:pPr>
          </w:p>
        </w:tc>
        <w:tc>
          <w:tcPr>
            <w:tcW w:w="5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47 Mount Prospect Avenue</w:t>
            </w:r>
          </w:p>
        </w:tc>
        <w:tc>
          <w:tcPr>
            <w:tcW w:w="1020" w:type="dxa"/>
            <w:vAlign w:val="bottom"/>
            <w:tcBorders>
              <w:right w:val="single" w:sz="8" w:color="auto"/>
            </w:tcBorders>
          </w:tcPr>
          <w:p>
            <w:pPr>
              <w:spacing w:after="0"/>
              <w:rPr>
                <w:sz w:val="19"/>
                <w:szCs w:val="19"/>
                <w:color w:val="auto"/>
              </w:rPr>
            </w:pPr>
          </w:p>
        </w:tc>
        <w:tc>
          <w:tcPr>
            <w:tcW w:w="5680" w:type="dxa"/>
            <w:vAlign w:val="bottom"/>
            <w:tcBorders>
              <w:right w:val="single" w:sz="8" w:color="auto"/>
            </w:tcBorders>
            <w:vMerge w:val="restart"/>
          </w:tcPr>
          <w:p>
            <w:pPr>
              <w:ind w:left="2660"/>
              <w:spacing w:after="0"/>
              <w:rPr>
                <w:sz w:val="20"/>
                <w:szCs w:val="20"/>
                <w:color w:val="auto"/>
              </w:rPr>
            </w:pPr>
            <w:r>
              <w:rPr>
                <w:rFonts w:ascii="Arial" w:cs="Arial" w:eastAsia="Arial" w:hAnsi="Arial"/>
                <w:sz w:val="20"/>
                <w:szCs w:val="20"/>
                <w:color w:val="auto"/>
              </w:rPr>
              <w:t>One</w:t>
            </w:r>
          </w:p>
        </w:tc>
        <w:tc>
          <w:tcPr>
            <w:tcW w:w="0" w:type="dxa"/>
            <w:vAlign w:val="bottom"/>
          </w:tcPr>
          <w:p>
            <w:pPr>
              <w:spacing w:after="0"/>
              <w:rPr>
                <w:sz w:val="1"/>
                <w:szCs w:val="1"/>
                <w:color w:val="auto"/>
              </w:rPr>
            </w:pPr>
          </w:p>
        </w:tc>
      </w:tr>
      <w:tr>
        <w:trPr>
          <w:trHeight w:val="129"/>
        </w:trPr>
        <w:tc>
          <w:tcPr>
            <w:tcW w:w="468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color w:val="auto"/>
              </w:rPr>
              <w:t>Clontarf</w:t>
            </w:r>
          </w:p>
        </w:tc>
        <w:tc>
          <w:tcPr>
            <w:tcW w:w="1020" w:type="dxa"/>
            <w:vAlign w:val="bottom"/>
            <w:tcBorders>
              <w:right w:val="single" w:sz="8" w:color="auto"/>
            </w:tcBorders>
          </w:tcPr>
          <w:p>
            <w:pPr>
              <w:spacing w:after="0"/>
              <w:rPr>
                <w:sz w:val="11"/>
                <w:szCs w:val="11"/>
                <w:color w:val="auto"/>
              </w:rPr>
            </w:pPr>
          </w:p>
        </w:tc>
        <w:tc>
          <w:tcPr>
            <w:tcW w:w="56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680" w:type="dxa"/>
            <w:vAlign w:val="bottom"/>
            <w:tcBorders>
              <w:left w:val="single" w:sz="8" w:color="auto"/>
            </w:tcBorders>
            <w:vMerge w:val="continue"/>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5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6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Dublin 3</w:t>
            </w:r>
          </w:p>
        </w:tc>
        <w:tc>
          <w:tcPr>
            <w:tcW w:w="1020" w:type="dxa"/>
            <w:vAlign w:val="bottom"/>
            <w:tcBorders>
              <w:right w:val="single" w:sz="8" w:color="auto"/>
            </w:tcBorders>
          </w:tcPr>
          <w:p>
            <w:pPr>
              <w:spacing w:after="0"/>
              <w:rPr>
                <w:sz w:val="21"/>
                <w:szCs w:val="21"/>
                <w:color w:val="auto"/>
              </w:rPr>
            </w:pPr>
          </w:p>
        </w:tc>
        <w:tc>
          <w:tcPr>
            <w:tcW w:w="5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68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2"/>
        </w:trPr>
        <w:tc>
          <w:tcPr>
            <w:tcW w:w="46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Total shares taken up</w:t>
            </w:r>
          </w:p>
        </w:tc>
        <w:tc>
          <w:tcPr>
            <w:tcW w:w="1020" w:type="dxa"/>
            <w:vAlign w:val="bottom"/>
            <w:tcBorders>
              <w:right w:val="single" w:sz="8" w:color="auto"/>
            </w:tcBorders>
          </w:tcPr>
          <w:p>
            <w:pPr>
              <w:spacing w:after="0"/>
              <w:rPr>
                <w:sz w:val="24"/>
                <w:szCs w:val="24"/>
                <w:color w:val="auto"/>
              </w:rPr>
            </w:pPr>
          </w:p>
        </w:tc>
        <w:tc>
          <w:tcPr>
            <w:tcW w:w="5680" w:type="dxa"/>
            <w:vAlign w:val="bottom"/>
            <w:tcBorders>
              <w:right w:val="single" w:sz="8" w:color="auto"/>
            </w:tcBorders>
          </w:tcPr>
          <w:p>
            <w:pPr>
              <w:ind w:left="2640"/>
              <w:spacing w:after="0"/>
              <w:rPr>
                <w:sz w:val="20"/>
                <w:szCs w:val="20"/>
                <w:color w:val="auto"/>
              </w:rPr>
            </w:pPr>
            <w:r>
              <w:rPr>
                <w:rFonts w:ascii="Arial" w:cs="Arial" w:eastAsia="Arial" w:hAnsi="Arial"/>
                <w:sz w:val="20"/>
                <w:szCs w:val="20"/>
                <w:color w:val="auto"/>
              </w:rPr>
              <w:t>Two</w:t>
            </w:r>
          </w:p>
        </w:tc>
        <w:tc>
          <w:tcPr>
            <w:tcW w:w="0" w:type="dxa"/>
            <w:vAlign w:val="bottom"/>
          </w:tcPr>
          <w:p>
            <w:pPr>
              <w:spacing w:after="0"/>
              <w:rPr>
                <w:sz w:val="1"/>
                <w:szCs w:val="1"/>
                <w:color w:val="auto"/>
              </w:rPr>
            </w:pPr>
          </w:p>
        </w:tc>
      </w:tr>
      <w:tr>
        <w:trPr>
          <w:trHeight w:val="91"/>
        </w:trPr>
        <w:tc>
          <w:tcPr>
            <w:tcW w:w="4680" w:type="dxa"/>
            <w:vAlign w:val="bottom"/>
            <w:tcBorders>
              <w:left w:val="single" w:sz="8" w:color="auto"/>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5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2"/>
        </w:trPr>
        <w:tc>
          <w:tcPr>
            <w:tcW w:w="46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Dated 7 day of March 2005</w:t>
            </w:r>
          </w:p>
        </w:tc>
        <w:tc>
          <w:tcPr>
            <w:tcW w:w="1020" w:type="dxa"/>
            <w:vAlign w:val="bottom"/>
            <w:tcBorders>
              <w:right w:val="single" w:sz="8" w:color="auto"/>
            </w:tcBorders>
          </w:tcPr>
          <w:p>
            <w:pPr>
              <w:spacing w:after="0"/>
              <w:rPr>
                <w:sz w:val="24"/>
                <w:szCs w:val="24"/>
                <w:color w:val="auto"/>
              </w:rPr>
            </w:pPr>
          </w:p>
        </w:tc>
        <w:tc>
          <w:tcPr>
            <w:tcW w:w="5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680" w:type="dxa"/>
            <w:vAlign w:val="bottom"/>
            <w:tcBorders>
              <w:left w:val="single" w:sz="8" w:color="auto"/>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5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70"/>
        </w:trPr>
        <w:tc>
          <w:tcPr>
            <w:tcW w:w="46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Witness to the above signature:</w:t>
            </w:r>
          </w:p>
        </w:tc>
        <w:tc>
          <w:tcPr>
            <w:tcW w:w="1020" w:type="dxa"/>
            <w:vAlign w:val="bottom"/>
            <w:tcBorders>
              <w:right w:val="single" w:sz="8" w:color="auto"/>
            </w:tcBorders>
          </w:tcPr>
          <w:p>
            <w:pPr>
              <w:spacing w:after="0"/>
              <w:rPr>
                <w:sz w:val="24"/>
                <w:szCs w:val="24"/>
                <w:color w:val="auto"/>
              </w:rPr>
            </w:pPr>
          </w:p>
        </w:tc>
        <w:tc>
          <w:tcPr>
            <w:tcW w:w="5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46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Name: Colin Sainsbury</w:t>
            </w:r>
          </w:p>
        </w:tc>
        <w:tc>
          <w:tcPr>
            <w:tcW w:w="1020" w:type="dxa"/>
            <w:vAlign w:val="bottom"/>
            <w:tcBorders>
              <w:right w:val="single" w:sz="8" w:color="auto"/>
            </w:tcBorders>
          </w:tcPr>
          <w:p>
            <w:pPr>
              <w:spacing w:after="0"/>
              <w:rPr>
                <w:sz w:val="24"/>
                <w:szCs w:val="24"/>
                <w:color w:val="auto"/>
              </w:rPr>
            </w:pPr>
          </w:p>
        </w:tc>
        <w:tc>
          <w:tcPr>
            <w:tcW w:w="5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Address: 88 Harcourt Street, Dublin 2</w:t>
            </w:r>
          </w:p>
        </w:tc>
        <w:tc>
          <w:tcPr>
            <w:tcW w:w="1020" w:type="dxa"/>
            <w:vAlign w:val="bottom"/>
            <w:tcBorders>
              <w:right w:val="single" w:sz="8" w:color="auto"/>
            </w:tcBorders>
          </w:tcPr>
          <w:p>
            <w:pPr>
              <w:spacing w:after="0"/>
              <w:rPr>
                <w:sz w:val="19"/>
                <w:szCs w:val="19"/>
                <w:color w:val="auto"/>
              </w:rPr>
            </w:pPr>
          </w:p>
        </w:tc>
        <w:tc>
          <w:tcPr>
            <w:tcW w:w="5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Occupation: Solicitor</w:t>
            </w:r>
          </w:p>
        </w:tc>
        <w:tc>
          <w:tcPr>
            <w:tcW w:w="1020" w:type="dxa"/>
            <w:vAlign w:val="bottom"/>
            <w:tcBorders>
              <w:right w:val="single" w:sz="8" w:color="auto"/>
            </w:tcBorders>
          </w:tcPr>
          <w:p>
            <w:pPr>
              <w:spacing w:after="0"/>
              <w:rPr>
                <w:sz w:val="21"/>
                <w:szCs w:val="21"/>
                <w:color w:val="auto"/>
              </w:rPr>
            </w:pPr>
          </w:p>
        </w:tc>
        <w:tc>
          <w:tcPr>
            <w:tcW w:w="5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Borders>
              <w:left w:val="single" w:sz="8" w:color="auto"/>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5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05"/>
        </w:trPr>
        <w:tc>
          <w:tcPr>
            <w:tcW w:w="4680" w:type="dxa"/>
            <w:vAlign w:val="bottom"/>
          </w:tcPr>
          <w:p>
            <w:pPr>
              <w:spacing w:after="0"/>
              <w:rPr>
                <w:sz w:val="24"/>
                <w:szCs w:val="24"/>
                <w:color w:val="auto"/>
              </w:rPr>
            </w:pPr>
          </w:p>
        </w:tc>
        <w:tc>
          <w:tcPr>
            <w:tcW w:w="6700" w:type="dxa"/>
            <w:vAlign w:val="bottom"/>
            <w:gridSpan w:val="2"/>
          </w:tcPr>
          <w:p>
            <w:pPr>
              <w:jc w:val="right"/>
              <w:ind w:right="5521"/>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bl>
    <w:p>
      <w:pPr>
        <w:sectPr>
          <w:pgSz w:w="11900" w:h="16838" w:orient="portrait"/>
          <w:cols w:equalWidth="0" w:num="1">
            <w:col w:w="11440"/>
          </w:cols>
          <w:pgMar w:left="240" w:top="649" w:right="219" w:bottom="1440" w:gutter="0" w:footer="0" w:header="0"/>
        </w:sectPr>
      </w:pPr>
    </w:p>
    <w:bookmarkStart w:id="143" w:name="page144"/>
    <w:bookmarkEnd w:id="143"/>
    <w:p>
      <w:pPr>
        <w:ind w:left="9080"/>
        <w:spacing w:after="0"/>
        <w:rPr>
          <w:sz w:val="20"/>
          <w:szCs w:val="20"/>
          <w:color w:val="auto"/>
        </w:rPr>
      </w:pPr>
      <w:r>
        <w:rPr>
          <w:rFonts w:ascii="Arial" w:cs="Arial" w:eastAsia="Arial" w:hAnsi="Arial"/>
          <w:sz w:val="22"/>
          <w:szCs w:val="22"/>
          <w:b w:val="1"/>
          <w:bCs w:val="1"/>
          <w:color w:val="auto"/>
        </w:rPr>
        <w:t>EXECUTION VERSION</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AMENDMENT No. 1</w:t>
      </w:r>
      <w:r>
        <w:rPr>
          <w:rFonts w:ascii="Arial" w:cs="Arial" w:eastAsia="Arial" w:hAnsi="Arial"/>
          <w:sz w:val="19"/>
          <w:szCs w:val="19"/>
          <w:color w:val="auto"/>
        </w:rPr>
        <w:t>, dated as of July 12, 2016 (this “</w:t>
      </w:r>
      <w:r>
        <w:rPr>
          <w:rFonts w:ascii="Arial" w:cs="Arial" w:eastAsia="Arial" w:hAnsi="Arial"/>
          <w:sz w:val="19"/>
          <w:szCs w:val="19"/>
          <w:u w:val="single" w:color="auto"/>
          <w:color w:val="auto"/>
        </w:rPr>
        <w:t>Amendment</w:t>
      </w:r>
      <w:r>
        <w:rPr>
          <w:rFonts w:ascii="Arial" w:cs="Arial" w:eastAsia="Arial" w:hAnsi="Arial"/>
          <w:sz w:val="19"/>
          <w:szCs w:val="19"/>
          <w:color w:val="auto"/>
        </w:rPr>
        <w:t>”), to the Credit Agreement, dated as of June 18,</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2015, by and among Jazz Pharmaceuticals Public Limited Company, a public limited company organized under the laws of Ireland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Jazz Securities Limited, a Section 110 company incorporated under the laws of Ireland (the “</w:t>
      </w:r>
      <w:r>
        <w:rPr>
          <w:rFonts w:ascii="Arial" w:cs="Arial" w:eastAsia="Arial" w:hAnsi="Arial"/>
          <w:sz w:val="19"/>
          <w:szCs w:val="19"/>
          <w:u w:val="single" w:color="auto"/>
          <w:color w:val="auto"/>
        </w:rPr>
        <w:t>Lead Borrower</w:t>
      </w:r>
      <w:r>
        <w:rPr>
          <w:rFonts w:ascii="Arial" w:cs="Arial" w:eastAsia="Arial" w:hAnsi="Arial"/>
          <w:sz w:val="19"/>
          <w:szCs w:val="19"/>
          <w:color w:val="auto"/>
        </w:rPr>
        <w:t>”), Jazz</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Pharmaceuticals, Inc., a Delaware corporation (the “</w:t>
      </w:r>
      <w:r>
        <w:rPr>
          <w:rFonts w:ascii="Arial" w:cs="Arial" w:eastAsia="Arial" w:hAnsi="Arial"/>
          <w:sz w:val="19"/>
          <w:szCs w:val="19"/>
          <w:u w:val="single" w:color="auto"/>
          <w:color w:val="auto"/>
        </w:rPr>
        <w:t>U.S. Borrower</w:t>
      </w:r>
      <w:r>
        <w:rPr>
          <w:rFonts w:ascii="Arial" w:cs="Arial" w:eastAsia="Arial" w:hAnsi="Arial"/>
          <w:sz w:val="19"/>
          <w:szCs w:val="19"/>
          <w:color w:val="auto"/>
        </w:rPr>
        <w:t>”), Jazz Financing I Limited, a company incorporated under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laws of Ireland (“</w:t>
      </w:r>
      <w:r>
        <w:rPr>
          <w:rFonts w:ascii="Arial" w:cs="Arial" w:eastAsia="Arial" w:hAnsi="Arial"/>
          <w:sz w:val="19"/>
          <w:szCs w:val="19"/>
          <w:u w:val="single" w:color="auto"/>
          <w:color w:val="auto"/>
        </w:rPr>
        <w:t>Jazz Financing I</w:t>
      </w:r>
      <w:r>
        <w:rPr>
          <w:rFonts w:ascii="Arial" w:cs="Arial" w:eastAsia="Arial" w:hAnsi="Arial"/>
          <w:sz w:val="19"/>
          <w:szCs w:val="19"/>
          <w:color w:val="auto"/>
        </w:rPr>
        <w:t>”), Jazz Pharmaceuticals Ireland Limited, a company incorporated under the laws of Ireland</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(together with the Lead Borrower and Jazz Financing I, the “</w:t>
      </w:r>
      <w:r>
        <w:rPr>
          <w:rFonts w:ascii="Arial" w:cs="Arial" w:eastAsia="Arial" w:hAnsi="Arial"/>
          <w:sz w:val="21"/>
          <w:szCs w:val="21"/>
          <w:u w:val="single" w:color="auto"/>
          <w:color w:val="auto"/>
        </w:rPr>
        <w:t>Irish Borrowers</w:t>
      </w:r>
      <w:r>
        <w:rPr>
          <w:rFonts w:ascii="Arial" w:cs="Arial" w:eastAsia="Arial" w:hAnsi="Arial"/>
          <w:sz w:val="21"/>
          <w:szCs w:val="21"/>
          <w:color w:val="auto"/>
        </w:rPr>
        <w:t>” and, together with the U.S. Borrower,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Borrowers</w:t>
      </w:r>
      <w:r>
        <w:rPr>
          <w:rFonts w:ascii="Arial" w:cs="Arial" w:eastAsia="Arial" w:hAnsi="Arial"/>
          <w:sz w:val="19"/>
          <w:szCs w:val="19"/>
          <w:color w:val="auto"/>
        </w:rPr>
        <w:t>” and each, a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from time to time party thereto and Bank of America, N.A., as Administrative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Collateral Agent, Swing Line Lender and L/C Issuer (as amended, restated, modified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supplemented prior to the date hereof, the “</w:t>
      </w:r>
      <w:r>
        <w:rPr>
          <w:rFonts w:ascii="Arial" w:cs="Arial" w:eastAsia="Arial" w:hAnsi="Arial"/>
          <w:sz w:val="19"/>
          <w:szCs w:val="19"/>
          <w:u w:val="single" w:color="auto"/>
          <w:color w:val="auto"/>
        </w:rPr>
        <w:t>Original Credit Agreement</w:t>
      </w:r>
      <w:r>
        <w:rPr>
          <w:rFonts w:ascii="Arial" w:cs="Arial" w:eastAsia="Arial" w:hAnsi="Arial"/>
          <w:sz w:val="19"/>
          <w:szCs w:val="19"/>
          <w:color w:val="auto"/>
        </w:rPr>
        <w:t>”); capitalized terms used and not otherwise defined herein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shall have the meanings assigned to such terms in the Amended Credit Agreement (as defined below).</w:t>
      </w:r>
    </w:p>
    <w:p>
      <w:pPr>
        <w:spacing w:after="0" w:line="202" w:lineRule="exact"/>
        <w:rPr>
          <w:sz w:val="20"/>
          <w:szCs w:val="20"/>
          <w:color w:val="auto"/>
        </w:rPr>
      </w:pPr>
    </w:p>
    <w:p>
      <w:pPr>
        <w:ind w:right="200" w:firstLine="1297"/>
        <w:spacing w:after="0" w:line="302" w:lineRule="auto"/>
        <w:rPr>
          <w:sz w:val="20"/>
          <w:szCs w:val="20"/>
          <w:color w:val="auto"/>
        </w:rPr>
      </w:pPr>
      <w:r>
        <w:rPr>
          <w:rFonts w:ascii="Arial" w:cs="Arial" w:eastAsia="Arial" w:hAnsi="Arial"/>
          <w:sz w:val="19"/>
          <w:szCs w:val="19"/>
          <w:color w:val="auto"/>
        </w:rPr>
        <w:t>WHEREAS, Parent intends to directly or indirectly acquire (the “</w:t>
      </w:r>
      <w:r>
        <w:rPr>
          <w:rFonts w:ascii="Arial" w:cs="Arial" w:eastAsia="Arial" w:hAnsi="Arial"/>
          <w:sz w:val="19"/>
          <w:szCs w:val="19"/>
          <w:u w:val="single" w:color="auto"/>
          <w:color w:val="auto"/>
        </w:rPr>
        <w:t>Celator Acquisition</w:t>
      </w:r>
      <w:r>
        <w:rPr>
          <w:rFonts w:ascii="Arial" w:cs="Arial" w:eastAsia="Arial" w:hAnsi="Arial"/>
          <w:sz w:val="19"/>
          <w:szCs w:val="19"/>
          <w:color w:val="auto"/>
        </w:rPr>
        <w:t>”) all of the common stock of Celator Pharmaceuticals, Inc., a Delaware corporation (“</w:t>
      </w:r>
      <w:r>
        <w:rPr>
          <w:rFonts w:ascii="Arial" w:cs="Arial" w:eastAsia="Arial" w:hAnsi="Arial"/>
          <w:sz w:val="19"/>
          <w:szCs w:val="19"/>
          <w:u w:val="single" w:color="auto"/>
          <w:color w:val="auto"/>
        </w:rPr>
        <w:t>Celator</w:t>
      </w:r>
      <w:r>
        <w:rPr>
          <w:rFonts w:ascii="Arial" w:cs="Arial" w:eastAsia="Arial" w:hAnsi="Arial"/>
          <w:sz w:val="19"/>
          <w:szCs w:val="19"/>
          <w:color w:val="auto"/>
        </w:rPr>
        <w:t>”), in a cash tender offer followed by a merger pursuant to the Agreement and Plan of Merger, dated as of May 27, 2016, among Parent, Celator and Plex Merger Sub, Inc., an indirect wholly-owned subsidiary of Parent (“</w:t>
      </w:r>
      <w:r>
        <w:rPr>
          <w:rFonts w:ascii="Arial" w:cs="Arial" w:eastAsia="Arial" w:hAnsi="Arial"/>
          <w:sz w:val="19"/>
          <w:szCs w:val="19"/>
          <w:u w:val="single" w:color="auto"/>
          <w:color w:val="auto"/>
        </w:rPr>
        <w:t>Plex Merger Sub</w:t>
      </w:r>
      <w:r>
        <w:rPr>
          <w:rFonts w:ascii="Arial" w:cs="Arial" w:eastAsia="Arial" w:hAnsi="Arial"/>
          <w:sz w:val="19"/>
          <w:szCs w:val="19"/>
          <w:color w:val="auto"/>
        </w:rPr>
        <w:t>”) (including the schedules and exhibits thereto, the “</w:t>
      </w:r>
      <w:r>
        <w:rPr>
          <w:rFonts w:ascii="Arial" w:cs="Arial" w:eastAsia="Arial" w:hAnsi="Arial"/>
          <w:sz w:val="19"/>
          <w:szCs w:val="19"/>
          <w:u w:val="single" w:color="auto"/>
          <w:color w:val="auto"/>
        </w:rPr>
        <w:t>Celator Merger Agreement</w:t>
      </w:r>
      <w:r>
        <w:rPr>
          <w:rFonts w:ascii="Arial" w:cs="Arial" w:eastAsia="Arial" w:hAnsi="Arial"/>
          <w:sz w:val="19"/>
          <w:szCs w:val="19"/>
          <w:color w:val="auto"/>
        </w:rPr>
        <w:t>”);</w:t>
      </w:r>
    </w:p>
    <w:p>
      <w:pPr>
        <w:spacing w:after="0" w:line="143" w:lineRule="exact"/>
        <w:rPr>
          <w:sz w:val="20"/>
          <w:szCs w:val="20"/>
          <w:color w:val="auto"/>
        </w:rPr>
      </w:pPr>
    </w:p>
    <w:p>
      <w:pPr>
        <w:ind w:right="1180" w:firstLine="1297"/>
        <w:spacing w:after="0" w:line="343" w:lineRule="auto"/>
        <w:rPr>
          <w:sz w:val="20"/>
          <w:szCs w:val="20"/>
          <w:color w:val="auto"/>
        </w:rPr>
      </w:pPr>
      <w:r>
        <w:rPr>
          <w:rFonts w:ascii="Arial" w:cs="Arial" w:eastAsia="Arial" w:hAnsi="Arial"/>
          <w:sz w:val="19"/>
          <w:szCs w:val="19"/>
          <w:color w:val="auto"/>
        </w:rPr>
        <w:t>WHEREAS, Parent desires to establish an Incremental Revolving Increase with Incremental Revolving Commitments in an aggregate principal amount of $500,000,000 (the “</w:t>
      </w:r>
      <w:r>
        <w:rPr>
          <w:rFonts w:ascii="Arial" w:cs="Arial" w:eastAsia="Arial" w:hAnsi="Arial"/>
          <w:sz w:val="19"/>
          <w:szCs w:val="19"/>
          <w:u w:val="single" w:color="auto"/>
          <w:color w:val="auto"/>
        </w:rPr>
        <w:t>New Revolving Commitments</w:t>
      </w:r>
      <w:r>
        <w:rPr>
          <w:rFonts w:ascii="Arial" w:cs="Arial" w:eastAsia="Arial" w:hAnsi="Arial"/>
          <w:sz w:val="19"/>
          <w:szCs w:val="19"/>
          <w:color w:val="auto"/>
        </w:rPr>
        <w:t>”);</w:t>
      </w:r>
    </w:p>
    <w:p>
      <w:pPr>
        <w:spacing w:after="0" w:line="105" w:lineRule="exact"/>
        <w:rPr>
          <w:sz w:val="20"/>
          <w:szCs w:val="20"/>
          <w:color w:val="auto"/>
        </w:rPr>
      </w:pPr>
    </w:p>
    <w:p>
      <w:pPr>
        <w:ind w:right="380" w:firstLine="1297"/>
        <w:spacing w:after="0" w:line="263" w:lineRule="auto"/>
        <w:rPr>
          <w:sz w:val="20"/>
          <w:szCs w:val="20"/>
          <w:color w:val="auto"/>
        </w:rPr>
      </w:pPr>
      <w:r>
        <w:rPr>
          <w:rFonts w:ascii="Arial" w:cs="Arial" w:eastAsia="Arial" w:hAnsi="Arial"/>
          <w:sz w:val="22"/>
          <w:szCs w:val="22"/>
          <w:color w:val="auto"/>
        </w:rPr>
        <w:t>WHEREAS, this Amendment shall be considered an Increase Joinder pursuant to Section 2.15(c) of the Original Credit Agreement;</w:t>
      </w:r>
    </w:p>
    <w:p>
      <w:pPr>
        <w:spacing w:after="0" w:line="175" w:lineRule="exact"/>
        <w:rPr>
          <w:sz w:val="20"/>
          <w:szCs w:val="20"/>
          <w:color w:val="auto"/>
        </w:rPr>
      </w:pPr>
    </w:p>
    <w:p>
      <w:pPr>
        <w:ind w:right="120" w:firstLine="1297"/>
        <w:spacing w:after="0" w:line="250" w:lineRule="auto"/>
        <w:rPr>
          <w:sz w:val="20"/>
          <w:szCs w:val="20"/>
          <w:color w:val="auto"/>
        </w:rPr>
      </w:pPr>
      <w:r>
        <w:rPr>
          <w:rFonts w:ascii="Arial" w:cs="Arial" w:eastAsia="Arial" w:hAnsi="Arial"/>
          <w:sz w:val="22"/>
          <w:szCs w:val="22"/>
          <w:color w:val="auto"/>
        </w:rPr>
        <w:t>WHEREAS, Section 2.15(c) of the Original Credit Agreement provides that an Increase Joinder may, without the consent of any other Lenders, effect such amendments to the Original Credit Agreement and the other Loan Documents as may be necessary or appropriate, in the opinion of the Administrative Agent, to effect the provisions of Section 2.15 of the Original Credit Agreement;</w:t>
      </w:r>
    </w:p>
    <w:p>
      <w:pPr>
        <w:spacing w:after="0" w:line="188" w:lineRule="exact"/>
        <w:rPr>
          <w:sz w:val="20"/>
          <w:szCs w:val="20"/>
          <w:color w:val="auto"/>
        </w:rPr>
      </w:pPr>
    </w:p>
    <w:p>
      <w:pPr>
        <w:ind w:right="340" w:firstLine="1297"/>
        <w:spacing w:after="0" w:line="263" w:lineRule="auto"/>
        <w:rPr>
          <w:sz w:val="20"/>
          <w:szCs w:val="20"/>
          <w:color w:val="auto"/>
        </w:rPr>
      </w:pPr>
      <w:r>
        <w:rPr>
          <w:rFonts w:ascii="Arial" w:cs="Arial" w:eastAsia="Arial" w:hAnsi="Arial"/>
          <w:sz w:val="22"/>
          <w:szCs w:val="22"/>
          <w:color w:val="auto"/>
        </w:rPr>
        <w:t>WHEREAS, in addition to the foregoing, the Parent desires to amend the Original Credit Agreement to effect the amendments set forth herein;</w:t>
      </w:r>
    </w:p>
    <w:p>
      <w:pPr>
        <w:spacing w:after="0" w:line="175" w:lineRule="exact"/>
        <w:rPr>
          <w:sz w:val="20"/>
          <w:szCs w:val="20"/>
          <w:color w:val="auto"/>
        </w:rPr>
      </w:pPr>
    </w:p>
    <w:p>
      <w:pPr>
        <w:ind w:right="240" w:firstLine="1297"/>
        <w:spacing w:after="0" w:line="250" w:lineRule="auto"/>
        <w:rPr>
          <w:sz w:val="20"/>
          <w:szCs w:val="20"/>
          <w:color w:val="auto"/>
        </w:rPr>
      </w:pPr>
      <w:r>
        <w:rPr>
          <w:rFonts w:ascii="Arial" w:cs="Arial" w:eastAsia="Arial" w:hAnsi="Arial"/>
          <w:sz w:val="22"/>
          <w:szCs w:val="22"/>
          <w:color w:val="auto"/>
        </w:rPr>
        <w:t xml:space="preserve">WHEREAS, the Lender identified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hereto (which shall have executed and delivered a signature page as set forth in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Incremental Revolving Lender</w:t>
      </w:r>
      <w:r>
        <w:rPr>
          <w:rFonts w:ascii="Arial" w:cs="Arial" w:eastAsia="Arial" w:hAnsi="Arial"/>
          <w:sz w:val="22"/>
          <w:szCs w:val="22"/>
          <w:color w:val="auto"/>
        </w:rPr>
        <w:t xml:space="preserve">”) has agreed to provide New Revolving Commitments in the amount set forth opposite such Lender’s name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hereto under the column “New Revolving Commitments” and consents to the amendments reflected in this Amendment; and</w:t>
      </w:r>
    </w:p>
    <w:p>
      <w:pPr>
        <w:spacing w:after="0" w:line="188" w:lineRule="exact"/>
        <w:rPr>
          <w:sz w:val="20"/>
          <w:szCs w:val="20"/>
          <w:color w:val="auto"/>
        </w:rPr>
      </w:pPr>
    </w:p>
    <w:p>
      <w:pPr>
        <w:ind w:right="240" w:firstLine="1297"/>
        <w:spacing w:after="0" w:line="263" w:lineRule="auto"/>
        <w:rPr>
          <w:sz w:val="20"/>
          <w:szCs w:val="20"/>
          <w:color w:val="auto"/>
        </w:rPr>
      </w:pPr>
      <w:r>
        <w:rPr>
          <w:rFonts w:ascii="Arial" w:cs="Arial" w:eastAsia="Arial" w:hAnsi="Arial"/>
          <w:sz w:val="22"/>
          <w:szCs w:val="22"/>
          <w:color w:val="auto"/>
        </w:rPr>
        <w:t xml:space="preserve">WHEREAS, each other Lender that has executed this Amendment (as set forth in </w:t>
      </w:r>
      <w:r>
        <w:rPr>
          <w:rFonts w:ascii="Arial" w:cs="Arial" w:eastAsia="Arial" w:hAnsi="Arial"/>
          <w:sz w:val="22"/>
          <w:szCs w:val="22"/>
          <w:u w:val="single" w:color="auto"/>
          <w:color w:val="auto"/>
        </w:rPr>
        <w:t>Annex II</w:t>
      </w:r>
      <w:r>
        <w:rPr>
          <w:rFonts w:ascii="Arial" w:cs="Arial" w:eastAsia="Arial" w:hAnsi="Arial"/>
          <w:sz w:val="22"/>
          <w:szCs w:val="22"/>
          <w:color w:val="auto"/>
        </w:rPr>
        <w:t xml:space="preserve"> hereto) consents to the other amendments reflected in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20"/>
          <w:szCs w:val="20"/>
          <w:color w:val="auto"/>
        </w:rPr>
        <w:t>-2-</w:t>
      </w:r>
    </w:p>
    <w:p>
      <w:pPr>
        <w:spacing w:after="0" w:line="252" w:lineRule="exact"/>
        <w:rPr>
          <w:sz w:val="20"/>
          <w:szCs w:val="20"/>
          <w:color w:val="auto"/>
        </w:rPr>
      </w:pPr>
    </w:p>
    <w:p>
      <w:pPr>
        <w:ind w:right="540" w:firstLine="1297"/>
        <w:spacing w:after="0" w:line="253" w:lineRule="auto"/>
        <w:rPr>
          <w:sz w:val="20"/>
          <w:szCs w:val="20"/>
          <w:color w:val="auto"/>
        </w:rPr>
      </w:pPr>
      <w:r>
        <w:rPr>
          <w:rFonts w:ascii="Arial" w:cs="Arial" w:eastAsia="Arial" w:hAnsi="Arial"/>
          <w:sz w:val="22"/>
          <w:szCs w:val="22"/>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80"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b w:val="1"/>
          <w:bCs w:val="1"/>
          <w:u w:val="single" w:color="auto"/>
          <w:color w:val="auto"/>
        </w:rPr>
        <w:t>Amendments/Waivers</w:t>
      </w:r>
      <w:r>
        <w:rPr>
          <w:rFonts w:ascii="Arial" w:cs="Arial" w:eastAsia="Arial" w:hAnsi="Arial"/>
          <w:sz w:val="19"/>
          <w:szCs w:val="19"/>
          <w:color w:val="auto"/>
        </w:rPr>
        <w:t>.</w:t>
      </w:r>
    </w:p>
    <w:p>
      <w:pPr>
        <w:spacing w:after="0" w:line="172" w:lineRule="exact"/>
        <w:rPr>
          <w:sz w:val="20"/>
          <w:szCs w:val="20"/>
          <w:color w:val="auto"/>
        </w:rPr>
      </w:pPr>
    </w:p>
    <w:p>
      <w:pPr>
        <w:ind w:left="660" w:right="180" w:firstLine="645"/>
        <w:spacing w:after="0" w:line="263" w:lineRule="auto"/>
        <w:tabs>
          <w:tab w:leader="none" w:pos="2196" w:val="left"/>
        </w:tabs>
        <w:numPr>
          <w:ilvl w:val="0"/>
          <w:numId w:val="118"/>
        </w:numPr>
        <w:rPr>
          <w:rFonts w:ascii="Arial" w:cs="Arial" w:eastAsia="Arial" w:hAnsi="Arial"/>
          <w:sz w:val="21"/>
          <w:szCs w:val="21"/>
          <w:color w:val="auto"/>
        </w:rPr>
      </w:pPr>
      <w:r>
        <w:rPr>
          <w:rFonts w:ascii="Arial" w:cs="Arial" w:eastAsia="Arial" w:hAnsi="Arial"/>
          <w:sz w:val="21"/>
          <w:szCs w:val="21"/>
          <w:color w:val="auto"/>
        </w:rPr>
        <w:t xml:space="preserve">The Original Credit Agreement is, effective as of the Amendment No. 1 Effective Date, hereby amended to delete the stricken text (indicated textually in the same manner as the following example: </w:t>
      </w:r>
      <w:r>
        <w:rPr>
          <w:rFonts w:ascii="Arial" w:cs="Arial" w:eastAsia="Arial" w:hAnsi="Arial"/>
          <w:sz w:val="21"/>
          <w:szCs w:val="21"/>
          <w:color w:val="FF0000"/>
          <w:strike w:val="1"/>
        </w:rPr>
        <w:t>stricken text</w:t>
      </w:r>
      <w:r>
        <w:rPr>
          <w:rFonts w:ascii="Arial" w:cs="Arial" w:eastAsia="Arial" w:hAnsi="Arial"/>
          <w:sz w:val="21"/>
          <w:szCs w:val="21"/>
          <w:color w:val="auto"/>
        </w:rPr>
        <w:t xml:space="preserve">) and to add the double-underlined text (indicated textually in the same manner as the following example: </w:t>
      </w:r>
      <w:r>
        <w:rPr>
          <w:rFonts w:ascii="Arial" w:cs="Arial" w:eastAsia="Arial" w:hAnsi="Arial"/>
          <w:sz w:val="21"/>
          <w:szCs w:val="21"/>
          <w:u w:val="single" w:color="auto"/>
          <w:color w:val="0000FF"/>
        </w:rPr>
        <w:t>double-underlined text</w:t>
      </w:r>
      <w:r>
        <w:rPr>
          <w:rFonts w:ascii="Arial" w:cs="Arial" w:eastAsia="Arial" w:hAnsi="Arial"/>
          <w:sz w:val="21"/>
          <w:szCs w:val="21"/>
          <w:color w:val="auto"/>
        </w:rPr>
        <w:t xml:space="preserve">) as set forth in the pages of the Original Credit Agreement attached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(the Original Credit Agreement, as so amended, being referred to as the “</w:t>
      </w:r>
      <w:r>
        <w:rPr>
          <w:rFonts w:ascii="Arial" w:cs="Arial" w:eastAsia="Arial" w:hAnsi="Arial"/>
          <w:sz w:val="21"/>
          <w:szCs w:val="21"/>
          <w:u w:val="single" w:color="auto"/>
          <w:color w:val="auto"/>
        </w:rPr>
        <w:t>Amended Credit Agreement</w:t>
      </w:r>
      <w:r>
        <w:rPr>
          <w:rFonts w:ascii="Arial" w:cs="Arial" w:eastAsia="Arial" w:hAnsi="Arial"/>
          <w:sz w:val="21"/>
          <w:szCs w:val="21"/>
          <w:color w:val="auto"/>
        </w:rPr>
        <w:t>”).</w:t>
      </w:r>
    </w:p>
    <w:p>
      <w:pPr>
        <w:spacing w:after="0" w:line="121" w:lineRule="exact"/>
        <w:rPr>
          <w:rFonts w:ascii="Arial" w:cs="Arial" w:eastAsia="Arial" w:hAnsi="Arial"/>
          <w:sz w:val="21"/>
          <w:szCs w:val="21"/>
          <w:color w:val="auto"/>
        </w:rPr>
      </w:pPr>
    </w:p>
    <w:p>
      <w:pPr>
        <w:ind w:left="660" w:right="520" w:firstLine="645"/>
        <w:spacing w:after="0" w:line="263" w:lineRule="auto"/>
        <w:tabs>
          <w:tab w:leader="none" w:pos="220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Effective as of the Amendment No. 1 Effective Date, a new </w:t>
      </w:r>
      <w:r>
        <w:rPr>
          <w:rFonts w:ascii="Arial" w:cs="Arial" w:eastAsia="Arial" w:hAnsi="Arial"/>
          <w:sz w:val="22"/>
          <w:szCs w:val="22"/>
          <w:u w:val="single" w:color="auto"/>
          <w:color w:val="auto"/>
        </w:rPr>
        <w:t>Schedule 5.10(a)</w:t>
      </w:r>
      <w:r>
        <w:rPr>
          <w:rFonts w:ascii="Arial" w:cs="Arial" w:eastAsia="Arial" w:hAnsi="Arial"/>
          <w:sz w:val="22"/>
          <w:szCs w:val="22"/>
          <w:color w:val="auto"/>
        </w:rPr>
        <w:t xml:space="preserve"> is added in the form of </w:t>
      </w:r>
      <w:r>
        <w:rPr>
          <w:rFonts w:ascii="Arial" w:cs="Arial" w:eastAsia="Arial" w:hAnsi="Arial"/>
          <w:sz w:val="22"/>
          <w:szCs w:val="22"/>
          <w:u w:val="single" w:color="auto"/>
          <w:color w:val="auto"/>
        </w:rPr>
        <w:t>Schedule IV</w:t>
      </w:r>
      <w:r>
        <w:rPr>
          <w:rFonts w:ascii="Arial" w:cs="Arial" w:eastAsia="Arial" w:hAnsi="Arial"/>
          <w:sz w:val="22"/>
          <w:szCs w:val="22"/>
          <w:color w:val="auto"/>
        </w:rPr>
        <w:t xml:space="preserve"> hereto.</w:t>
      </w:r>
    </w:p>
    <w:p>
      <w:pPr>
        <w:spacing w:after="0" w:line="120" w:lineRule="exact"/>
        <w:rPr>
          <w:rFonts w:ascii="Arial" w:cs="Arial" w:eastAsia="Arial" w:hAnsi="Arial"/>
          <w:sz w:val="22"/>
          <w:szCs w:val="22"/>
          <w:color w:val="auto"/>
        </w:rPr>
      </w:pPr>
    </w:p>
    <w:p>
      <w:pPr>
        <w:ind w:left="660" w:right="540" w:firstLine="645"/>
        <w:spacing w:after="0" w:line="343" w:lineRule="auto"/>
        <w:tabs>
          <w:tab w:leader="none" w:pos="219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Each of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5.06</w:t>
      </w:r>
      <w:r>
        <w:rPr>
          <w:rFonts w:ascii="Arial" w:cs="Arial" w:eastAsia="Arial" w:hAnsi="Arial"/>
          <w:sz w:val="19"/>
          <w:szCs w:val="19"/>
          <w:color w:val="auto"/>
        </w:rPr>
        <w:t xml:space="preserve"> to the Original Credit Agreement is, effective as of the Amendment No. 1 Effective Date, hereby amended and replaced in its entirety by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hereto.</w:t>
      </w:r>
    </w:p>
    <w:p>
      <w:pPr>
        <w:spacing w:after="0" w:line="45"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b w:val="1"/>
          <w:bCs w:val="1"/>
          <w:u w:val="single" w:color="auto"/>
          <w:color w:val="auto"/>
        </w:rPr>
        <w:t>Incremental Revolving Commitments</w:t>
      </w:r>
      <w:r>
        <w:rPr>
          <w:rFonts w:ascii="Arial" w:cs="Arial" w:eastAsia="Arial" w:hAnsi="Arial"/>
          <w:sz w:val="19"/>
          <w:szCs w:val="19"/>
          <w:color w:val="auto"/>
        </w:rPr>
        <w:t>.</w:t>
      </w:r>
    </w:p>
    <w:p>
      <w:pPr>
        <w:spacing w:after="0" w:line="172" w:lineRule="exact"/>
        <w:rPr>
          <w:sz w:val="20"/>
          <w:szCs w:val="20"/>
          <w:color w:val="auto"/>
        </w:rPr>
      </w:pPr>
    </w:p>
    <w:p>
      <w:pPr>
        <w:ind w:right="60" w:firstLine="1305"/>
        <w:spacing w:after="0" w:line="287" w:lineRule="auto"/>
        <w:tabs>
          <w:tab w:leader="none" w:pos="2185" w:val="left"/>
        </w:tabs>
        <w:numPr>
          <w:ilvl w:val="0"/>
          <w:numId w:val="119"/>
        </w:numPr>
        <w:rPr>
          <w:rFonts w:ascii="Arial" w:cs="Arial" w:eastAsia="Arial" w:hAnsi="Arial"/>
          <w:sz w:val="21"/>
          <w:szCs w:val="21"/>
          <w:color w:val="auto"/>
        </w:rPr>
      </w:pPr>
      <w:r>
        <w:rPr>
          <w:rFonts w:ascii="Arial" w:cs="Arial" w:eastAsia="Arial" w:hAnsi="Arial"/>
          <w:sz w:val="21"/>
          <w:szCs w:val="21"/>
          <w:color w:val="auto"/>
        </w:rPr>
        <w:t xml:space="preserve">The Incremental Revolving Lender hereby agrees to provide New Revolving Commitments in the amount set forth opposite such Lender’s name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hereto under the column “New Revolving Commitments”.</w:t>
      </w:r>
    </w:p>
    <w:p>
      <w:pPr>
        <w:spacing w:after="0" w:line="97" w:lineRule="exact"/>
        <w:rPr>
          <w:rFonts w:ascii="Arial" w:cs="Arial" w:eastAsia="Arial" w:hAnsi="Arial"/>
          <w:sz w:val="21"/>
          <w:szCs w:val="21"/>
          <w:color w:val="auto"/>
        </w:rPr>
      </w:pPr>
    </w:p>
    <w:p>
      <w:pPr>
        <w:ind w:firstLine="1305"/>
        <w:spacing w:after="0" w:line="258" w:lineRule="auto"/>
        <w:tabs>
          <w:tab w:leader="none" w:pos="2197"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The Incremental Revolving Lender (i) confirms that it has received a copy of each of the Loan Documents and the exhibits thereto, together with copies of the financial statements referred to therein and such other documents and information as it has deemed appropriate to make its own credit analysis and decision to enter into this Amendment and provide the New Revolving Commitments; (ii) agrees that it will, independently and without reliance upon the Administrative Agent, the Collateral Agent, any other Lender or Agent and based on such documents and information as it shall deem appropriate at the time, continue to make its own credit decisions in taking or not taking action under the Loan Documents; (iii) appoints and authorizes the Administrative Agent and the Collateral Agent to take such action as agent on its behalf and to exercise such powers under the Loan Documents as are delegated to the Administrative Agent or the Collateral Agent, as the case may be, by the terms thereof, together with such powers as are reasonably incidental thereto; and (iv) agrees that it will perform in accordance with their terms all of the obligations which by the terms of the Loan Documents are required to be performed by it as an Incremental Revolving Lender.</w:t>
      </w:r>
    </w:p>
    <w:p>
      <w:pPr>
        <w:spacing w:after="0" w:line="123" w:lineRule="exact"/>
        <w:rPr>
          <w:sz w:val="20"/>
          <w:szCs w:val="20"/>
          <w:color w:val="auto"/>
        </w:rPr>
      </w:pPr>
    </w:p>
    <w:p>
      <w:pPr>
        <w:ind w:right="60" w:firstLine="1297"/>
        <w:spacing w:after="0" w:line="315"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b w:val="1"/>
          <w:bCs w:val="1"/>
          <w:u w:val="single" w:color="auto"/>
          <w:color w:val="auto"/>
        </w:rPr>
        <w:t>Rebalancing</w:t>
      </w:r>
      <w:r>
        <w:rPr>
          <w:rFonts w:ascii="Arial" w:cs="Arial" w:eastAsia="Arial" w:hAnsi="Arial"/>
          <w:sz w:val="19"/>
          <w:szCs w:val="19"/>
          <w:color w:val="auto"/>
        </w:rPr>
        <w:t xml:space="preserve">. Notwithstanding the provisions of the last sentence of </w:t>
      </w:r>
      <w:r>
        <w:rPr>
          <w:rFonts w:ascii="Arial" w:cs="Arial" w:eastAsia="Arial" w:hAnsi="Arial"/>
          <w:sz w:val="19"/>
          <w:szCs w:val="19"/>
          <w:u w:val="single" w:color="auto"/>
          <w:color w:val="auto"/>
        </w:rPr>
        <w:t>Section 2.15(d)</w:t>
      </w:r>
      <w:r>
        <w:rPr>
          <w:rFonts w:ascii="Arial" w:cs="Arial" w:eastAsia="Arial" w:hAnsi="Arial"/>
          <w:sz w:val="19"/>
          <w:szCs w:val="19"/>
          <w:color w:val="auto"/>
        </w:rPr>
        <w:t xml:space="preserve"> of the Original Credit Agreement or any other provisions of the Loan Documents, the Lead Borrower shall not be required to prepay any Loans on the Amendment No. 1 Effective Date as a result of this Amendment and, on the Amendment No. 1 Effective Date,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20"/>
          <w:szCs w:val="20"/>
          <w:color w:val="auto"/>
        </w:rPr>
        <w:t>-3-</w:t>
      </w:r>
    </w:p>
    <w:p>
      <w:pPr>
        <w:spacing w:after="0" w:line="252"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 xml:space="preserve">of the Lenders agrees to assign certain of its Term Loans or Revolving Commitments and Revolving Loans, as applicable, to other Lenders in order to effectuate the allocations set forth on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Rebalancing</w:t>
      </w:r>
      <w:r>
        <w:rPr>
          <w:rFonts w:ascii="Arial" w:cs="Arial" w:eastAsia="Arial" w:hAnsi="Arial"/>
          <w:sz w:val="19"/>
          <w:szCs w:val="19"/>
          <w:color w:val="auto"/>
        </w:rPr>
        <w:t>”), and the Borrowers hereby consent to any such assignments in connection with the Rebalancing. The Administrative Agent is hereby authorized to take all actions as may be reasonably necessary to effectuate the Rebalancing and the Administrative Agent is hereby authorized to mark the Register accordingly. Notwithstanding anything in the Loan Documents to the contrary, no Loan Party shall have any liability for any additional amounts required pursuant to Section 3.05 in connection with any Rebalancing to the extent such additional amounts are owed to a Lender that delivers an executed signature page hereto.</w:t>
      </w:r>
    </w:p>
    <w:p>
      <w:pPr>
        <w:spacing w:after="0" w:line="145" w:lineRule="exact"/>
        <w:rPr>
          <w:sz w:val="20"/>
          <w:szCs w:val="20"/>
          <w:color w:val="auto"/>
        </w:rPr>
      </w:pPr>
    </w:p>
    <w:p>
      <w:pPr>
        <w:ind w:right="120" w:firstLine="1297"/>
        <w:spacing w:after="0" w:line="256"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b w:val="1"/>
          <w:bCs w:val="1"/>
          <w:u w:val="single" w:color="auto"/>
          <w:color w:val="auto"/>
        </w:rPr>
        <w:t>Representations and Warranties, No Default</w:t>
      </w:r>
      <w:r>
        <w:rPr>
          <w:rFonts w:ascii="Arial" w:cs="Arial" w:eastAsia="Arial" w:hAnsi="Arial"/>
          <w:sz w:val="22"/>
          <w:szCs w:val="22"/>
          <w:color w:val="auto"/>
        </w:rPr>
        <w:t>. In order to induce the Lenders to enter into this Amendment, to commit to the New Revolving Commitments and to amend the Original Credit Agreement in the manner provided herein, the Loan Parties represent and warrant to each Lender that:</w:t>
      </w:r>
    </w:p>
    <w:p>
      <w:pPr>
        <w:spacing w:after="0" w:line="182" w:lineRule="exact"/>
        <w:rPr>
          <w:sz w:val="20"/>
          <w:szCs w:val="20"/>
          <w:color w:val="auto"/>
        </w:rPr>
      </w:pPr>
    </w:p>
    <w:p>
      <w:pPr>
        <w:ind w:left="660" w:firstLine="645"/>
        <w:spacing w:after="0" w:line="289" w:lineRule="auto"/>
        <w:tabs>
          <w:tab w:leader="none" w:pos="219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After giving effect to this Amendment, the representations and warranties of the Loan Parties contained in Article V of the Amended Credit Agreement and in any other Loan Document, or which are contained in any Compliance Certificate furnished at any time under or in connection therewith, are (i) in the case of representations and warranties qualified by “materiality,” “Material Adverse Effect” or similar language, true and correct in all respects and (ii) in the case of all other representations and warranties, true and correct in all material respects, in each case on and as of the date hereof, except to the extent that such representations and warranties specifically refer to an earlier date, in which case they shall be true and correct on the basis set forth above as of such earlier date; the representations and warranties contained in subsection (b)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5.05 of the Amended Credit Agreement shall be deemed to refer to the most recent statements furnished pursuant to subsections (a) and (b), respectively,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of the Original Credit Agreement; and</w:t>
      </w:r>
    </w:p>
    <w:p>
      <w:pPr>
        <w:spacing w:after="0" w:line="157" w:lineRule="exact"/>
        <w:rPr>
          <w:rFonts w:ascii="Arial" w:cs="Arial" w:eastAsia="Arial" w:hAnsi="Arial"/>
          <w:sz w:val="19"/>
          <w:szCs w:val="19"/>
          <w:color w:val="auto"/>
        </w:rPr>
      </w:pPr>
    </w:p>
    <w:p>
      <w:pPr>
        <w:ind w:left="660" w:right="80" w:firstLine="645"/>
        <w:spacing w:after="0" w:line="263" w:lineRule="auto"/>
        <w:tabs>
          <w:tab w:leader="none" w:pos="2209"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At the time of and immediately after giving effect to this Amendment, no Default or Event of Default has occurred and is continuing.</w:t>
      </w:r>
    </w:p>
    <w:p>
      <w:pPr>
        <w:spacing w:after="0" w:line="169" w:lineRule="exact"/>
        <w:rPr>
          <w:sz w:val="20"/>
          <w:szCs w:val="20"/>
          <w:color w:val="auto"/>
        </w:rPr>
      </w:pPr>
    </w:p>
    <w:p>
      <w:pPr>
        <w:ind w:right="280" w:firstLine="1297"/>
        <w:spacing w:after="0" w:line="269"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of this Amendment shall become effective on the date (such date, if any, the “</w:t>
      </w:r>
      <w:r>
        <w:rPr>
          <w:rFonts w:ascii="Arial" w:cs="Arial" w:eastAsia="Arial" w:hAnsi="Arial"/>
          <w:sz w:val="22"/>
          <w:szCs w:val="22"/>
          <w:u w:val="single" w:color="auto"/>
          <w:color w:val="auto"/>
        </w:rPr>
        <w:t>Amendment No. 1 Effective Date</w:t>
      </w:r>
      <w:r>
        <w:rPr>
          <w:rFonts w:ascii="Arial" w:cs="Arial" w:eastAsia="Arial" w:hAnsi="Arial"/>
          <w:sz w:val="22"/>
          <w:szCs w:val="22"/>
          <w:color w:val="auto"/>
        </w:rPr>
        <w:t>”) that the following conditions have been satisfied:</w:t>
      </w:r>
    </w:p>
    <w:p>
      <w:pPr>
        <w:spacing w:after="0" w:line="168" w:lineRule="exact"/>
        <w:rPr>
          <w:sz w:val="20"/>
          <w:szCs w:val="20"/>
          <w:color w:val="auto"/>
        </w:rPr>
      </w:pPr>
    </w:p>
    <w:p>
      <w:pPr>
        <w:ind w:right="40" w:firstLine="1305"/>
        <w:spacing w:after="0" w:line="271" w:lineRule="auto"/>
        <w:tabs>
          <w:tab w:leader="none" w:pos="2185"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Consents</w:t>
      </w:r>
      <w:r>
        <w:rPr>
          <w:rFonts w:ascii="Arial" w:cs="Arial" w:eastAsia="Arial" w:hAnsi="Arial"/>
          <w:sz w:val="21"/>
          <w:szCs w:val="21"/>
          <w:color w:val="auto"/>
        </w:rPr>
        <w:t>. The Administrative Agent shall have received executed signature pages hereto from (i) Lenders constituting the Required Lenders under the Original Credit Agreement, (ii) each Lender (after giving effect to any assignments from Non-Consenting Lenders), (iii) the Incremental Revolving Lender and (iv) each of the Loan Parties.</w:t>
      </w:r>
    </w:p>
    <w:p>
      <w:pPr>
        <w:spacing w:after="0" w:line="167" w:lineRule="exact"/>
        <w:rPr>
          <w:rFonts w:ascii="Arial" w:cs="Arial" w:eastAsia="Arial" w:hAnsi="Arial"/>
          <w:sz w:val="21"/>
          <w:szCs w:val="21"/>
          <w:color w:val="auto"/>
        </w:rPr>
      </w:pPr>
    </w:p>
    <w:p>
      <w:pPr>
        <w:ind w:right="900" w:firstLine="1305"/>
        <w:spacing w:after="0" w:line="263" w:lineRule="auto"/>
        <w:tabs>
          <w:tab w:leader="none" w:pos="2197"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Notice of Borrowing</w:t>
      </w:r>
      <w:r>
        <w:rPr>
          <w:rFonts w:ascii="Arial" w:cs="Arial" w:eastAsia="Arial" w:hAnsi="Arial"/>
          <w:sz w:val="22"/>
          <w:szCs w:val="22"/>
          <w:color w:val="auto"/>
        </w:rPr>
        <w:t>. The Administrative Agent shall have received a duly completed Notice of Borrowing for any Revolving Loans to be borrowed on the Amendment No. 1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0"/>
          <w:szCs w:val="20"/>
          <w:color w:val="auto"/>
        </w:rPr>
        <w:t>-4-</w:t>
      </w:r>
    </w:p>
    <w:p>
      <w:pPr>
        <w:spacing w:after="0" w:line="252" w:lineRule="exact"/>
        <w:rPr>
          <w:sz w:val="20"/>
          <w:szCs w:val="20"/>
          <w:color w:val="auto"/>
        </w:rPr>
      </w:pPr>
    </w:p>
    <w:p>
      <w:pPr>
        <w:ind w:left="-20" w:firstLine="1305"/>
        <w:spacing w:after="0" w:line="290" w:lineRule="auto"/>
        <w:tabs>
          <w:tab w:leader="none" w:pos="2165"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Celator Acquisition</w:t>
      </w:r>
      <w:r>
        <w:rPr>
          <w:rFonts w:ascii="Arial" w:cs="Arial" w:eastAsia="Arial" w:hAnsi="Arial"/>
          <w:sz w:val="19"/>
          <w:szCs w:val="19"/>
          <w:color w:val="auto"/>
        </w:rPr>
        <w:t>. The Celator Acquisition shall have been consummated or shall be consummated not later than substantially concurrently with the Amendment No. 1 Effective Date in accordance with the terms of the Celator Merger Agreement, but without giving effect to any amendment, modification or waiver of any term of the Celator Merger Agreement or any condition to Parent’s or Plex Merger Sub’s obligation to consummate the Celator Acquisition thereunder (other than any such amendment, modification or waiver that is not materially adverse to any interest of the Lenders) except with the prior written consent of the Amendment No. 1 Arrangers (it being understood that any reduction in the price that is less than or equal to 10% of the total consideration set forth in the Celator Merger Agreement as of May 27, 2016 will not be deemed to be materially adverse to the interests of the Lenders and will not require the prior written consent of the Amendment No. 1 Arrangers).</w:t>
      </w:r>
    </w:p>
    <w:p>
      <w:pPr>
        <w:spacing w:after="0" w:line="156" w:lineRule="exact"/>
        <w:rPr>
          <w:rFonts w:ascii="Arial" w:cs="Arial" w:eastAsia="Arial" w:hAnsi="Arial"/>
          <w:sz w:val="19"/>
          <w:szCs w:val="19"/>
          <w:color w:val="auto"/>
        </w:rPr>
      </w:pPr>
    </w:p>
    <w:p>
      <w:pPr>
        <w:ind w:left="-20" w:right="60" w:firstLine="1305"/>
        <w:spacing w:after="0" w:line="260" w:lineRule="auto"/>
        <w:tabs>
          <w:tab w:leader="none" w:pos="2177"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No Material Adverse Effect</w:t>
      </w:r>
      <w:r>
        <w:rPr>
          <w:rFonts w:ascii="Arial" w:cs="Arial" w:eastAsia="Arial" w:hAnsi="Arial"/>
          <w:sz w:val="21"/>
          <w:szCs w:val="21"/>
          <w:color w:val="auto"/>
        </w:rPr>
        <w:t>. Since December 31, 2015, there shall not have been any Company Material Adverse Effect (as defined in the Celator Merger Agreement as of May 27, 2016). Since December 31, 2015, there shall not have occurred any change, event, circumstance or occurrence that, individually or in the aggregate, has or would reasonably be expected to have a material adverse effect on the business, property, results of operations, or financial condition of Parent and its subsidiaries, taken as a whole (after taking into account any applicable insurance and any applicable indemnification (to the extent the provider of such insurance or indemnification has the financial ability to support its obligations with respect thereto and is not disputing or refusing to acknowledge the same)).</w:t>
      </w:r>
    </w:p>
    <w:p>
      <w:pPr>
        <w:spacing w:after="0" w:line="181" w:lineRule="exact"/>
        <w:rPr>
          <w:rFonts w:ascii="Arial" w:cs="Arial" w:eastAsia="Arial" w:hAnsi="Arial"/>
          <w:sz w:val="21"/>
          <w:szCs w:val="21"/>
          <w:color w:val="auto"/>
        </w:rPr>
      </w:pPr>
    </w:p>
    <w:p>
      <w:pPr>
        <w:ind w:left="-20" w:right="120" w:firstLine="1305"/>
        <w:spacing w:after="0" w:line="263" w:lineRule="auto"/>
        <w:tabs>
          <w:tab w:leader="none" w:pos="2165"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Fees and Expenses</w:t>
      </w:r>
      <w:r>
        <w:rPr>
          <w:rFonts w:ascii="Arial" w:cs="Arial" w:eastAsia="Arial" w:hAnsi="Arial"/>
          <w:sz w:val="21"/>
          <w:szCs w:val="21"/>
          <w:color w:val="auto"/>
        </w:rPr>
        <w:t>. Parent shall have paid (or caused to be paid) to the Amendment No. 1 Arrangers and the Administrative Agent all fees and expense reimbursements required to be paid to it on the Amendment No. 1 Effective Date as Parent shall have separately agreed in writing. In addition, Parent shall have paid (or caused to be paid) to the Administrative Agent, for the account of each Lender that has returned an executed counterpart hereof to the Administrative Agent, a non-refundable upfront fee in such amount as agreed with such Lender (if any).</w:t>
      </w:r>
    </w:p>
    <w:p>
      <w:pPr>
        <w:spacing w:after="0" w:line="175" w:lineRule="exact"/>
        <w:rPr>
          <w:rFonts w:ascii="Arial" w:cs="Arial" w:eastAsia="Arial" w:hAnsi="Arial"/>
          <w:sz w:val="21"/>
          <w:szCs w:val="21"/>
          <w:color w:val="auto"/>
        </w:rPr>
      </w:pPr>
    </w:p>
    <w:p>
      <w:pPr>
        <w:ind w:left="-20" w:right="120" w:firstLine="1305"/>
        <w:spacing w:after="0" w:line="259" w:lineRule="auto"/>
        <w:tabs>
          <w:tab w:leader="none" w:pos="2141"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Legal Opinions</w:t>
      </w:r>
      <w:r>
        <w:rPr>
          <w:rFonts w:ascii="Arial" w:cs="Arial" w:eastAsia="Arial" w:hAnsi="Arial"/>
          <w:sz w:val="21"/>
          <w:szCs w:val="21"/>
          <w:color w:val="auto"/>
        </w:rPr>
        <w:t xml:space="preserve">. The Administrative Agent shall have received favorable written opinion of (i) Cooley LLP, U.S. counsel to the Loan Parties, (ii) A&amp;L Goodbody, Irish counsel to the Loan Parties, (iii) Arthur Cox, Irish counsel to the Administrative Agent, (iv) Conyers Dill &amp; Pearman Limited, Bermuda counsel to the Loan Parties, (v) Ellul &amp; Co., Gibraltar counsel to the Loan Parties and (vi) Arendt &amp; Medernach, Luxembourg counsel to the Loan Parties, in each case addressed to the Administrative Agent, Collateral Agent, each Lender and each L/C Issuer, dated the Amendment No. 1 Effective Date, in form reasonably satisfactory to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any of the above referenced opinions are to be delivered in conjunction with foreign security documents required to be delivered under clause (i)(7) below and any such foreign security document is delivered post-closing under the terms of the last paragraph of this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then the applicable opinion may also be delivered post-closing.</w:t>
      </w:r>
    </w:p>
    <w:p>
      <w:pPr>
        <w:spacing w:after="0" w:line="180" w:lineRule="exact"/>
        <w:rPr>
          <w:rFonts w:ascii="Arial" w:cs="Arial" w:eastAsia="Arial" w:hAnsi="Arial"/>
          <w:sz w:val="21"/>
          <w:szCs w:val="21"/>
          <w:color w:val="auto"/>
        </w:rPr>
      </w:pPr>
    </w:p>
    <w:p>
      <w:pPr>
        <w:ind w:left="-20" w:right="160" w:firstLine="1305"/>
        <w:spacing w:after="0" w:line="253" w:lineRule="auto"/>
        <w:tabs>
          <w:tab w:leader="none" w:pos="2177"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The Administrative Agent shall have received a certificate, dated the Amendment No. 1 Effective Date and signed by a Responsible Officer of Parent on behalf of each Loan Party, confirming compliance with the conditions precedent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333375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60" w:top="582" w:right="259" w:bottom="1440" w:gutter="0" w:footer="0" w:header="0"/>
        </w:sectPr>
      </w:pPr>
    </w:p>
    <w:bookmarkStart w:id="147" w:name="page148"/>
    <w:bookmarkEnd w:id="147"/>
    <w:p>
      <w:pPr>
        <w:jc w:val="center"/>
        <w:ind w:right="-39"/>
        <w:spacing w:after="0"/>
        <w:rPr>
          <w:sz w:val="20"/>
          <w:szCs w:val="20"/>
          <w:color w:val="auto"/>
        </w:rPr>
      </w:pPr>
      <w:r>
        <w:rPr>
          <w:rFonts w:ascii="Arial" w:cs="Arial" w:eastAsia="Arial" w:hAnsi="Arial"/>
          <w:sz w:val="20"/>
          <w:szCs w:val="20"/>
          <w:color w:val="auto"/>
        </w:rPr>
        <w:t>-5-</w:t>
      </w:r>
    </w:p>
    <w:p>
      <w:pPr>
        <w:spacing w:after="0" w:line="252" w:lineRule="exact"/>
        <w:rPr>
          <w:sz w:val="20"/>
          <w:szCs w:val="20"/>
          <w:color w:val="auto"/>
        </w:rPr>
      </w:pPr>
    </w:p>
    <w:p>
      <w:pPr>
        <w:jc w:val="both"/>
        <w:ind w:right="200"/>
        <w:spacing w:after="0" w:line="253" w:lineRule="auto"/>
        <w:rPr>
          <w:sz w:val="20"/>
          <w:szCs w:val="20"/>
          <w:color w:val="auto"/>
        </w:rPr>
      </w:pPr>
      <w:r>
        <w:rPr>
          <w:rFonts w:ascii="Arial" w:cs="Arial" w:eastAsia="Arial" w:hAnsi="Arial"/>
          <w:sz w:val="22"/>
          <w:szCs w:val="22"/>
          <w:color w:val="auto"/>
        </w:rPr>
        <w:t xml:space="preserve">forth in clauses (c), (d), (l) and (n) of this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and demonstrating compliance with the conditions set forth in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of the Original Credit Agreement (and setting forth the pro forma calculations of the Secured Leverage Ratio and Interest Coverage Ratio).</w:t>
      </w:r>
    </w:p>
    <w:p>
      <w:pPr>
        <w:spacing w:after="0" w:line="186" w:lineRule="exact"/>
        <w:rPr>
          <w:sz w:val="20"/>
          <w:szCs w:val="20"/>
          <w:color w:val="auto"/>
        </w:rPr>
      </w:pPr>
    </w:p>
    <w:p>
      <w:pPr>
        <w:ind w:firstLine="1305"/>
        <w:spacing w:after="0" w:line="283" w:lineRule="auto"/>
        <w:tabs>
          <w:tab w:leader="none" w:pos="2197" w:val="left"/>
        </w:tabs>
        <w:numPr>
          <w:ilvl w:val="1"/>
          <w:numId w:val="123"/>
        </w:numPr>
        <w:rPr>
          <w:rFonts w:ascii="Arial" w:cs="Arial" w:eastAsia="Arial" w:hAnsi="Arial"/>
          <w:sz w:val="19"/>
          <w:szCs w:val="19"/>
          <w:color w:val="auto"/>
        </w:rPr>
      </w:pPr>
      <w:r>
        <w:rPr>
          <w:rFonts w:ascii="Arial" w:cs="Arial" w:eastAsia="Arial" w:hAnsi="Arial"/>
          <w:sz w:val="19"/>
          <w:szCs w:val="19"/>
          <w:u w:val="single" w:color="auto"/>
          <w:color w:val="auto"/>
        </w:rPr>
        <w:t>Organization Documents</w:t>
      </w:r>
      <w:r>
        <w:rPr>
          <w:rFonts w:ascii="Arial" w:cs="Arial" w:eastAsia="Arial" w:hAnsi="Arial"/>
          <w:sz w:val="19"/>
          <w:szCs w:val="19"/>
          <w:color w:val="auto"/>
        </w:rPr>
        <w:t>. After giving effect to the transactions contemplated hereby (including the Celator Acquisition), the Administrative Agent shall have received: (i) a copy of the Organization Documents, including all amendments thereto, of each Loan Party (including Celator and each of its Subsidiaries that are not Excluded Subsidiaries (collectively, the “</w:t>
      </w:r>
      <w:r>
        <w:rPr>
          <w:rFonts w:ascii="Arial" w:cs="Arial" w:eastAsia="Arial" w:hAnsi="Arial"/>
          <w:sz w:val="19"/>
          <w:szCs w:val="19"/>
          <w:u w:val="single" w:color="auto"/>
          <w:color w:val="auto"/>
        </w:rPr>
        <w:t>Celator Guarantors</w:t>
      </w:r>
      <w:r>
        <w:rPr>
          <w:rFonts w:ascii="Arial" w:cs="Arial" w:eastAsia="Arial" w:hAnsi="Arial"/>
          <w:sz w:val="19"/>
          <w:szCs w:val="19"/>
          <w:color w:val="auto"/>
        </w:rPr>
        <w:t xml:space="preserve">”)), certified as of a recent date by the Secretary of State or other applicable Governmental Authority of its respective jurisdiction of organization to the extent applicable; (ii) a certificate as to the good standing (or comparable status) of each Loan Party (including each Celator Guarantor) from such Secretary of State or other applicable Governmental Authority of its respective jurisdiction of organization, as of a recent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a certificate of good standing (or comparable status) is not applicable in the jurisdiction of any Loan Party that is a Foreign Subsidiary, such Loan Party shall provide an Officer’s Certificate in form and substance reasonably satisfactory to the Administrative Agent; (iii) a certificate of the Secretary or Assistant Secretary or other applicable Responsible Officer of each Loan Party (including each Celator Guarantor) dated the Amendment No. 1 Effective Date and certifying (A) that the Organization Documents of such Loan Party have not been amended since the date of the last amendment thereto shown on the certificate of good standing or comparable status from its jurisdiction of organization furnished pursuant to clause (ii) above (to the extent applicable in the relevant Loan Party’s jurisdiction) and remains in full force and effect; (B) that attached thereto is a true and complete copy of the Organization Documents as in effect on the Amendment No. 1 Effective Date and at all times since the date of the resolutions described in clause</w:t>
      </w:r>
    </w:p>
    <w:p>
      <w:pPr>
        <w:spacing w:after="0" w:line="2" w:lineRule="exact"/>
        <w:rPr>
          <w:rFonts w:ascii="Arial" w:cs="Arial" w:eastAsia="Arial" w:hAnsi="Arial"/>
          <w:sz w:val="19"/>
          <w:szCs w:val="19"/>
          <w:color w:val="auto"/>
        </w:rPr>
      </w:pPr>
    </w:p>
    <w:p>
      <w:pPr>
        <w:ind w:right="160" w:firstLine="8"/>
        <w:spacing w:after="0" w:line="287" w:lineRule="auto"/>
        <w:tabs>
          <w:tab w:leader="none" w:pos="342"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below or certifying that such Organization Documents have not been amended since such date, (C) that attached thereto is a true and complete copy of resolutions duly adopted by the Board of Directors (or equivalent governing body) of such Loan Party authorizing the execution, delivery and performance of this Amendment, joinders to any Loan Documents, and any other documents required to be executed by such Loan Party pursuant to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Amendment Documents</w:t>
      </w:r>
      <w:r>
        <w:rPr>
          <w:rFonts w:ascii="Arial" w:cs="Arial" w:eastAsia="Arial" w:hAnsi="Arial"/>
          <w:sz w:val="19"/>
          <w:szCs w:val="19"/>
          <w:color w:val="auto"/>
        </w:rPr>
        <w:t>”) and, in the case of the Borrowers, the borrowings under the Amended Credit Agreement, and that such resolutions have not been modified, rescinded or amended and are in full force and effect and are the only resolutions authorizing the execution, delivery and performance of the Amendment Documents; and (D) as to the incumbency and specimen signature of each Responsible Officer executing any Amendment Document; and (iv) a certificate of another officer as to the incumbency and specimen signature of the Secretary or Assistant Secretary or other applicable Responsible Officer executing the certificate pursuant to clause (iii) above.</w:t>
      </w:r>
    </w:p>
    <w:p>
      <w:pPr>
        <w:spacing w:after="0" w:line="156" w:lineRule="exact"/>
        <w:rPr>
          <w:rFonts w:ascii="Arial" w:cs="Arial" w:eastAsia="Arial" w:hAnsi="Arial"/>
          <w:sz w:val="19"/>
          <w:szCs w:val="19"/>
          <w:color w:val="auto"/>
        </w:rPr>
      </w:pPr>
    </w:p>
    <w:p>
      <w:pPr>
        <w:ind w:right="820" w:firstLine="1305"/>
        <w:spacing w:after="0" w:line="263" w:lineRule="auto"/>
        <w:tabs>
          <w:tab w:leader="none" w:pos="2149" w:val="left"/>
        </w:tabs>
        <w:numPr>
          <w:ilvl w:val="1"/>
          <w:numId w:val="124"/>
        </w:numPr>
        <w:rPr>
          <w:rFonts w:ascii="Arial" w:cs="Arial" w:eastAsia="Arial" w:hAnsi="Arial"/>
          <w:sz w:val="22"/>
          <w:szCs w:val="22"/>
          <w:color w:val="auto"/>
        </w:rPr>
      </w:pPr>
      <w:r>
        <w:rPr>
          <w:rFonts w:ascii="Arial" w:cs="Arial" w:eastAsia="Arial" w:hAnsi="Arial"/>
          <w:sz w:val="22"/>
          <w:szCs w:val="22"/>
          <w:u w:val="single" w:color="auto"/>
          <w:color w:val="auto"/>
        </w:rPr>
        <w:t>Perfection of Personal Property Security Interests and Pledges; Search Reports</w:t>
      </w:r>
      <w:r>
        <w:rPr>
          <w:rFonts w:ascii="Arial" w:cs="Arial" w:eastAsia="Arial" w:hAnsi="Arial"/>
          <w:sz w:val="22"/>
          <w:szCs w:val="22"/>
          <w:color w:val="auto"/>
        </w:rPr>
        <w:t>. On or prior to the Amendment No. 1 Effective Date, the Collateral Agent shall have received:</w:t>
      </w:r>
    </w:p>
    <w:p>
      <w:pPr>
        <w:spacing w:after="0" w:line="174" w:lineRule="exact"/>
        <w:rPr>
          <w:rFonts w:ascii="Arial" w:cs="Arial" w:eastAsia="Arial" w:hAnsi="Arial"/>
          <w:sz w:val="22"/>
          <w:szCs w:val="22"/>
          <w:color w:val="auto"/>
        </w:rPr>
      </w:pPr>
    </w:p>
    <w:p>
      <w:pPr>
        <w:ind w:left="2860" w:hanging="907"/>
        <w:spacing w:after="0"/>
        <w:tabs>
          <w:tab w:leader="none" w:pos="2860" w:val="left"/>
        </w:tabs>
        <w:numPr>
          <w:ilvl w:val="2"/>
          <w:numId w:val="124"/>
        </w:numPr>
        <w:rPr>
          <w:rFonts w:ascii="Arial" w:cs="Arial" w:eastAsia="Arial" w:hAnsi="Arial"/>
          <w:sz w:val="22"/>
          <w:szCs w:val="22"/>
          <w:color w:val="auto"/>
        </w:rPr>
      </w:pPr>
      <w:r>
        <w:rPr>
          <w:rFonts w:ascii="Arial" w:cs="Arial" w:eastAsia="Arial" w:hAnsi="Arial"/>
          <w:sz w:val="22"/>
          <w:szCs w:val="22"/>
          <w:color w:val="auto"/>
        </w:rPr>
        <w:t>a Perfection Certificate executed by each Celator Guarantor;</w:t>
      </w:r>
    </w:p>
    <w:p>
      <w:pPr>
        <w:spacing w:after="0" w:line="219" w:lineRule="exact"/>
        <w:rPr>
          <w:rFonts w:ascii="Arial" w:cs="Arial" w:eastAsia="Arial" w:hAnsi="Arial"/>
          <w:sz w:val="22"/>
          <w:szCs w:val="22"/>
          <w:color w:val="auto"/>
        </w:rPr>
      </w:pPr>
    </w:p>
    <w:p>
      <w:pPr>
        <w:ind w:left="2860" w:hanging="907"/>
        <w:spacing w:after="0"/>
        <w:tabs>
          <w:tab w:leader="none" w:pos="2860" w:val="left"/>
        </w:tabs>
        <w:numPr>
          <w:ilvl w:val="2"/>
          <w:numId w:val="124"/>
        </w:numPr>
        <w:rPr>
          <w:rFonts w:ascii="Arial" w:cs="Arial" w:eastAsia="Arial" w:hAnsi="Arial"/>
          <w:sz w:val="19"/>
          <w:szCs w:val="19"/>
          <w:color w:val="auto"/>
        </w:rPr>
      </w:pPr>
      <w:r>
        <w:rPr>
          <w:rFonts w:ascii="Arial" w:cs="Arial" w:eastAsia="Arial" w:hAnsi="Arial"/>
          <w:sz w:val="19"/>
          <w:szCs w:val="19"/>
          <w:color w:val="auto"/>
        </w:rPr>
        <w:t xml:space="preserve">subject to the final paragraph of this </w:t>
      </w:r>
      <w:r>
        <w:rPr>
          <w:rFonts w:ascii="Arial" w:cs="Arial" w:eastAsia="Arial" w:hAnsi="Arial"/>
          <w:sz w:val="19"/>
          <w:szCs w:val="19"/>
          <w:u w:val="single" w:color="auto"/>
          <w:color w:val="auto"/>
        </w:rPr>
        <w:t>Section 5</w:t>
      </w:r>
      <w:r>
        <w:rPr>
          <w:rFonts w:ascii="Arial" w:cs="Arial" w:eastAsia="Arial" w:hAnsi="Arial"/>
          <w:sz w:val="19"/>
          <w:szCs w:val="19"/>
          <w:color w:val="auto"/>
        </w:rPr>
        <w:t>, appropriate financing statements (Form UCC-1 or</w:t>
      </w:r>
    </w:p>
    <w:p>
      <w:pPr>
        <w:spacing w:after="0" w:line="56"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148" w:name="page149"/>
    <w:bookmarkEnd w:id="148"/>
    <w:p>
      <w:pPr>
        <w:jc w:val="center"/>
        <w:spacing w:after="0"/>
        <w:rPr>
          <w:sz w:val="20"/>
          <w:szCs w:val="20"/>
          <w:color w:val="auto"/>
        </w:rPr>
      </w:pPr>
      <w:r>
        <w:rPr>
          <w:rFonts w:ascii="Arial" w:cs="Arial" w:eastAsia="Arial" w:hAnsi="Arial"/>
          <w:sz w:val="20"/>
          <w:szCs w:val="20"/>
          <w:color w:val="auto"/>
        </w:rPr>
        <w:t>-6-</w:t>
      </w:r>
    </w:p>
    <w:p>
      <w:pPr>
        <w:spacing w:after="0" w:line="252" w:lineRule="exact"/>
        <w:rPr>
          <w:sz w:val="20"/>
          <w:szCs w:val="20"/>
          <w:color w:val="auto"/>
        </w:rPr>
      </w:pPr>
    </w:p>
    <w:p>
      <w:pPr>
        <w:ind w:left="1240"/>
        <w:spacing w:after="0" w:line="265" w:lineRule="auto"/>
        <w:rPr>
          <w:sz w:val="20"/>
          <w:szCs w:val="20"/>
          <w:color w:val="auto"/>
        </w:rPr>
      </w:pPr>
      <w:r>
        <w:rPr>
          <w:rFonts w:ascii="Arial" w:cs="Arial" w:eastAsia="Arial" w:hAnsi="Arial"/>
          <w:sz w:val="21"/>
          <w:szCs w:val="21"/>
          <w:color w:val="auto"/>
        </w:rPr>
        <w:t>financing statements or similar notices as shall be required by local Law), authorized for filing under the UCC or other applicable local law of each jurisdiction in which the filing of a financing statement or giving of notice may be required, or reasonably requested by the Collateral Agent, to perfect the security interests intended to be created by the Collateral Documents with respect to the Celator Guarantors;</w:t>
      </w:r>
    </w:p>
    <w:p>
      <w:pPr>
        <w:spacing w:after="0" w:line="176" w:lineRule="exact"/>
        <w:rPr>
          <w:sz w:val="20"/>
          <w:szCs w:val="20"/>
          <w:color w:val="auto"/>
        </w:rPr>
      </w:pPr>
    </w:p>
    <w:p>
      <w:pPr>
        <w:ind w:left="1240" w:right="140" w:firstLine="653"/>
        <w:spacing w:after="0" w:line="259" w:lineRule="auto"/>
        <w:tabs>
          <w:tab w:leader="none" w:pos="2788" w:val="left"/>
        </w:tabs>
        <w:numPr>
          <w:ilvl w:val="1"/>
          <w:numId w:val="125"/>
        </w:numPr>
        <w:rPr>
          <w:rFonts w:ascii="Arial" w:cs="Arial" w:eastAsia="Arial" w:hAnsi="Arial"/>
          <w:sz w:val="21"/>
          <w:szCs w:val="21"/>
          <w:color w:val="auto"/>
        </w:rPr>
      </w:pPr>
      <w:r>
        <w:rPr>
          <w:rFonts w:ascii="Arial" w:cs="Arial" w:eastAsia="Arial" w:hAnsi="Arial"/>
          <w:sz w:val="21"/>
          <w:szCs w:val="21"/>
          <w:color w:val="auto"/>
        </w:rPr>
        <w:t>certified copies of UCC, United States Patent and Trademark Office and United States Copyright Office, Tax and judgment lien searches or equivalent reports or searches within the United States, each of a recent date listing all effective financing statements, lien notices or comparable documents that name any Loan Party (including any Celator Guarantor) as debtor and that are filed in those state and county jurisdictions in which the U.S. Borrower or any Domestic Guarantor (including any Celator Guarantor that is a Domestic Guarantor) is organized or maintains its principal place of business and such other searches within the United States that are required by the Perfection Certificate or that the Collateral Agent deems necessary or appropriate, none of which encumber the Collateral covered or intended to be covered by the Collateral Documents (other than Permitted Liens);</w:t>
      </w:r>
    </w:p>
    <w:p>
      <w:pPr>
        <w:spacing w:after="0" w:line="180" w:lineRule="exact"/>
        <w:rPr>
          <w:rFonts w:ascii="Arial" w:cs="Arial" w:eastAsia="Arial" w:hAnsi="Arial"/>
          <w:sz w:val="21"/>
          <w:szCs w:val="21"/>
          <w:color w:val="auto"/>
        </w:rPr>
      </w:pPr>
    </w:p>
    <w:p>
      <w:pPr>
        <w:ind w:left="1240" w:right="420" w:firstLine="653"/>
        <w:spacing w:after="0" w:line="248" w:lineRule="auto"/>
        <w:tabs>
          <w:tab w:leader="none" w:pos="2788" w:val="left"/>
        </w:tabs>
        <w:numPr>
          <w:ilvl w:val="1"/>
          <w:numId w:val="125"/>
        </w:numPr>
        <w:rPr>
          <w:rFonts w:ascii="Arial" w:cs="Arial" w:eastAsia="Arial" w:hAnsi="Arial"/>
          <w:sz w:val="22"/>
          <w:szCs w:val="22"/>
          <w:color w:val="auto"/>
        </w:rPr>
      </w:pPr>
      <w:r>
        <w:rPr>
          <w:rFonts w:ascii="Arial" w:cs="Arial" w:eastAsia="Arial" w:hAnsi="Arial"/>
          <w:sz w:val="22"/>
          <w:szCs w:val="22"/>
          <w:color w:val="auto"/>
        </w:rPr>
        <w:t xml:space="preserve">subject to the final paragraph of this </w:t>
      </w:r>
      <w:r>
        <w:rPr>
          <w:rFonts w:ascii="Arial" w:cs="Arial" w:eastAsia="Arial" w:hAnsi="Arial"/>
          <w:sz w:val="22"/>
          <w:szCs w:val="22"/>
          <w:u w:val="single" w:color="auto"/>
          <w:color w:val="auto"/>
        </w:rPr>
        <w:t>Section 5</w:t>
      </w:r>
      <w:r>
        <w:rPr>
          <w:rFonts w:ascii="Arial" w:cs="Arial" w:eastAsia="Arial" w:hAnsi="Arial"/>
          <w:sz w:val="22"/>
          <w:szCs w:val="22"/>
          <w:color w:val="auto"/>
        </w:rPr>
        <w:t>, all of the Pledged Collateral in or held by any Celator Guarantor, which Pledged Collateral shall be in suitable form for transfer by delivery, or shall be accompanied by duly executed instruments of transfer or assignment in blank, with signatures appropriately guaranteed, accompanied in each case by any required transfer tax stamps, all in form and substance reasonably satisfactory to the Collateral Agent;</w:t>
      </w:r>
    </w:p>
    <w:p>
      <w:pPr>
        <w:spacing w:after="0" w:line="192" w:lineRule="exact"/>
        <w:rPr>
          <w:rFonts w:ascii="Arial" w:cs="Arial" w:eastAsia="Arial" w:hAnsi="Arial"/>
          <w:sz w:val="22"/>
          <w:szCs w:val="22"/>
          <w:color w:val="auto"/>
        </w:rPr>
      </w:pPr>
    </w:p>
    <w:p>
      <w:pPr>
        <w:ind w:left="1240" w:right="120" w:firstLine="653"/>
        <w:spacing w:after="0" w:line="250" w:lineRule="auto"/>
        <w:tabs>
          <w:tab w:leader="none" w:pos="2788" w:val="left"/>
        </w:tabs>
        <w:numPr>
          <w:ilvl w:val="1"/>
          <w:numId w:val="125"/>
        </w:numPr>
        <w:rPr>
          <w:rFonts w:ascii="Arial" w:cs="Arial" w:eastAsia="Arial" w:hAnsi="Arial"/>
          <w:sz w:val="22"/>
          <w:szCs w:val="22"/>
          <w:color w:val="auto"/>
        </w:rPr>
      </w:pPr>
      <w:r>
        <w:rPr>
          <w:rFonts w:ascii="Arial" w:cs="Arial" w:eastAsia="Arial" w:hAnsi="Arial"/>
          <w:sz w:val="22"/>
          <w:szCs w:val="22"/>
          <w:color w:val="auto"/>
        </w:rPr>
        <w:t>satisfactory up to date searches on the Loan Parties incorporated in Ireland and evidence that all acts appearing thereon which the Lenders require to be discharged have been fully discharged to the satisfaction of the Collateral Agent together with satisfactory priority searches in the Property Registration Authority of Ireland in respect of Mortgaged Property located in Ireland (if any);</w:t>
      </w:r>
    </w:p>
    <w:p>
      <w:pPr>
        <w:spacing w:after="0" w:line="188" w:lineRule="exact"/>
        <w:rPr>
          <w:rFonts w:ascii="Arial" w:cs="Arial" w:eastAsia="Arial" w:hAnsi="Arial"/>
          <w:sz w:val="22"/>
          <w:szCs w:val="22"/>
          <w:color w:val="auto"/>
        </w:rPr>
      </w:pPr>
    </w:p>
    <w:p>
      <w:pPr>
        <w:ind w:left="1240" w:right="440" w:firstLine="653"/>
        <w:spacing w:after="0" w:line="263" w:lineRule="auto"/>
        <w:tabs>
          <w:tab w:leader="none" w:pos="2788" w:val="left"/>
        </w:tabs>
        <w:numPr>
          <w:ilvl w:val="1"/>
          <w:numId w:val="125"/>
        </w:numPr>
        <w:rPr>
          <w:rFonts w:ascii="Arial" w:cs="Arial" w:eastAsia="Arial" w:hAnsi="Arial"/>
          <w:sz w:val="22"/>
          <w:szCs w:val="22"/>
          <w:color w:val="auto"/>
        </w:rPr>
      </w:pPr>
      <w:r>
        <w:rPr>
          <w:rFonts w:ascii="Arial" w:cs="Arial" w:eastAsia="Arial" w:hAnsi="Arial"/>
          <w:sz w:val="22"/>
          <w:szCs w:val="22"/>
          <w:color w:val="auto"/>
        </w:rPr>
        <w:t>all other filings and recordings of or with respect to the Collateral Documents and of all other actions in each case to the extent required by such Collateral Documents; and</w:t>
      </w:r>
    </w:p>
    <w:p>
      <w:pPr>
        <w:spacing w:after="0" w:line="174" w:lineRule="exact"/>
        <w:rPr>
          <w:rFonts w:ascii="Arial" w:cs="Arial" w:eastAsia="Arial" w:hAnsi="Arial"/>
          <w:sz w:val="22"/>
          <w:szCs w:val="22"/>
          <w:color w:val="auto"/>
        </w:rPr>
      </w:pPr>
    </w:p>
    <w:p>
      <w:pPr>
        <w:ind w:left="2800" w:hanging="907"/>
        <w:spacing w:after="0"/>
        <w:tabs>
          <w:tab w:leader="none" w:pos="280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 xml:space="preserve">duly executed counterparts from each party thereto of each of the documents set forth on </w:t>
      </w:r>
      <w:r>
        <w:rPr>
          <w:rFonts w:ascii="Arial" w:cs="Arial" w:eastAsia="Arial" w:hAnsi="Arial"/>
          <w:sz w:val="19"/>
          <w:szCs w:val="19"/>
          <w:u w:val="single" w:color="auto"/>
          <w:color w:val="auto"/>
        </w:rPr>
        <w:t>Schedule</w:t>
      </w:r>
    </w:p>
    <w:p>
      <w:pPr>
        <w:spacing w:after="0" w:line="56" w:lineRule="exact"/>
        <w:rPr>
          <w:rFonts w:ascii="Arial" w:cs="Arial" w:eastAsia="Arial" w:hAnsi="Arial"/>
          <w:sz w:val="19"/>
          <w:szCs w:val="19"/>
          <w:color w:val="auto"/>
        </w:rPr>
      </w:pPr>
    </w:p>
    <w:p>
      <w:pPr>
        <w:ind w:left="1240"/>
        <w:spacing w:after="0"/>
        <w:rPr>
          <w:rFonts w:ascii="Arial" w:cs="Arial" w:eastAsia="Arial" w:hAnsi="Arial"/>
          <w:sz w:val="19"/>
          <w:szCs w:val="19"/>
          <w:color w:val="auto"/>
        </w:rPr>
      </w:pPr>
      <w:r>
        <w:rPr>
          <w:rFonts w:ascii="Arial" w:cs="Arial" w:eastAsia="Arial" w:hAnsi="Arial"/>
          <w:sz w:val="22"/>
          <w:szCs w:val="22"/>
          <w:u w:val="single" w:color="auto"/>
          <w:color w:val="auto"/>
        </w:rPr>
        <w:t>V</w:t>
      </w:r>
      <w:r>
        <w:rPr>
          <w:rFonts w:ascii="Arial" w:cs="Arial" w:eastAsia="Arial" w:hAnsi="Arial"/>
          <w:sz w:val="22"/>
          <w:szCs w:val="22"/>
          <w:color w:val="auto"/>
        </w:rPr>
        <w:t xml:space="preserve"> hereto.</w:t>
      </w:r>
    </w:p>
    <w:p>
      <w:pPr>
        <w:spacing w:after="0" w:line="201" w:lineRule="exact"/>
        <w:rPr>
          <w:rFonts w:ascii="Arial" w:cs="Arial" w:eastAsia="Arial" w:hAnsi="Arial"/>
          <w:sz w:val="19"/>
          <w:szCs w:val="19"/>
          <w:color w:val="auto"/>
        </w:rPr>
      </w:pPr>
    </w:p>
    <w:p>
      <w:pPr>
        <w:jc w:val="both"/>
        <w:ind w:left="-60" w:right="260" w:firstLine="1305"/>
        <w:spacing w:after="0" w:line="302" w:lineRule="auto"/>
        <w:tabs>
          <w:tab w:leader="none" w:pos="2089"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Accession Agreement and Joinder to Collateral Agreements</w:t>
      </w:r>
      <w:r>
        <w:rPr>
          <w:rFonts w:ascii="Arial" w:cs="Arial" w:eastAsia="Arial" w:hAnsi="Arial"/>
          <w:sz w:val="19"/>
          <w:szCs w:val="19"/>
          <w:color w:val="auto"/>
        </w:rPr>
        <w:t>. The Administrative Agent shall have received (i) executed signature pages to an Accession Agreement (as defined in the Guaranty Agreement) from the Celator Guarantors and (ii) executed signature pages to a joinder agreement to the U.S. Security Agreement from the Celator Guarantors that are Domestic Guarantors substantially in the form of Exhibit V to the U.S.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306070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300" w:top="582" w:right="27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20"/>
          <w:szCs w:val="20"/>
          <w:color w:val="auto"/>
        </w:rPr>
        <w:t>-7-</w:t>
      </w:r>
    </w:p>
    <w:p>
      <w:pPr>
        <w:spacing w:after="0" w:line="252" w:lineRule="exact"/>
        <w:rPr>
          <w:sz w:val="20"/>
          <w:szCs w:val="20"/>
          <w:color w:val="auto"/>
        </w:rPr>
      </w:pPr>
    </w:p>
    <w:p>
      <w:pPr>
        <w:jc w:val="both"/>
        <w:ind w:firstLine="1305"/>
        <w:spacing w:after="0" w:line="302" w:lineRule="auto"/>
        <w:tabs>
          <w:tab w:leader="none" w:pos="2197"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Solvency Certificate</w:t>
      </w:r>
      <w:r>
        <w:rPr>
          <w:rFonts w:ascii="Arial" w:cs="Arial" w:eastAsia="Arial" w:hAnsi="Arial"/>
          <w:sz w:val="19"/>
          <w:szCs w:val="19"/>
          <w:color w:val="auto"/>
        </w:rPr>
        <w:t xml:space="preserve">. On or prior to the Amendment No. 1 Effective Date, Parent shall have delivered or caused to be delivered to the Administrative Agent a solvency certificate from a Responsible Officer or chief accounting officer of Parent, substantially in the form of </w:t>
      </w:r>
      <w:r>
        <w:rPr>
          <w:rFonts w:ascii="Arial" w:cs="Arial" w:eastAsia="Arial" w:hAnsi="Arial"/>
          <w:sz w:val="19"/>
          <w:szCs w:val="19"/>
          <w:u w:val="single" w:color="auto"/>
          <w:color w:val="auto"/>
        </w:rPr>
        <w:t>Exhibit K</w:t>
      </w:r>
      <w:r>
        <w:rPr>
          <w:rFonts w:ascii="Arial" w:cs="Arial" w:eastAsia="Arial" w:hAnsi="Arial"/>
          <w:sz w:val="19"/>
          <w:szCs w:val="19"/>
          <w:color w:val="auto"/>
        </w:rPr>
        <w:t xml:space="preserve"> to the Original Credit Agreement, setting forth the conclusions that, after giving effect to the consummation of the transactions contemplated herein, Parent and its Subsidiaries (on a consolidated basis) are Solvent.</w:t>
      </w:r>
    </w:p>
    <w:p>
      <w:pPr>
        <w:spacing w:after="0" w:line="142" w:lineRule="exact"/>
        <w:rPr>
          <w:rFonts w:ascii="Arial" w:cs="Arial" w:eastAsia="Arial" w:hAnsi="Arial"/>
          <w:sz w:val="19"/>
          <w:szCs w:val="19"/>
          <w:color w:val="auto"/>
        </w:rPr>
      </w:pPr>
    </w:p>
    <w:p>
      <w:pPr>
        <w:ind w:right="780" w:firstLine="1305"/>
        <w:spacing w:after="0" w:line="343" w:lineRule="auto"/>
        <w:tabs>
          <w:tab w:leader="none" w:pos="2149"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On the Amendment No. 1 Effective Date, the representations and warranties set forth in </w:t>
      </w:r>
      <w:r>
        <w:rPr>
          <w:rFonts w:ascii="Arial" w:cs="Arial" w:eastAsia="Arial" w:hAnsi="Arial"/>
          <w:sz w:val="19"/>
          <w:szCs w:val="19"/>
          <w:u w:val="single" w:color="auto"/>
          <w:color w:val="auto"/>
        </w:rPr>
        <w:t>Section 4(a)</w:t>
      </w:r>
      <w:r>
        <w:rPr>
          <w:rFonts w:ascii="Arial" w:cs="Arial" w:eastAsia="Arial" w:hAnsi="Arial"/>
          <w:sz w:val="19"/>
          <w:szCs w:val="19"/>
          <w:color w:val="auto"/>
        </w:rPr>
        <w:t xml:space="preserve"> above shall be true and correct on the basis set forth therein.</w:t>
      </w:r>
    </w:p>
    <w:p>
      <w:pPr>
        <w:spacing w:after="0" w:line="104" w:lineRule="exact"/>
        <w:rPr>
          <w:rFonts w:ascii="Arial" w:cs="Arial" w:eastAsia="Arial" w:hAnsi="Arial"/>
          <w:sz w:val="19"/>
          <w:szCs w:val="19"/>
          <w:color w:val="auto"/>
        </w:rPr>
      </w:pPr>
    </w:p>
    <w:p>
      <w:pPr>
        <w:ind w:firstLine="1305"/>
        <w:spacing w:after="0" w:line="246" w:lineRule="auto"/>
        <w:tabs>
          <w:tab w:leader="none" w:pos="2257"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PATRIOT Act</w:t>
      </w:r>
      <w:r>
        <w:rPr>
          <w:rFonts w:ascii="Arial" w:cs="Arial" w:eastAsia="Arial" w:hAnsi="Arial"/>
          <w:sz w:val="22"/>
          <w:szCs w:val="22"/>
          <w:color w:val="auto"/>
        </w:rPr>
        <w:t>. The Administrative Agent and the Amendment No. 1 Arrangers shall have received at least three business days prior to the Amendment No. 1 Effective Date, all documentation and other information about the Borrowers and the Guarantors (including the Celator Guarantors) as required by regulatory authorities under applicable “know your customer” and anti-money laundering rules and regulations, including without limitation the Patriot Act, to the extent reasonably requested by any Lender to the Administrative Agent or any Amendment No. 1 Arranger and conveyed by the Administrative Agent or any Amendment No. 1 Arranger, as applicable, to the Lead Borrower in writing at least 10 days prior to the Amendment No. 1 Effective Date.</w:t>
      </w:r>
    </w:p>
    <w:p>
      <w:pPr>
        <w:spacing w:after="0" w:line="197" w:lineRule="exact"/>
        <w:rPr>
          <w:rFonts w:ascii="Arial" w:cs="Arial" w:eastAsia="Arial" w:hAnsi="Arial"/>
          <w:sz w:val="22"/>
          <w:szCs w:val="22"/>
          <w:color w:val="auto"/>
        </w:rPr>
      </w:pPr>
    </w:p>
    <w:p>
      <w:pPr>
        <w:ind w:right="920" w:firstLine="1305"/>
        <w:spacing w:after="0" w:line="287" w:lineRule="auto"/>
        <w:tabs>
          <w:tab w:leader="none" w:pos="2197"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No Default</w:t>
      </w:r>
      <w:r>
        <w:rPr>
          <w:rFonts w:ascii="Arial" w:cs="Arial" w:eastAsia="Arial" w:hAnsi="Arial"/>
          <w:sz w:val="21"/>
          <w:szCs w:val="21"/>
          <w:color w:val="auto"/>
        </w:rPr>
        <w:t>. No Default or Event of Default shall exist or would result from the proposed Credit Extensions on the Amendment No. 1 Effective Date or from the application of the proceeds thereof.</w:t>
      </w:r>
    </w:p>
    <w:p>
      <w:pPr>
        <w:spacing w:after="0" w:line="97" w:lineRule="exact"/>
        <w:rPr>
          <w:rFonts w:ascii="Arial" w:cs="Arial" w:eastAsia="Arial" w:hAnsi="Arial"/>
          <w:sz w:val="21"/>
          <w:szCs w:val="21"/>
          <w:color w:val="auto"/>
        </w:rPr>
      </w:pPr>
    </w:p>
    <w:p>
      <w:pPr>
        <w:ind w:right="60" w:firstLine="1305"/>
        <w:spacing w:after="0" w:line="253" w:lineRule="auto"/>
        <w:tabs>
          <w:tab w:leader="none" w:pos="2197"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Compliance with Financial Covenants</w:t>
      </w:r>
      <w:r>
        <w:rPr>
          <w:rFonts w:ascii="Arial" w:cs="Arial" w:eastAsia="Arial" w:hAnsi="Arial"/>
          <w:sz w:val="22"/>
          <w:szCs w:val="22"/>
          <w:color w:val="auto"/>
        </w:rPr>
        <w:t xml:space="preserve">. After giving effect to the transactions contemplated hereby, Parent shall be in compliance with the covenants set forth in </w:t>
      </w:r>
      <w:r>
        <w:rPr>
          <w:rFonts w:ascii="Arial" w:cs="Arial" w:eastAsia="Arial" w:hAnsi="Arial"/>
          <w:sz w:val="22"/>
          <w:szCs w:val="22"/>
          <w:u w:val="single" w:color="auto"/>
          <w:color w:val="auto"/>
        </w:rPr>
        <w:t>Section 7.10</w:t>
      </w:r>
      <w:r>
        <w:rPr>
          <w:rFonts w:ascii="Arial" w:cs="Arial" w:eastAsia="Arial" w:hAnsi="Arial"/>
          <w:sz w:val="22"/>
          <w:szCs w:val="22"/>
          <w:color w:val="auto"/>
        </w:rPr>
        <w:t xml:space="preserve"> of the Original Credit Agreement on a pro forma basis in accordance with </w:t>
      </w:r>
      <w:r>
        <w:rPr>
          <w:rFonts w:ascii="Arial" w:cs="Arial" w:eastAsia="Arial" w:hAnsi="Arial"/>
          <w:sz w:val="22"/>
          <w:szCs w:val="22"/>
          <w:u w:val="single" w:color="auto"/>
          <w:color w:val="auto"/>
        </w:rPr>
        <w:t>Sections 1.03(c)</w:t>
      </w:r>
      <w:r>
        <w:rPr>
          <w:rFonts w:ascii="Arial" w:cs="Arial" w:eastAsia="Arial" w:hAnsi="Arial"/>
          <w:sz w:val="22"/>
          <w:szCs w:val="22"/>
          <w:color w:val="auto"/>
        </w:rPr>
        <w:t xml:space="preserve"> of the Original Credit Agreement.</w:t>
      </w:r>
    </w:p>
    <w:p>
      <w:pPr>
        <w:spacing w:after="0" w:line="132" w:lineRule="exact"/>
        <w:rPr>
          <w:sz w:val="20"/>
          <w:szCs w:val="20"/>
          <w:color w:val="auto"/>
        </w:rPr>
      </w:pPr>
    </w:p>
    <w:p>
      <w:pPr>
        <w:ind w:right="220" w:firstLine="1297"/>
        <w:spacing w:after="0" w:line="297" w:lineRule="auto"/>
        <w:rPr>
          <w:sz w:val="20"/>
          <w:szCs w:val="20"/>
          <w:color w:val="auto"/>
        </w:rPr>
      </w:pPr>
      <w:r>
        <w:rPr>
          <w:rFonts w:ascii="Arial" w:cs="Arial" w:eastAsia="Arial" w:hAnsi="Arial"/>
          <w:sz w:val="19"/>
          <w:szCs w:val="19"/>
          <w:color w:val="auto"/>
        </w:rPr>
        <w:t xml:space="preserve">Without limiting the generality of the provisions of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of the Original Credit Agreement, for purposes of determining compliance with the conditions specified in this </w:t>
      </w:r>
      <w:r>
        <w:rPr>
          <w:rFonts w:ascii="Arial" w:cs="Arial" w:eastAsia="Arial" w:hAnsi="Arial"/>
          <w:sz w:val="19"/>
          <w:szCs w:val="19"/>
          <w:u w:val="single" w:color="auto"/>
          <w:color w:val="auto"/>
        </w:rPr>
        <w:t>Section 5</w:t>
      </w:r>
      <w:r>
        <w:rPr>
          <w:rFonts w:ascii="Arial" w:cs="Arial" w:eastAsia="Arial" w:hAnsi="Arial"/>
          <w:sz w:val="19"/>
          <w:szCs w:val="19"/>
          <w:color w:val="auto"/>
        </w:rPr>
        <w:t>, each Lender that has signed this Agreement shall be deemed to have consented to, approved or accepted or to be satisfied with, or waived each document or other matter required thereunder to be consented to or approved by or acceptable or satisfactory to a Lender unless the Administrative Agent shall have received notice from such Lender prior to the proposed Amendment No. 1 Effective Date specifying its objection thereto.</w:t>
      </w:r>
    </w:p>
    <w:p>
      <w:pPr>
        <w:spacing w:after="0" w:line="93" w:lineRule="exact"/>
        <w:rPr>
          <w:sz w:val="20"/>
          <w:szCs w:val="20"/>
          <w:color w:val="auto"/>
        </w:rPr>
      </w:pPr>
    </w:p>
    <w:p>
      <w:pPr>
        <w:ind w:right="80" w:firstLine="1297"/>
        <w:spacing w:after="0" w:line="294" w:lineRule="auto"/>
        <w:rPr>
          <w:sz w:val="20"/>
          <w:szCs w:val="20"/>
          <w:color w:val="auto"/>
        </w:rPr>
      </w:pPr>
      <w:r>
        <w:rPr>
          <w:rFonts w:ascii="Arial" w:cs="Arial" w:eastAsia="Arial" w:hAnsi="Arial"/>
          <w:sz w:val="19"/>
          <w:szCs w:val="19"/>
          <w:color w:val="auto"/>
        </w:rPr>
        <w:t xml:space="preserve">Notwithstanding anything in this Amendment to the contrary it is understood that, (x) to the extent any Celator Guarantor does not become a Guarantor on or prior to the Amendment No. 1 Effective Date, the provision of any agreements, documents, certificates or opinions relating to such Celator Guarantor (other than delivery of the Pledged Collateral relating to the Equity Interests in Celator) provided for in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will not constitute a condition precedent to the effectiveness of the Amendment and the availability of the Facilities under the Amended Credit Agreement on the Amendment No. 1 Effective Date (it being understood that (1) the Borrowers and Parent agree to provide such agreements, documents, certificates or 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20"/>
          <w:szCs w:val="20"/>
          <w:color w:val="auto"/>
        </w:rPr>
        <w:t>-8-</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ions within the time periods provided therefor in Section 6.09 of the Amended Credit Agreement to the extent required thereby and</w:t>
      </w:r>
    </w:p>
    <w:p>
      <w:pPr>
        <w:spacing w:after="0" w:line="56" w:lineRule="exact"/>
        <w:rPr>
          <w:sz w:val="20"/>
          <w:szCs w:val="20"/>
          <w:color w:val="auto"/>
        </w:rPr>
      </w:pPr>
    </w:p>
    <w:p>
      <w:pPr>
        <w:ind w:firstLine="8"/>
        <w:spacing w:after="0" w:line="257" w:lineRule="auto"/>
        <w:tabs>
          <w:tab w:leader="none" w:pos="306" w:val="left"/>
        </w:tabs>
        <w:numPr>
          <w:ilvl w:val="0"/>
          <w:numId w:val="128"/>
        </w:numPr>
        <w:rPr>
          <w:rFonts w:ascii="Arial" w:cs="Arial" w:eastAsia="Arial" w:hAnsi="Arial"/>
          <w:sz w:val="21"/>
          <w:szCs w:val="21"/>
          <w:color w:val="auto"/>
        </w:rPr>
      </w:pPr>
      <w:r>
        <w:rPr>
          <w:rFonts w:ascii="Arial" w:cs="Arial" w:eastAsia="Arial" w:hAnsi="Arial"/>
          <w:sz w:val="21"/>
          <w:szCs w:val="21"/>
          <w:color w:val="auto"/>
        </w:rPr>
        <w:t xml:space="preserve">Celator shall be required to become a Guarantor within the time period provided therefor in Section 6.09 of the Amended Credit Agreement, regardless of whether or not it constitutes a Material Subsidiary) and (y) to the extent any documents set forth on </w:t>
      </w:r>
      <w:r>
        <w:rPr>
          <w:rFonts w:ascii="Arial" w:cs="Arial" w:eastAsia="Arial" w:hAnsi="Arial"/>
          <w:sz w:val="21"/>
          <w:szCs w:val="21"/>
          <w:u w:val="single" w:color="auto"/>
          <w:color w:val="auto"/>
        </w:rPr>
        <w:t>Schedule V</w:t>
      </w:r>
      <w:r>
        <w:rPr>
          <w:rFonts w:ascii="Arial" w:cs="Arial" w:eastAsia="Arial" w:hAnsi="Arial"/>
          <w:sz w:val="21"/>
          <w:szCs w:val="21"/>
          <w:color w:val="auto"/>
        </w:rPr>
        <w:t xml:space="preserve"> hereto, are not provided on the Amendment No. 1 Effective Date after Parent’s and the Borrowers’ use of commercially reasonable efforts to do so, the provision of such documents will not constitute a condition precedent to the Amendment and the availability of the Facilities under the Amended Credit Agreement on the Amendment No. 1 Effective Date, but the Borrowers and Parent agree to provide such documents no later than 90 days after the Amendment No. 1 Effective Date (subject to extension by the Administrative Agent in its reasonable discretion).</w:t>
      </w:r>
    </w:p>
    <w:p>
      <w:pPr>
        <w:spacing w:after="0" w:line="178" w:lineRule="exact"/>
        <w:rPr>
          <w:sz w:val="20"/>
          <w:szCs w:val="20"/>
          <w:color w:val="auto"/>
        </w:rPr>
      </w:pPr>
    </w:p>
    <w:p>
      <w:pPr>
        <w:ind w:right="420" w:firstLine="1297"/>
        <w:spacing w:after="0" w:line="256"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b w:val="1"/>
          <w:bCs w:val="1"/>
          <w:u w:val="single" w:color="auto"/>
          <w:color w:val="auto"/>
        </w:rPr>
        <w:t>Post-Closing Collateral Matters</w:t>
      </w:r>
      <w:r>
        <w:rPr>
          <w:rFonts w:ascii="Arial" w:cs="Arial" w:eastAsia="Arial" w:hAnsi="Arial"/>
          <w:sz w:val="22"/>
          <w:szCs w:val="22"/>
          <w:color w:val="auto"/>
        </w:rPr>
        <w:t xml:space="preserve">. The Loan Parties shall execute and deliver the documents and complete the tasks set forth on </w:t>
      </w:r>
      <w:r>
        <w:rPr>
          <w:rFonts w:ascii="Arial" w:cs="Arial" w:eastAsia="Arial" w:hAnsi="Arial"/>
          <w:sz w:val="22"/>
          <w:szCs w:val="22"/>
          <w:u w:val="single" w:color="auto"/>
          <w:color w:val="auto"/>
        </w:rPr>
        <w:t>Schedule VI</w:t>
      </w:r>
      <w:r>
        <w:rPr>
          <w:rFonts w:ascii="Arial" w:cs="Arial" w:eastAsia="Arial" w:hAnsi="Arial"/>
          <w:sz w:val="22"/>
          <w:szCs w:val="22"/>
          <w:color w:val="auto"/>
        </w:rPr>
        <w:t xml:space="preserve"> hereto, in each case within the time limits specified on such schedule subject to the extension by the Administrative Agent in its sole discreti</w:t>
      </w:r>
      <w:r>
        <w:rPr>
          <w:rFonts w:ascii="Arial" w:cs="Arial" w:eastAsia="Arial" w:hAnsi="Arial"/>
          <w:sz w:val="19"/>
          <w:szCs w:val="19"/>
          <w:color w:val="auto"/>
        </w:rPr>
        <w:t>on.</w:t>
      </w:r>
    </w:p>
    <w:p>
      <w:pPr>
        <w:spacing w:after="0" w:line="190" w:lineRule="exact"/>
        <w:rPr>
          <w:sz w:val="20"/>
          <w:szCs w:val="20"/>
          <w:color w:val="auto"/>
        </w:rPr>
      </w:pPr>
    </w:p>
    <w:p>
      <w:pPr>
        <w:ind w:right="160" w:firstLine="1297"/>
        <w:spacing w:after="0" w:line="249"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Amendment by telecopier or other electronic transmission shall be effective as delivery of a manually executed counterpart of this Amendment.</w:t>
      </w:r>
    </w:p>
    <w:p>
      <w:pPr>
        <w:spacing w:after="0" w:line="187" w:lineRule="exact"/>
        <w:rPr>
          <w:sz w:val="20"/>
          <w:szCs w:val="20"/>
          <w:color w:val="auto"/>
        </w:rPr>
      </w:pPr>
    </w:p>
    <w:p>
      <w:pPr>
        <w:ind w:right="40" w:firstLine="1297"/>
        <w:spacing w:after="0" w:line="245"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b w:val="1"/>
          <w:bCs w:val="1"/>
          <w:u w:val="single" w:color="auto"/>
          <w:color w:val="auto"/>
        </w:rPr>
        <w:t>Applicable Law</w:t>
      </w:r>
      <w:r>
        <w:rPr>
          <w:rFonts w:ascii="Arial" w:cs="Arial" w:eastAsia="Arial" w:hAnsi="Arial"/>
          <w:sz w:val="22"/>
          <w:szCs w:val="22"/>
          <w:color w:val="auto"/>
        </w:rPr>
        <w:t xml:space="preserve">. </w:t>
      </w:r>
      <w:r>
        <w:rPr>
          <w:rFonts w:ascii="Arial" w:cs="Arial" w:eastAsia="Arial" w:hAnsi="Arial"/>
          <w:sz w:val="22"/>
          <w:szCs w:val="22"/>
          <w:b w:val="1"/>
          <w:bCs w:val="1"/>
          <w:color w:val="auto"/>
        </w:rPr>
        <w:t>THIS AMENDMENT AND THE OTHER AMENDMENT DOCUMENTS</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AND ANY CLAIMS, CONTROVERSY, DISPUTE OR CAUSE OF ACTION (WHETHER IN CONTRACT OR TORT OR OTHERWISE) BASED UPON, ARISING OUT OF OR RELATING TO THIS AMENDMENT OR ANY OTHER AMENDMENT DOCUMENT AND THE TRANSACTIONS CONTEMPLATED HEREBY AND THEREBY SHALL (EXCEPT, AS TO ANY OTHER AMENDMENT DOCUMENT, AS EXPRESSLY SET FORTH THEREIN), BE GOVERNED BY, AND CONSTRUED IN ACCORDANCE WITH, THE LAW OF THE STATE OF NEW YORK;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HOWEVER</w:t>
      </w:r>
      <w:r>
        <w:rPr>
          <w:rFonts w:ascii="Arial" w:cs="Arial" w:eastAsia="Arial" w:hAnsi="Arial"/>
          <w:sz w:val="22"/>
          <w:szCs w:val="22"/>
          <w:b w:val="1"/>
          <w:bCs w:val="1"/>
          <w:color w:val="auto"/>
        </w:rPr>
        <w:t>, THAT EACH OF (A) THE INTERPRETATION OF THE DEFINITION OF COMPANY</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MATERIAL ADVERSE EFFECT AND WHETHER THERE SHALL HAVE OCCURRED A COMPANY MATERIAL ADVERSE EFFECT AND (B) WHETHER THE CELATOR ACQUISITION SHALL HAVE BEEN CONSUMMATED IN ACCORDANCE WITH THE TERMS OF THE CELATOR MERGER AGREEMENT, IN EACH CASE, SHALL BE GOVERNED AND CONSTRUED IN ACCORDANCE WITH THE LAWS OF THE STATE OF DELAWARE APPLICABLE TO AGREEMENTS MADE AND TO BE PERFORMED ENTIRELY WITHIN SUCH STATE, WITHOUT REGARD TO THE CONFLICT OF LAWS PRINCIPLES OF SUCH STATE TO THE EXTENT THAT THE LAWS OF ANOTHER JURISDICTION WOULD BE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20"/>
          <w:szCs w:val="20"/>
          <w:color w:val="auto"/>
        </w:rPr>
        <w:t>-9-</w:t>
      </w:r>
    </w:p>
    <w:p>
      <w:pPr>
        <w:spacing w:after="0" w:line="246" w:lineRule="exact"/>
        <w:rPr>
          <w:sz w:val="20"/>
          <w:szCs w:val="20"/>
          <w:color w:val="auto"/>
        </w:rPr>
      </w:pPr>
    </w:p>
    <w:p>
      <w:pPr>
        <w:ind w:right="100" w:firstLine="1297"/>
        <w:spacing w:after="0" w:line="350"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b w:val="1"/>
          <w:bCs w:val="1"/>
          <w:u w:val="single" w:color="auto"/>
          <w:color w:val="auto"/>
        </w:rPr>
        <w:t>Headings</w:t>
      </w:r>
      <w:r>
        <w:rPr>
          <w:rFonts w:ascii="Arial" w:cs="Arial" w:eastAsia="Arial" w:hAnsi="Arial"/>
          <w:sz w:val="19"/>
          <w:szCs w:val="19"/>
          <w:color w:val="auto"/>
        </w:rPr>
        <w:t>. Section and Subsection headings in this Amendment are included herein for convenience of reference only and shall not constitute a part of this Amendment for any other purpose or be given any substantive effect.</w:t>
      </w:r>
    </w:p>
    <w:p>
      <w:pPr>
        <w:spacing w:after="0" w:line="92" w:lineRule="exact"/>
        <w:rPr>
          <w:sz w:val="20"/>
          <w:szCs w:val="20"/>
          <w:color w:val="auto"/>
        </w:rPr>
      </w:pPr>
    </w:p>
    <w:p>
      <w:pPr>
        <w:ind w:firstLine="1297"/>
        <w:spacing w:after="0" w:line="285"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b w:val="1"/>
          <w:bCs w:val="1"/>
          <w:u w:val="single" w:color="auto"/>
          <w:color w:val="auto"/>
        </w:rPr>
        <w:t>Effect of Amendment</w:t>
      </w:r>
      <w:r>
        <w:rPr>
          <w:rFonts w:ascii="Arial" w:cs="Arial" w:eastAsia="Arial" w:hAnsi="Arial"/>
          <w:sz w:val="19"/>
          <w:szCs w:val="19"/>
          <w:color w:val="auto"/>
        </w:rPr>
        <w:t>. Except as expressly set forth herein, (i) this Amendment shall not by implication or otherwise limit, impair, constitute a waiver of or otherwise affect the rights and remedies of the Lenders, the Administrative Agent or any other Agent, in each case under the Original Credit Agreement or any other Loan Document, and (ii) shall not alter, modify, amend or in any way affect any of the terms, conditions, obligations, covenants or agreements contained in the Original Credit Agreement or any other provision of either such agreement or any other Loan Document. Each and every term, condition, obligation, covenant and agreement contained in the Amended Credit Agreement or any other Loan Document is hereby ratified and re-affirmed in all respects and shall continue in full force and effect. Each Loan Party reaffirms its obligations under the Loan Documents to which it is party and the validity of the guarantees and Liens granted by it pursuant to the Collateral Documents. This Amendment shall constitute a Loan Document for purposes of the Amended Credit Agreement and, from and after the Amendment No. 1 Effective Date, (x) all references to the Original Credit Agreement or Amended Credit Agreement in any Loan Document and all references in the Original Credit Agreement or Amended Credit Agreement to “this Agreement”, “hereunder”, “hereof” or words of like import referring to the Original Credit Agreement, shall, unless expressly provided otherwise, refer to the Amended Credit Agreement and (y) all references to any other Loan Document amended hereby in any Loan Document and all references in such Loan Document to “this Agreement”, “hereunder”, “hereof” or words of like import referring to such Loan Document, shall, unless expressly provided otherwise, refer to such Loan Document as amended by this Amendment. Each of the Loan Parties hereby (i) consents to this Amendment, (ii) confirms that all obligations of such Loan Party under the Loan Documents to which such Loan Party is a party shall continue to apply to the Amended Credit Agreement and (iii) agrees that all security interests granted by it pursuant to any Loan Document shall secure the Senior Credit Obligations under the Amended Credit Agreement and the other Loan Documents.</w:t>
      </w:r>
    </w:p>
    <w:p>
      <w:pPr>
        <w:spacing w:after="0" w:line="200" w:lineRule="exact"/>
        <w:rPr>
          <w:sz w:val="20"/>
          <w:szCs w:val="20"/>
          <w:color w:val="auto"/>
        </w:rPr>
      </w:pPr>
    </w:p>
    <w:p>
      <w:pPr>
        <w:spacing w:after="0" w:line="221" w:lineRule="exact"/>
        <w:rPr>
          <w:sz w:val="20"/>
          <w:szCs w:val="20"/>
          <w:color w:val="auto"/>
        </w:rPr>
      </w:pPr>
    </w:p>
    <w:p>
      <w:pPr>
        <w:ind w:right="1220" w:firstLine="1297"/>
        <w:spacing w:after="0" w:line="269"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b w:val="1"/>
          <w:bCs w:val="1"/>
          <w:u w:val="single" w:color="auto"/>
          <w:color w:val="auto"/>
        </w:rPr>
        <w:t>Submission to Jurisdiction; Waivers</w:t>
      </w:r>
      <w:r>
        <w:rPr>
          <w:rFonts w:ascii="Arial" w:cs="Arial" w:eastAsia="Arial" w:hAnsi="Arial"/>
          <w:sz w:val="22"/>
          <w:szCs w:val="22"/>
          <w:color w:val="auto"/>
        </w:rPr>
        <w:t>. Each of the parties hereto hereby irrevocably and unconditionally:</w:t>
      </w:r>
    </w:p>
    <w:p>
      <w:pPr>
        <w:spacing w:after="0" w:line="168" w:lineRule="exact"/>
        <w:rPr>
          <w:sz w:val="20"/>
          <w:szCs w:val="20"/>
          <w:color w:val="auto"/>
        </w:rPr>
      </w:pPr>
    </w:p>
    <w:p>
      <w:pPr>
        <w:ind w:left="660" w:firstLine="645"/>
        <w:spacing w:after="0" w:line="246" w:lineRule="auto"/>
        <w:tabs>
          <w:tab w:leader="none" w:pos="2196"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 in any action or proceeding arising out of or relating to this Amendment or any other Loan Document, or for recognition or enforcement of any judgment,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and (ii) agrees that a final judgment in any such action, litigation or proceeding shall be conclusive and may be enforced in other jurisdictions by suit on the judgment or in any other manner provided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152" w:name="page153"/>
    <w:bookmarkEnd w:id="152"/>
    <w:p>
      <w:pPr>
        <w:ind w:left="4340"/>
        <w:spacing w:after="0"/>
        <w:rPr>
          <w:sz w:val="20"/>
          <w:szCs w:val="20"/>
          <w:color w:val="auto"/>
        </w:rPr>
      </w:pPr>
      <w:r>
        <w:rPr>
          <w:rFonts w:ascii="Arial" w:cs="Arial" w:eastAsia="Arial" w:hAnsi="Arial"/>
          <w:sz w:val="20"/>
          <w:szCs w:val="20"/>
          <w:color w:val="auto"/>
        </w:rPr>
        <w:t>-10-</w:t>
      </w:r>
    </w:p>
    <w:p>
      <w:pPr>
        <w:spacing w:after="0" w:line="252" w:lineRule="exact"/>
        <w:rPr>
          <w:sz w:val="20"/>
          <w:szCs w:val="20"/>
          <w:color w:val="auto"/>
        </w:rPr>
      </w:pPr>
    </w:p>
    <w:p>
      <w:pPr>
        <w:ind w:left="-540" w:firstLine="645"/>
        <w:spacing w:after="0" w:line="250" w:lineRule="auto"/>
        <w:tabs>
          <w:tab w:leader="none" w:pos="1009"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waives, to the fullest extent permitted by applicable Laws, (i) any objection which it may now or hereafter have to the laying of venue of any suit, action or proceeding arising out of or relating to this Amendment or any other Loan Document in any court referred to in </w:t>
      </w:r>
      <w:r>
        <w:rPr>
          <w:rFonts w:ascii="Arial" w:cs="Arial" w:eastAsia="Arial" w:hAnsi="Arial"/>
          <w:sz w:val="22"/>
          <w:szCs w:val="22"/>
          <w:u w:val="single" w:color="auto"/>
          <w:color w:val="auto"/>
        </w:rPr>
        <w:t>Section 11(a)</w:t>
      </w:r>
      <w:r>
        <w:rPr>
          <w:rFonts w:ascii="Arial" w:cs="Arial" w:eastAsia="Arial" w:hAnsi="Arial"/>
          <w:sz w:val="22"/>
          <w:szCs w:val="22"/>
          <w:color w:val="auto"/>
        </w:rPr>
        <w:t>, and (ii) the defense of an inconvenient forum to the maintenance of such action or proceeding in any such court;</w:t>
      </w:r>
    </w:p>
    <w:p>
      <w:pPr>
        <w:spacing w:after="0" w:line="188" w:lineRule="exact"/>
        <w:rPr>
          <w:rFonts w:ascii="Arial" w:cs="Arial" w:eastAsia="Arial" w:hAnsi="Arial"/>
          <w:sz w:val="22"/>
          <w:szCs w:val="22"/>
          <w:color w:val="auto"/>
        </w:rPr>
      </w:pPr>
    </w:p>
    <w:p>
      <w:pPr>
        <w:ind w:left="-540" w:right="220" w:firstLine="645"/>
        <w:spacing w:after="0" w:line="253" w:lineRule="auto"/>
        <w:tabs>
          <w:tab w:leader="none" w:pos="996"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consents to service of process in any action or proceeding arising out of or relating to any Loan Document, in the manner provided for notices (other than telecopier) in </w:t>
      </w:r>
      <w:r>
        <w:rPr>
          <w:rFonts w:ascii="Arial" w:cs="Arial" w:eastAsia="Arial" w:hAnsi="Arial"/>
          <w:sz w:val="22"/>
          <w:szCs w:val="22"/>
          <w:u w:val="single" w:color="auto"/>
          <w:color w:val="auto"/>
        </w:rPr>
        <w:t>Section 10.02</w:t>
      </w:r>
      <w:r>
        <w:rPr>
          <w:rFonts w:ascii="Arial" w:cs="Arial" w:eastAsia="Arial" w:hAnsi="Arial"/>
          <w:sz w:val="22"/>
          <w:szCs w:val="22"/>
          <w:color w:val="auto"/>
        </w:rPr>
        <w:t xml:space="preserve"> of the Amended Credit Agreement; and</w:t>
      </w:r>
    </w:p>
    <w:p>
      <w:pPr>
        <w:spacing w:after="0" w:line="185" w:lineRule="exact"/>
        <w:rPr>
          <w:rFonts w:ascii="Arial" w:cs="Arial" w:eastAsia="Arial" w:hAnsi="Arial"/>
          <w:sz w:val="22"/>
          <w:szCs w:val="22"/>
          <w:color w:val="auto"/>
        </w:rPr>
      </w:pPr>
    </w:p>
    <w:p>
      <w:pPr>
        <w:ind w:left="-540" w:right="160" w:firstLine="645"/>
        <w:spacing w:after="0" w:line="263" w:lineRule="auto"/>
        <w:tabs>
          <w:tab w:leader="none" w:pos="1009"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agrees that nothing herein shall affect the right to effect service of process in any other manner permitted by law or shall limit the right to sue in any other jurisdiction.</w:t>
      </w:r>
    </w:p>
    <w:p>
      <w:pPr>
        <w:spacing w:after="0" w:line="175" w:lineRule="exact"/>
        <w:rPr>
          <w:sz w:val="20"/>
          <w:szCs w:val="20"/>
          <w:color w:val="auto"/>
        </w:rPr>
      </w:pPr>
    </w:p>
    <w:p>
      <w:pPr>
        <w:ind w:left="2160"/>
        <w:spacing w:after="0"/>
        <w:rPr>
          <w:sz w:val="20"/>
          <w:szCs w:val="20"/>
          <w:color w:val="auto"/>
        </w:rPr>
      </w:pPr>
      <w:r>
        <w:rPr>
          <w:rFonts w:ascii="Arial" w:cs="Arial" w:eastAsia="Arial" w:hAnsi="Arial"/>
          <w:sz w:val="22"/>
          <w:szCs w:val="22"/>
          <w:i w:val="1"/>
          <w:iCs w:val="1"/>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543560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582" w:right="239" w:bottom="1440" w:gutter="0" w:footer="0" w:header="0"/>
        </w:sectPr>
      </w:pPr>
    </w:p>
    <w:bookmarkStart w:id="153" w:name="page154"/>
    <w:bookmarkEnd w:id="153"/>
    <w:p>
      <w:pPr>
        <w:ind w:right="180" w:firstLine="1297"/>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by their respective authorized officers as of the day and year first above written.</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JAZZ PHARMACEUTICALS, INC.</w:t>
      </w:r>
      <w:r>
        <w:rPr>
          <w:rFonts w:ascii="Arial" w:cs="Arial" w:eastAsia="Arial" w:hAnsi="Arial"/>
          <w:sz w:val="20"/>
          <w:szCs w:val="20"/>
          <w:color w:val="auto"/>
        </w:rPr>
        <w:t>, as U.S.</w:t>
      </w:r>
    </w:p>
    <w:p>
      <w:pPr>
        <w:spacing w:after="0" w:line="60"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Borrower</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40" w:type="dxa"/>
            <w:vAlign w:val="bottom"/>
          </w:tcPr>
          <w:p>
            <w:pPr>
              <w:spacing w:after="0"/>
              <w:rPr>
                <w:sz w:val="21"/>
                <w:szCs w:val="21"/>
                <w:color w:val="auto"/>
              </w:rPr>
            </w:pPr>
          </w:p>
        </w:tc>
        <w:tc>
          <w:tcPr>
            <w:tcW w:w="3760" w:type="dxa"/>
            <w:vAlign w:val="bottom"/>
          </w:tcPr>
          <w:p>
            <w:pPr>
              <w:ind w:left="2780"/>
              <w:spacing w:after="0"/>
              <w:rPr>
                <w:sz w:val="20"/>
                <w:szCs w:val="20"/>
                <w:color w:val="auto"/>
              </w:rPr>
            </w:pPr>
            <w:r>
              <w:rPr>
                <w:rFonts w:ascii="Arial" w:cs="Arial" w:eastAsia="Arial" w:hAnsi="Arial"/>
                <w:sz w:val="20"/>
                <w:szCs w:val="20"/>
                <w:color w:val="auto"/>
              </w:rPr>
              <w:t>By:</w:t>
            </w:r>
          </w:p>
        </w:tc>
        <w:tc>
          <w:tcPr>
            <w:tcW w:w="5020" w:type="dxa"/>
            <w:vAlign w:val="bottom"/>
          </w:tcPr>
          <w:p>
            <w:pPr>
              <w:ind w:left="40"/>
              <w:spacing w:after="0"/>
              <w:rPr>
                <w:sz w:val="20"/>
                <w:szCs w:val="20"/>
                <w:color w:val="auto"/>
              </w:rPr>
            </w:pPr>
            <w:r>
              <w:rPr>
                <w:rFonts w:ascii="Arial" w:cs="Arial" w:eastAsia="Arial" w:hAnsi="Arial"/>
                <w:sz w:val="20"/>
                <w:szCs w:val="20"/>
                <w:color w:val="auto"/>
              </w:rPr>
              <w:t>/s/ Matthew P. Young</w:t>
            </w: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64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Name: Matthew P. Young</w:t>
            </w:r>
          </w:p>
        </w:tc>
        <w:tc>
          <w:tcPr>
            <w:tcW w:w="0" w:type="dxa"/>
            <w:vAlign w:val="bottom"/>
          </w:tcPr>
          <w:p>
            <w:pPr>
              <w:spacing w:after="0"/>
              <w:rPr>
                <w:sz w:val="1"/>
                <w:szCs w:val="1"/>
                <w:color w:val="auto"/>
              </w:rPr>
            </w:pPr>
          </w:p>
        </w:tc>
      </w:tr>
      <w:tr>
        <w:trPr>
          <w:trHeight w:val="284"/>
        </w:trPr>
        <w:tc>
          <w:tcPr>
            <w:tcW w:w="26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Title: Chief Financial Officer</w:t>
            </w:r>
          </w:p>
        </w:tc>
        <w:tc>
          <w:tcPr>
            <w:tcW w:w="0" w:type="dxa"/>
            <w:vAlign w:val="bottom"/>
          </w:tcPr>
          <w:p>
            <w:pPr>
              <w:spacing w:after="0"/>
              <w:rPr>
                <w:sz w:val="1"/>
                <w:szCs w:val="1"/>
                <w:color w:val="auto"/>
              </w:rPr>
            </w:pPr>
          </w:p>
        </w:tc>
      </w:tr>
      <w:tr>
        <w:trPr>
          <w:trHeight w:val="608"/>
        </w:trPr>
        <w:tc>
          <w:tcPr>
            <w:tcW w:w="6400" w:type="dxa"/>
            <w:vAlign w:val="bottom"/>
            <w:gridSpan w:val="2"/>
          </w:tcPr>
          <w:p>
            <w:pPr>
              <w:ind w:left="40"/>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for and on behalf of</w:t>
            </w:r>
          </w:p>
        </w:tc>
        <w:tc>
          <w:tcPr>
            <w:tcW w:w="5020" w:type="dxa"/>
            <w:vAlign w:val="bottom"/>
          </w:tcPr>
          <w:p>
            <w:pPr>
              <w:ind w:left="40"/>
              <w:spacing w:after="0"/>
              <w:rPr>
                <w:sz w:val="20"/>
                <w:szCs w:val="20"/>
                <w:color w:val="auto"/>
              </w:rPr>
            </w:pPr>
            <w:r>
              <w:rPr>
                <w:rFonts w:ascii="Arial" w:cs="Arial" w:eastAsia="Arial" w:hAnsi="Arial"/>
                <w:sz w:val="20"/>
                <w:szCs w:val="20"/>
                <w:color w:val="auto"/>
              </w:rPr>
              <w:t>/s/ Shawn Mindus</w:t>
            </w:r>
          </w:p>
        </w:tc>
        <w:tc>
          <w:tcPr>
            <w:tcW w:w="0" w:type="dxa"/>
            <w:vAlign w:val="bottom"/>
          </w:tcPr>
          <w:p>
            <w:pPr>
              <w:spacing w:after="0"/>
              <w:rPr>
                <w:sz w:val="1"/>
                <w:szCs w:val="1"/>
                <w:color w:val="auto"/>
              </w:rPr>
            </w:pPr>
          </w:p>
        </w:tc>
      </w:tr>
      <w:tr>
        <w:trPr>
          <w:trHeight w:val="23"/>
        </w:trPr>
        <w:tc>
          <w:tcPr>
            <w:tcW w:w="640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JAZZ PHARMACEUTICALS PUBLIC</w:t>
            </w: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00" w:type="dxa"/>
            <w:vAlign w:val="bottom"/>
            <w:gridSpan w:val="2"/>
            <w:vMerge w:val="continue"/>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Shawn Mindus</w:t>
            </w:r>
          </w:p>
        </w:tc>
        <w:tc>
          <w:tcPr>
            <w:tcW w:w="0" w:type="dxa"/>
            <w:vAlign w:val="bottom"/>
          </w:tcPr>
          <w:p>
            <w:pPr>
              <w:spacing w:after="0"/>
              <w:rPr>
                <w:sz w:val="1"/>
                <w:szCs w:val="1"/>
                <w:color w:val="auto"/>
              </w:rPr>
            </w:pPr>
          </w:p>
        </w:tc>
      </w:tr>
      <w:tr>
        <w:trPr>
          <w:trHeight w:val="284"/>
        </w:trPr>
        <w:tc>
          <w:tcPr>
            <w:tcW w:w="6400" w:type="dxa"/>
            <w:vAlign w:val="bottom"/>
            <w:gridSpan w:val="2"/>
          </w:tcPr>
          <w:p>
            <w:pPr>
              <w:ind w:left="40"/>
              <w:spacing w:after="0"/>
              <w:rPr>
                <w:sz w:val="20"/>
                <w:szCs w:val="20"/>
                <w:color w:val="auto"/>
              </w:rPr>
            </w:pPr>
            <w:r>
              <w:rPr>
                <w:rFonts w:ascii="Arial" w:cs="Arial" w:eastAsia="Arial" w:hAnsi="Arial"/>
                <w:sz w:val="20"/>
                <w:szCs w:val="20"/>
                <w:b w:val="1"/>
                <w:bCs w:val="1"/>
                <w:color w:val="auto"/>
              </w:rPr>
              <w:t>LIMITED COMPANY</w:t>
            </w:r>
          </w:p>
        </w:tc>
        <w:tc>
          <w:tcPr>
            <w:tcW w:w="5020" w:type="dxa"/>
            <w:vAlign w:val="bottom"/>
          </w:tcPr>
          <w:p>
            <w:pPr>
              <w:ind w:left="40"/>
              <w:spacing w:after="0"/>
              <w:rPr>
                <w:sz w:val="20"/>
                <w:szCs w:val="20"/>
                <w:color w:val="auto"/>
              </w:rPr>
            </w:pPr>
            <w:r>
              <w:rPr>
                <w:rFonts w:ascii="Arial" w:cs="Arial" w:eastAsia="Arial" w:hAnsi="Arial"/>
                <w:sz w:val="20"/>
                <w:szCs w:val="20"/>
                <w:color w:val="auto"/>
              </w:rPr>
              <w:t>Company Secretary</w:t>
            </w:r>
          </w:p>
        </w:tc>
        <w:tc>
          <w:tcPr>
            <w:tcW w:w="0" w:type="dxa"/>
            <w:vAlign w:val="bottom"/>
          </w:tcPr>
          <w:p>
            <w:pPr>
              <w:spacing w:after="0"/>
              <w:rPr>
                <w:sz w:val="1"/>
                <w:szCs w:val="1"/>
                <w:color w:val="auto"/>
              </w:rPr>
            </w:pPr>
          </w:p>
        </w:tc>
      </w:tr>
      <w:tr>
        <w:trPr>
          <w:trHeight w:val="28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in the presence of:</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/s/ Adrienne Lonergan</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(Witness’ Signature)</w:t>
            </w: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/s/ Adrienne Lonergan</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(Witness’ Name)</w:t>
            </w: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/s/ Connaught House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(Witness’ Address)</w:t>
            </w: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/s/ Chartered Secretary</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(Witness’ Occupation)</w:t>
            </w: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8"/>
        </w:trPr>
        <w:tc>
          <w:tcPr>
            <w:tcW w:w="6400" w:type="dxa"/>
            <w:vAlign w:val="bottom"/>
            <w:gridSpan w:val="2"/>
          </w:tcPr>
          <w:p>
            <w:pPr>
              <w:ind w:left="40"/>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for and on behalf of</w:t>
            </w:r>
          </w:p>
        </w:tc>
        <w:tc>
          <w:tcPr>
            <w:tcW w:w="5020" w:type="dxa"/>
            <w:vAlign w:val="bottom"/>
          </w:tcPr>
          <w:p>
            <w:pPr>
              <w:ind w:left="40"/>
              <w:spacing w:after="0"/>
              <w:rPr>
                <w:sz w:val="20"/>
                <w:szCs w:val="20"/>
                <w:color w:val="auto"/>
              </w:rPr>
            </w:pPr>
            <w:r>
              <w:rPr>
                <w:rFonts w:ascii="Arial" w:cs="Arial" w:eastAsia="Arial" w:hAnsi="Arial"/>
                <w:sz w:val="20"/>
                <w:szCs w:val="20"/>
                <w:color w:val="auto"/>
              </w:rPr>
              <w:t>/s/ Bridget O’ Brien</w:t>
            </w:r>
          </w:p>
        </w:tc>
        <w:tc>
          <w:tcPr>
            <w:tcW w:w="0" w:type="dxa"/>
            <w:vAlign w:val="bottom"/>
          </w:tcPr>
          <w:p>
            <w:pPr>
              <w:spacing w:after="0"/>
              <w:rPr>
                <w:sz w:val="1"/>
                <w:szCs w:val="1"/>
                <w:color w:val="auto"/>
              </w:rPr>
            </w:pPr>
          </w:p>
        </w:tc>
      </w:tr>
      <w:tr>
        <w:trPr>
          <w:trHeight w:val="23"/>
        </w:trPr>
        <w:tc>
          <w:tcPr>
            <w:tcW w:w="640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JAZZ SECURITIES LIMITED</w:t>
            </w: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00" w:type="dxa"/>
            <w:vAlign w:val="bottom"/>
            <w:gridSpan w:val="2"/>
            <w:vMerge w:val="continue"/>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Bridget O’Brien</w:t>
            </w:r>
          </w:p>
        </w:tc>
        <w:tc>
          <w:tcPr>
            <w:tcW w:w="0" w:type="dxa"/>
            <w:vAlign w:val="bottom"/>
          </w:tcPr>
          <w:p>
            <w:pPr>
              <w:spacing w:after="0"/>
              <w:rPr>
                <w:sz w:val="1"/>
                <w:szCs w:val="1"/>
                <w:color w:val="auto"/>
              </w:rPr>
            </w:pPr>
          </w:p>
        </w:tc>
      </w:tr>
      <w:tr>
        <w:trPr>
          <w:trHeight w:val="284"/>
        </w:trPr>
        <w:tc>
          <w:tcPr>
            <w:tcW w:w="26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500"/>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in the presence of:</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/s/ Adrienne Lonergan</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(Witness’ Signature)</w:t>
            </w: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/s/ Adrienne Lonergan</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(Witness’ Name)</w:t>
            </w: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/s/ Connaught House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(Witness’ Address)</w:t>
            </w: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/s/ Chartered Secretary</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(Witness’ Occupation)</w:t>
            </w: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6" w:right="239" w:bottom="354"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354"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256"/>
        </w:trPr>
        <w:tc>
          <w:tcPr>
            <w:tcW w:w="3620" w:type="dxa"/>
            <w:vAlign w:val="bottom"/>
            <w:gridSpan w:val="2"/>
          </w:tcPr>
          <w:p>
            <w:pPr>
              <w:ind w:left="40"/>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for and on behalf of</w:t>
            </w:r>
          </w:p>
        </w:tc>
        <w:tc>
          <w:tcPr>
            <w:tcW w:w="278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/s/ Bridget O'Brien</w:t>
            </w:r>
          </w:p>
        </w:tc>
        <w:tc>
          <w:tcPr>
            <w:tcW w:w="0" w:type="dxa"/>
            <w:vAlign w:val="bottom"/>
          </w:tcPr>
          <w:p>
            <w:pPr>
              <w:spacing w:after="0"/>
              <w:rPr>
                <w:sz w:val="1"/>
                <w:szCs w:val="1"/>
                <w:color w:val="auto"/>
              </w:rPr>
            </w:pPr>
          </w:p>
        </w:tc>
      </w:tr>
      <w:tr>
        <w:trPr>
          <w:trHeight w:val="23"/>
        </w:trPr>
        <w:tc>
          <w:tcPr>
            <w:tcW w:w="362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JAZZ PHARMACEUTICALS</w:t>
            </w:r>
          </w:p>
        </w:tc>
        <w:tc>
          <w:tcPr>
            <w:tcW w:w="27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620" w:type="dxa"/>
            <w:vAlign w:val="bottom"/>
            <w:gridSpan w:val="2"/>
            <w:vMerge w:val="continue"/>
          </w:tcPr>
          <w:p>
            <w:pPr>
              <w:spacing w:after="0"/>
              <w:rPr>
                <w:sz w:val="22"/>
                <w:szCs w:val="22"/>
                <w:color w:val="auto"/>
              </w:rPr>
            </w:pPr>
          </w:p>
        </w:tc>
        <w:tc>
          <w:tcPr>
            <w:tcW w:w="278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Bridget O'Brien</w:t>
            </w:r>
          </w:p>
        </w:tc>
        <w:tc>
          <w:tcPr>
            <w:tcW w:w="0" w:type="dxa"/>
            <w:vAlign w:val="bottom"/>
          </w:tcPr>
          <w:p>
            <w:pPr>
              <w:spacing w:after="0"/>
              <w:rPr>
                <w:sz w:val="1"/>
                <w:szCs w:val="1"/>
                <w:color w:val="auto"/>
              </w:rPr>
            </w:pPr>
          </w:p>
        </w:tc>
      </w:tr>
      <w:tr>
        <w:trPr>
          <w:trHeight w:val="284"/>
        </w:trPr>
        <w:tc>
          <w:tcPr>
            <w:tcW w:w="3620" w:type="dxa"/>
            <w:vAlign w:val="bottom"/>
            <w:gridSpan w:val="2"/>
          </w:tcPr>
          <w:p>
            <w:pPr>
              <w:ind w:left="40"/>
              <w:spacing w:after="0"/>
              <w:rPr>
                <w:sz w:val="20"/>
                <w:szCs w:val="20"/>
                <w:color w:val="auto"/>
              </w:rPr>
            </w:pPr>
            <w:r>
              <w:rPr>
                <w:rFonts w:ascii="Arial" w:cs="Arial" w:eastAsia="Arial" w:hAnsi="Arial"/>
                <w:sz w:val="20"/>
                <w:szCs w:val="20"/>
                <w:b w:val="1"/>
                <w:bCs w:val="1"/>
                <w:color w:val="auto"/>
              </w:rPr>
              <w:t>IRELAND LIMITED</w:t>
            </w:r>
          </w:p>
        </w:tc>
        <w:tc>
          <w:tcPr>
            <w:tcW w:w="27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608"/>
        </w:trPr>
        <w:tc>
          <w:tcPr>
            <w:tcW w:w="3620" w:type="dxa"/>
            <w:vAlign w:val="bottom"/>
            <w:gridSpan w:val="2"/>
          </w:tcPr>
          <w:p>
            <w:pPr>
              <w:ind w:left="40"/>
              <w:spacing w:after="0"/>
              <w:rPr>
                <w:sz w:val="20"/>
                <w:szCs w:val="20"/>
                <w:color w:val="auto"/>
              </w:rPr>
            </w:pPr>
            <w:r>
              <w:rPr>
                <w:rFonts w:ascii="Arial" w:cs="Arial" w:eastAsia="Arial" w:hAnsi="Arial"/>
                <w:sz w:val="20"/>
                <w:szCs w:val="20"/>
                <w:color w:val="auto"/>
              </w:rPr>
              <w:t>in the presence of:</w:t>
            </w:r>
          </w:p>
        </w:tc>
        <w:tc>
          <w:tcPr>
            <w:tcW w:w="27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3620" w:type="dxa"/>
            <w:vAlign w:val="bottom"/>
            <w:gridSpan w:val="2"/>
          </w:tcPr>
          <w:p>
            <w:pPr>
              <w:ind w:left="40"/>
              <w:spacing w:after="0"/>
              <w:rPr>
                <w:sz w:val="20"/>
                <w:szCs w:val="20"/>
                <w:color w:val="auto"/>
              </w:rPr>
            </w:pPr>
            <w:r>
              <w:rPr>
                <w:rFonts w:ascii="Arial" w:cs="Arial" w:eastAsia="Arial" w:hAnsi="Arial"/>
                <w:sz w:val="20"/>
                <w:szCs w:val="20"/>
                <w:color w:val="auto"/>
              </w:rPr>
              <w:t>/s/ Adrienne Lonergan</w:t>
            </w:r>
          </w:p>
        </w:tc>
        <w:tc>
          <w:tcPr>
            <w:tcW w:w="27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620" w:type="dxa"/>
            <w:vAlign w:val="bottom"/>
            <w:gridSpan w:val="2"/>
          </w:tcPr>
          <w:p>
            <w:pPr>
              <w:ind w:left="40"/>
              <w:spacing w:after="0"/>
              <w:rPr>
                <w:sz w:val="20"/>
                <w:szCs w:val="20"/>
                <w:color w:val="auto"/>
              </w:rPr>
            </w:pPr>
            <w:r>
              <w:rPr>
                <w:rFonts w:ascii="Arial" w:cs="Arial" w:eastAsia="Arial" w:hAnsi="Arial"/>
                <w:sz w:val="20"/>
                <w:szCs w:val="20"/>
                <w:color w:val="auto"/>
              </w:rPr>
              <w:t>(Witness’ Signature)</w:t>
            </w:r>
          </w:p>
        </w:tc>
        <w:tc>
          <w:tcPr>
            <w:tcW w:w="278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4"/>
        </w:trPr>
        <w:tc>
          <w:tcPr>
            <w:tcW w:w="3620" w:type="dxa"/>
            <w:vAlign w:val="bottom"/>
            <w:gridSpan w:val="2"/>
          </w:tcPr>
          <w:p>
            <w:pPr>
              <w:ind w:left="40"/>
              <w:spacing w:after="0"/>
              <w:rPr>
                <w:sz w:val="20"/>
                <w:szCs w:val="20"/>
                <w:color w:val="auto"/>
              </w:rPr>
            </w:pPr>
            <w:r>
              <w:rPr>
                <w:rFonts w:ascii="Arial" w:cs="Arial" w:eastAsia="Arial" w:hAnsi="Arial"/>
                <w:sz w:val="20"/>
                <w:szCs w:val="20"/>
                <w:color w:val="auto"/>
              </w:rPr>
              <w:t>/s/ Adrienne Lonergan</w:t>
            </w:r>
          </w:p>
        </w:tc>
        <w:tc>
          <w:tcPr>
            <w:tcW w:w="27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620" w:type="dxa"/>
            <w:vAlign w:val="bottom"/>
            <w:gridSpan w:val="2"/>
          </w:tcPr>
          <w:p>
            <w:pPr>
              <w:ind w:left="40"/>
              <w:spacing w:after="0"/>
              <w:rPr>
                <w:sz w:val="20"/>
                <w:szCs w:val="20"/>
                <w:color w:val="auto"/>
              </w:rPr>
            </w:pPr>
            <w:r>
              <w:rPr>
                <w:rFonts w:ascii="Arial" w:cs="Arial" w:eastAsia="Arial" w:hAnsi="Arial"/>
                <w:sz w:val="20"/>
                <w:szCs w:val="20"/>
                <w:color w:val="auto"/>
              </w:rPr>
              <w:t>(Witness’ Name)</w:t>
            </w:r>
          </w:p>
        </w:tc>
        <w:tc>
          <w:tcPr>
            <w:tcW w:w="278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4"/>
        </w:trPr>
        <w:tc>
          <w:tcPr>
            <w:tcW w:w="3620" w:type="dxa"/>
            <w:vAlign w:val="bottom"/>
            <w:gridSpan w:val="2"/>
          </w:tcPr>
          <w:p>
            <w:pPr>
              <w:ind w:left="40"/>
              <w:spacing w:after="0"/>
              <w:rPr>
                <w:sz w:val="20"/>
                <w:szCs w:val="20"/>
                <w:color w:val="auto"/>
              </w:rPr>
            </w:pPr>
            <w:r>
              <w:rPr>
                <w:rFonts w:ascii="Arial" w:cs="Arial" w:eastAsia="Arial" w:hAnsi="Arial"/>
                <w:sz w:val="20"/>
                <w:szCs w:val="20"/>
                <w:color w:val="auto"/>
              </w:rPr>
              <w:t>/s/ Connaught House</w:t>
            </w:r>
          </w:p>
        </w:tc>
        <w:tc>
          <w:tcPr>
            <w:tcW w:w="27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620" w:type="dxa"/>
            <w:vAlign w:val="bottom"/>
            <w:gridSpan w:val="2"/>
          </w:tcPr>
          <w:p>
            <w:pPr>
              <w:ind w:left="40"/>
              <w:spacing w:after="0"/>
              <w:rPr>
                <w:sz w:val="20"/>
                <w:szCs w:val="20"/>
                <w:color w:val="auto"/>
              </w:rPr>
            </w:pPr>
            <w:r>
              <w:rPr>
                <w:rFonts w:ascii="Arial" w:cs="Arial" w:eastAsia="Arial" w:hAnsi="Arial"/>
                <w:sz w:val="20"/>
                <w:szCs w:val="20"/>
                <w:color w:val="auto"/>
              </w:rPr>
              <w:t>(Witness’ Address)</w:t>
            </w:r>
          </w:p>
        </w:tc>
        <w:tc>
          <w:tcPr>
            <w:tcW w:w="278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4"/>
        </w:trPr>
        <w:tc>
          <w:tcPr>
            <w:tcW w:w="3620" w:type="dxa"/>
            <w:vAlign w:val="bottom"/>
            <w:gridSpan w:val="2"/>
          </w:tcPr>
          <w:p>
            <w:pPr>
              <w:ind w:left="40"/>
              <w:spacing w:after="0"/>
              <w:rPr>
                <w:sz w:val="20"/>
                <w:szCs w:val="20"/>
                <w:color w:val="auto"/>
              </w:rPr>
            </w:pPr>
            <w:r>
              <w:rPr>
                <w:rFonts w:ascii="Arial" w:cs="Arial" w:eastAsia="Arial" w:hAnsi="Arial"/>
                <w:sz w:val="20"/>
                <w:szCs w:val="20"/>
                <w:color w:val="auto"/>
              </w:rPr>
              <w:t>/s/ Chartered Secretary</w:t>
            </w:r>
          </w:p>
        </w:tc>
        <w:tc>
          <w:tcPr>
            <w:tcW w:w="27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620" w:type="dxa"/>
            <w:vAlign w:val="bottom"/>
            <w:gridSpan w:val="2"/>
          </w:tcPr>
          <w:p>
            <w:pPr>
              <w:ind w:left="40"/>
              <w:spacing w:after="0"/>
              <w:rPr>
                <w:sz w:val="20"/>
                <w:szCs w:val="20"/>
                <w:color w:val="auto"/>
              </w:rPr>
            </w:pPr>
            <w:r>
              <w:rPr>
                <w:rFonts w:ascii="Arial" w:cs="Arial" w:eastAsia="Arial" w:hAnsi="Arial"/>
                <w:sz w:val="20"/>
                <w:szCs w:val="20"/>
                <w:color w:val="auto"/>
              </w:rPr>
              <w:t>(Witness’ Occupation)</w:t>
            </w:r>
          </w:p>
        </w:tc>
        <w:tc>
          <w:tcPr>
            <w:tcW w:w="278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8"/>
        </w:trPr>
        <w:tc>
          <w:tcPr>
            <w:tcW w:w="3620" w:type="dxa"/>
            <w:vAlign w:val="bottom"/>
            <w:gridSpan w:val="2"/>
          </w:tcPr>
          <w:p>
            <w:pPr>
              <w:ind w:left="40"/>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for and on behalf of</w:t>
            </w:r>
          </w:p>
        </w:tc>
        <w:tc>
          <w:tcPr>
            <w:tcW w:w="27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/s/ Hugh Kiely</w:t>
            </w:r>
          </w:p>
        </w:tc>
        <w:tc>
          <w:tcPr>
            <w:tcW w:w="0" w:type="dxa"/>
            <w:vAlign w:val="bottom"/>
          </w:tcPr>
          <w:p>
            <w:pPr>
              <w:spacing w:after="0"/>
              <w:rPr>
                <w:sz w:val="1"/>
                <w:szCs w:val="1"/>
                <w:color w:val="auto"/>
              </w:rPr>
            </w:pPr>
          </w:p>
        </w:tc>
      </w:tr>
      <w:tr>
        <w:trPr>
          <w:trHeight w:val="23"/>
        </w:trPr>
        <w:tc>
          <w:tcPr>
            <w:tcW w:w="362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JAZZ FINANCING I LIMITED</w:t>
            </w:r>
          </w:p>
        </w:tc>
        <w:tc>
          <w:tcPr>
            <w:tcW w:w="27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620" w:type="dxa"/>
            <w:vAlign w:val="bottom"/>
            <w:gridSpan w:val="2"/>
            <w:vMerge w:val="continue"/>
          </w:tcPr>
          <w:p>
            <w:pPr>
              <w:spacing w:after="0"/>
              <w:rPr>
                <w:sz w:val="22"/>
                <w:szCs w:val="22"/>
                <w:color w:val="auto"/>
              </w:rPr>
            </w:pPr>
          </w:p>
        </w:tc>
        <w:tc>
          <w:tcPr>
            <w:tcW w:w="278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Hugh Kiely</w:t>
            </w:r>
          </w:p>
        </w:tc>
        <w:tc>
          <w:tcPr>
            <w:tcW w:w="0" w:type="dxa"/>
            <w:vAlign w:val="bottom"/>
          </w:tcPr>
          <w:p>
            <w:pPr>
              <w:spacing w:after="0"/>
              <w:rPr>
                <w:sz w:val="1"/>
                <w:szCs w:val="1"/>
                <w:color w:val="auto"/>
              </w:rPr>
            </w:pPr>
          </w:p>
        </w:tc>
      </w:tr>
      <w:tr>
        <w:trPr>
          <w:trHeight w:val="284"/>
        </w:trPr>
        <w:tc>
          <w:tcPr>
            <w:tcW w:w="2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500"/>
        </w:trPr>
        <w:tc>
          <w:tcPr>
            <w:tcW w:w="3620" w:type="dxa"/>
            <w:vAlign w:val="bottom"/>
            <w:gridSpan w:val="2"/>
          </w:tcPr>
          <w:p>
            <w:pPr>
              <w:ind w:left="40"/>
              <w:spacing w:after="0"/>
              <w:rPr>
                <w:sz w:val="20"/>
                <w:szCs w:val="20"/>
                <w:color w:val="auto"/>
              </w:rPr>
            </w:pPr>
            <w:r>
              <w:rPr>
                <w:rFonts w:ascii="Arial" w:cs="Arial" w:eastAsia="Arial" w:hAnsi="Arial"/>
                <w:sz w:val="20"/>
                <w:szCs w:val="20"/>
                <w:color w:val="auto"/>
              </w:rPr>
              <w:t>in the presence of:</w:t>
            </w:r>
          </w:p>
        </w:tc>
        <w:tc>
          <w:tcPr>
            <w:tcW w:w="27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3620" w:type="dxa"/>
            <w:vAlign w:val="bottom"/>
            <w:gridSpan w:val="2"/>
          </w:tcPr>
          <w:p>
            <w:pPr>
              <w:ind w:left="40"/>
              <w:spacing w:after="0"/>
              <w:rPr>
                <w:sz w:val="20"/>
                <w:szCs w:val="20"/>
                <w:color w:val="auto"/>
              </w:rPr>
            </w:pPr>
            <w:r>
              <w:rPr>
                <w:rFonts w:ascii="Arial" w:cs="Arial" w:eastAsia="Arial" w:hAnsi="Arial"/>
                <w:sz w:val="20"/>
                <w:szCs w:val="20"/>
                <w:color w:val="auto"/>
              </w:rPr>
              <w:t>/s/ Adrienne Lonergan</w:t>
            </w:r>
          </w:p>
        </w:tc>
        <w:tc>
          <w:tcPr>
            <w:tcW w:w="27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620" w:type="dxa"/>
            <w:vAlign w:val="bottom"/>
            <w:gridSpan w:val="2"/>
          </w:tcPr>
          <w:p>
            <w:pPr>
              <w:ind w:left="40"/>
              <w:spacing w:after="0"/>
              <w:rPr>
                <w:sz w:val="20"/>
                <w:szCs w:val="20"/>
                <w:color w:val="auto"/>
              </w:rPr>
            </w:pPr>
            <w:r>
              <w:rPr>
                <w:rFonts w:ascii="Arial" w:cs="Arial" w:eastAsia="Arial" w:hAnsi="Arial"/>
                <w:sz w:val="20"/>
                <w:szCs w:val="20"/>
                <w:color w:val="auto"/>
              </w:rPr>
              <w:t>(Witness’ Signature)</w:t>
            </w:r>
          </w:p>
        </w:tc>
        <w:tc>
          <w:tcPr>
            <w:tcW w:w="278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4"/>
        </w:trPr>
        <w:tc>
          <w:tcPr>
            <w:tcW w:w="3620" w:type="dxa"/>
            <w:vAlign w:val="bottom"/>
            <w:gridSpan w:val="2"/>
          </w:tcPr>
          <w:p>
            <w:pPr>
              <w:ind w:left="40"/>
              <w:spacing w:after="0"/>
              <w:rPr>
                <w:sz w:val="20"/>
                <w:szCs w:val="20"/>
                <w:color w:val="auto"/>
              </w:rPr>
            </w:pPr>
            <w:r>
              <w:rPr>
                <w:rFonts w:ascii="Arial" w:cs="Arial" w:eastAsia="Arial" w:hAnsi="Arial"/>
                <w:sz w:val="20"/>
                <w:szCs w:val="20"/>
                <w:color w:val="auto"/>
              </w:rPr>
              <w:t>/s/ Adrienne Lonergan</w:t>
            </w:r>
          </w:p>
        </w:tc>
        <w:tc>
          <w:tcPr>
            <w:tcW w:w="27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620" w:type="dxa"/>
            <w:vAlign w:val="bottom"/>
            <w:gridSpan w:val="2"/>
          </w:tcPr>
          <w:p>
            <w:pPr>
              <w:ind w:left="40"/>
              <w:spacing w:after="0"/>
              <w:rPr>
                <w:sz w:val="20"/>
                <w:szCs w:val="20"/>
                <w:color w:val="auto"/>
              </w:rPr>
            </w:pPr>
            <w:r>
              <w:rPr>
                <w:rFonts w:ascii="Arial" w:cs="Arial" w:eastAsia="Arial" w:hAnsi="Arial"/>
                <w:sz w:val="20"/>
                <w:szCs w:val="20"/>
                <w:color w:val="auto"/>
              </w:rPr>
              <w:t>(Witness’ Name)</w:t>
            </w:r>
          </w:p>
        </w:tc>
        <w:tc>
          <w:tcPr>
            <w:tcW w:w="278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4"/>
        </w:trPr>
        <w:tc>
          <w:tcPr>
            <w:tcW w:w="3620" w:type="dxa"/>
            <w:vAlign w:val="bottom"/>
            <w:gridSpan w:val="2"/>
          </w:tcPr>
          <w:p>
            <w:pPr>
              <w:ind w:left="40"/>
              <w:spacing w:after="0"/>
              <w:rPr>
                <w:sz w:val="20"/>
                <w:szCs w:val="20"/>
                <w:color w:val="auto"/>
              </w:rPr>
            </w:pPr>
            <w:r>
              <w:rPr>
                <w:rFonts w:ascii="Arial" w:cs="Arial" w:eastAsia="Arial" w:hAnsi="Arial"/>
                <w:sz w:val="20"/>
                <w:szCs w:val="20"/>
                <w:color w:val="auto"/>
              </w:rPr>
              <w:t>/s/ Connaught House</w:t>
            </w:r>
          </w:p>
        </w:tc>
        <w:tc>
          <w:tcPr>
            <w:tcW w:w="27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620" w:type="dxa"/>
            <w:vAlign w:val="bottom"/>
            <w:gridSpan w:val="2"/>
          </w:tcPr>
          <w:p>
            <w:pPr>
              <w:ind w:left="40"/>
              <w:spacing w:after="0"/>
              <w:rPr>
                <w:sz w:val="20"/>
                <w:szCs w:val="20"/>
                <w:color w:val="auto"/>
              </w:rPr>
            </w:pPr>
            <w:r>
              <w:rPr>
                <w:rFonts w:ascii="Arial" w:cs="Arial" w:eastAsia="Arial" w:hAnsi="Arial"/>
                <w:sz w:val="20"/>
                <w:szCs w:val="20"/>
                <w:color w:val="auto"/>
              </w:rPr>
              <w:t>(Witness’ Address)</w:t>
            </w:r>
          </w:p>
        </w:tc>
        <w:tc>
          <w:tcPr>
            <w:tcW w:w="278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4"/>
        </w:trPr>
        <w:tc>
          <w:tcPr>
            <w:tcW w:w="3620" w:type="dxa"/>
            <w:vAlign w:val="bottom"/>
            <w:gridSpan w:val="2"/>
          </w:tcPr>
          <w:p>
            <w:pPr>
              <w:ind w:left="40"/>
              <w:spacing w:after="0"/>
              <w:rPr>
                <w:sz w:val="20"/>
                <w:szCs w:val="20"/>
                <w:color w:val="auto"/>
              </w:rPr>
            </w:pPr>
            <w:r>
              <w:rPr>
                <w:rFonts w:ascii="Arial" w:cs="Arial" w:eastAsia="Arial" w:hAnsi="Arial"/>
                <w:sz w:val="20"/>
                <w:szCs w:val="20"/>
                <w:color w:val="auto"/>
              </w:rPr>
              <w:t>/s/ Chartered Secretary</w:t>
            </w:r>
          </w:p>
        </w:tc>
        <w:tc>
          <w:tcPr>
            <w:tcW w:w="27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620" w:type="dxa"/>
            <w:vAlign w:val="bottom"/>
            <w:gridSpan w:val="2"/>
          </w:tcPr>
          <w:p>
            <w:pPr>
              <w:ind w:left="40"/>
              <w:spacing w:after="0"/>
              <w:rPr>
                <w:sz w:val="20"/>
                <w:szCs w:val="20"/>
                <w:color w:val="auto"/>
              </w:rPr>
            </w:pPr>
            <w:r>
              <w:rPr>
                <w:rFonts w:ascii="Arial" w:cs="Arial" w:eastAsia="Arial" w:hAnsi="Arial"/>
                <w:sz w:val="20"/>
                <w:szCs w:val="20"/>
                <w:color w:val="auto"/>
              </w:rPr>
              <w:t>(Witness’ Occupation)</w:t>
            </w:r>
          </w:p>
        </w:tc>
        <w:tc>
          <w:tcPr>
            <w:tcW w:w="278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2"/>
        </w:trPr>
        <w:tc>
          <w:tcPr>
            <w:tcW w:w="2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0" w:type="dxa"/>
            <w:vAlign w:val="bottom"/>
            <w:gridSpan w:val="2"/>
          </w:tcPr>
          <w:p>
            <w:pPr>
              <w:ind w:left="820"/>
              <w:spacing w:after="0"/>
              <w:rPr>
                <w:sz w:val="20"/>
                <w:szCs w:val="20"/>
                <w:color w:val="auto"/>
              </w:rPr>
            </w:pPr>
            <w:r>
              <w:rPr>
                <w:rFonts w:ascii="Arial" w:cs="Arial" w:eastAsia="Arial" w:hAnsi="Arial"/>
                <w:sz w:val="20"/>
                <w:szCs w:val="20"/>
                <w:color w:val="auto"/>
              </w:rPr>
              <w:t>[Signature Page to Amendment]</w:t>
            </w:r>
          </w:p>
        </w:tc>
        <w:tc>
          <w:tcPr>
            <w:tcW w:w="0" w:type="dxa"/>
            <w:vAlign w:val="bottom"/>
          </w:tcPr>
          <w:p>
            <w:pPr>
              <w:spacing w:after="0"/>
              <w:rPr>
                <w:sz w:val="1"/>
                <w:szCs w:val="1"/>
                <w:color w:val="auto"/>
              </w:rPr>
            </w:pPr>
          </w:p>
        </w:tc>
      </w:tr>
      <w:tr>
        <w:trPr>
          <w:trHeight w:val="111"/>
        </w:trPr>
        <w:tc>
          <w:tcPr>
            <w:tcW w:w="26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780" w:type="dxa"/>
            <w:vAlign w:val="bottom"/>
            <w:tcBorders>
              <w:bottom w:val="single" w:sz="8" w:color="9A9A9A"/>
            </w:tcBorders>
          </w:tcPr>
          <w:p>
            <w:pPr>
              <w:spacing w:after="0"/>
              <w:rPr>
                <w:sz w:val="9"/>
                <w:szCs w:val="9"/>
                <w:color w:val="auto"/>
              </w:rPr>
            </w:pPr>
          </w:p>
        </w:tc>
        <w:tc>
          <w:tcPr>
            <w:tcW w:w="5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56"/>
        </w:trPr>
        <w:tc>
          <w:tcPr>
            <w:tcW w:w="6400" w:type="dxa"/>
            <w:vAlign w:val="bottom"/>
            <w:gridSpan w:val="2"/>
          </w:tcPr>
          <w:p>
            <w:pPr>
              <w:ind w:left="40"/>
              <w:spacing w:after="0"/>
              <w:rPr>
                <w:sz w:val="20"/>
                <w:szCs w:val="20"/>
                <w:color w:val="auto"/>
              </w:rPr>
            </w:pPr>
            <w:r>
              <w:rPr>
                <w:rFonts w:ascii="Arial" w:cs="Arial" w:eastAsia="Arial" w:hAnsi="Arial"/>
                <w:sz w:val="20"/>
                <w:szCs w:val="20"/>
                <w:b w:val="1"/>
                <w:bCs w:val="1"/>
                <w:color w:val="auto"/>
              </w:rPr>
              <w:t xml:space="preserve">GIVEN </w:t>
            </w:r>
            <w:r>
              <w:rPr>
                <w:rFonts w:ascii="Arial" w:cs="Arial" w:eastAsia="Arial" w:hAnsi="Arial"/>
                <w:sz w:val="20"/>
                <w:szCs w:val="20"/>
                <w:color w:val="auto"/>
              </w:rPr>
              <w:t>under the Common Seal of</w:t>
            </w:r>
          </w:p>
        </w:tc>
        <w:tc>
          <w:tcPr>
            <w:tcW w:w="5020" w:type="dxa"/>
            <w:vAlign w:val="bottom"/>
          </w:tcPr>
          <w:p>
            <w:pPr>
              <w:ind w:left="40"/>
              <w:spacing w:after="0"/>
              <w:rPr>
                <w:sz w:val="20"/>
                <w:szCs w:val="20"/>
                <w:color w:val="auto"/>
              </w:rPr>
            </w:pPr>
            <w:r>
              <w:rPr>
                <w:rFonts w:ascii="Arial" w:cs="Arial" w:eastAsia="Arial" w:hAnsi="Arial"/>
                <w:sz w:val="20"/>
                <w:szCs w:val="20"/>
                <w:color w:val="auto"/>
              </w:rPr>
              <w:t>{Common Seal}</w:t>
            </w:r>
          </w:p>
        </w:tc>
      </w:tr>
      <w:tr>
        <w:trPr>
          <w:trHeight w:val="284"/>
        </w:trPr>
        <w:tc>
          <w:tcPr>
            <w:tcW w:w="6400" w:type="dxa"/>
            <w:vAlign w:val="bottom"/>
            <w:gridSpan w:val="2"/>
          </w:tcPr>
          <w:p>
            <w:pPr>
              <w:ind w:left="40"/>
              <w:spacing w:after="0"/>
              <w:rPr>
                <w:sz w:val="20"/>
                <w:szCs w:val="20"/>
                <w:color w:val="auto"/>
              </w:rPr>
            </w:pPr>
            <w:r>
              <w:rPr>
                <w:rFonts w:ascii="Arial" w:cs="Arial" w:eastAsia="Arial" w:hAnsi="Arial"/>
                <w:sz w:val="20"/>
                <w:szCs w:val="20"/>
                <w:b w:val="1"/>
                <w:bCs w:val="1"/>
                <w:color w:val="auto"/>
              </w:rPr>
              <w:t>JAZZ CAPITAL LIMITED</w:t>
            </w:r>
          </w:p>
        </w:tc>
        <w:tc>
          <w:tcPr>
            <w:tcW w:w="5020" w:type="dxa"/>
            <w:vAlign w:val="bottom"/>
          </w:tcPr>
          <w:p>
            <w:pPr>
              <w:spacing w:after="0"/>
              <w:rPr>
                <w:sz w:val="24"/>
                <w:szCs w:val="24"/>
                <w:color w:val="auto"/>
              </w:rPr>
            </w:pPr>
          </w:p>
        </w:tc>
      </w:tr>
      <w:tr>
        <w:trPr>
          <w:trHeight w:val="28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b w:val="1"/>
                <w:bCs w:val="1"/>
                <w:color w:val="auto"/>
              </w:rPr>
              <w:t>DELIVERED AS A DEED</w:t>
            </w:r>
          </w:p>
        </w:tc>
        <w:tc>
          <w:tcPr>
            <w:tcW w:w="5020" w:type="dxa"/>
            <w:vAlign w:val="bottom"/>
          </w:tcPr>
          <w:p>
            <w:pPr>
              <w:spacing w:after="0"/>
              <w:rPr>
                <w:sz w:val="24"/>
                <w:szCs w:val="24"/>
                <w:color w:val="auto"/>
              </w:rPr>
            </w:pPr>
          </w:p>
        </w:tc>
      </w:tr>
      <w:tr>
        <w:trPr>
          <w:trHeight w:val="284"/>
        </w:trPr>
        <w:tc>
          <w:tcPr>
            <w:tcW w:w="6400" w:type="dxa"/>
            <w:vAlign w:val="bottom"/>
            <w:gridSpan w:val="2"/>
          </w:tcPr>
          <w:p>
            <w:pPr>
              <w:ind w:left="40"/>
              <w:spacing w:after="0"/>
              <w:rPr>
                <w:sz w:val="20"/>
                <w:szCs w:val="20"/>
                <w:color w:val="auto"/>
              </w:rPr>
            </w:pPr>
            <w:r>
              <w:rPr>
                <w:rFonts w:ascii="Arial" w:cs="Arial" w:eastAsia="Arial" w:hAnsi="Arial"/>
                <w:sz w:val="20"/>
                <w:szCs w:val="20"/>
                <w:b w:val="1"/>
                <w:bCs w:val="1"/>
                <w:color w:val="auto"/>
              </w:rPr>
              <w:t>in the presence of:</w:t>
            </w:r>
          </w:p>
        </w:tc>
        <w:tc>
          <w:tcPr>
            <w:tcW w:w="5020" w:type="dxa"/>
            <w:vAlign w:val="bottom"/>
          </w:tcPr>
          <w:p>
            <w:pPr>
              <w:spacing w:after="0"/>
              <w:rPr>
                <w:sz w:val="24"/>
                <w:szCs w:val="24"/>
                <w:color w:val="auto"/>
              </w:rPr>
            </w:pPr>
          </w:p>
        </w:tc>
      </w:tr>
      <w:tr>
        <w:trPr>
          <w:trHeight w:val="82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/s/ Adrienne Lonergan</w:t>
            </w:r>
          </w:p>
        </w:tc>
        <w:tc>
          <w:tcPr>
            <w:tcW w:w="5020" w:type="dxa"/>
            <w:vAlign w:val="bottom"/>
          </w:tcPr>
          <w:p>
            <w:pPr>
              <w:ind w:left="40"/>
              <w:spacing w:after="0"/>
              <w:rPr>
                <w:sz w:val="20"/>
                <w:szCs w:val="20"/>
                <w:color w:val="auto"/>
              </w:rPr>
            </w:pPr>
            <w:r>
              <w:rPr>
                <w:rFonts w:ascii="Arial" w:cs="Arial" w:eastAsia="Arial" w:hAnsi="Arial"/>
                <w:sz w:val="20"/>
                <w:szCs w:val="20"/>
                <w:color w:val="auto"/>
              </w:rPr>
              <w:t>/s/ Bridget O’Brien</w:t>
            </w:r>
          </w:p>
        </w:tc>
      </w:tr>
      <w:tr>
        <w:trPr>
          <w:trHeight w:val="23"/>
        </w:trPr>
        <w:tc>
          <w:tcPr>
            <w:tcW w:w="264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5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Witness Name</w:t>
            </w:r>
          </w:p>
        </w:tc>
        <w:tc>
          <w:tcPr>
            <w:tcW w:w="5020" w:type="dxa"/>
            <w:vAlign w:val="bottom"/>
          </w:tcPr>
          <w:p>
            <w:pPr>
              <w:ind w:left="40"/>
              <w:spacing w:after="0"/>
              <w:rPr>
                <w:sz w:val="20"/>
                <w:szCs w:val="20"/>
                <w:color w:val="auto"/>
              </w:rPr>
            </w:pPr>
            <w:r>
              <w:rPr>
                <w:rFonts w:ascii="Arial" w:cs="Arial" w:eastAsia="Arial" w:hAnsi="Arial"/>
                <w:sz w:val="20"/>
                <w:szCs w:val="20"/>
                <w:color w:val="auto"/>
              </w:rPr>
              <w:t>Name: Bridget O’Brien</w:t>
            </w:r>
          </w:p>
        </w:tc>
      </w:tr>
      <w:tr>
        <w:trPr>
          <w:trHeight w:val="284"/>
        </w:trPr>
        <w:tc>
          <w:tcPr>
            <w:tcW w:w="26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Title: Director</w:t>
            </w:r>
          </w:p>
        </w:tc>
      </w:tr>
      <w:tr>
        <w:trPr>
          <w:trHeight w:val="28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/s/ Adrienne Lonergan</w:t>
            </w:r>
          </w:p>
        </w:tc>
        <w:tc>
          <w:tcPr>
            <w:tcW w:w="5020" w:type="dxa"/>
            <w:vAlign w:val="bottom"/>
          </w:tcPr>
          <w:p>
            <w:pPr>
              <w:spacing w:after="0"/>
              <w:rPr>
                <w:sz w:val="24"/>
                <w:szCs w:val="24"/>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Witness Signature</w:t>
            </w:r>
          </w:p>
        </w:tc>
        <w:tc>
          <w:tcPr>
            <w:tcW w:w="5020" w:type="dxa"/>
            <w:vAlign w:val="bottom"/>
          </w:tcPr>
          <w:p>
            <w:pPr>
              <w:spacing w:after="0"/>
              <w:rPr>
                <w:sz w:val="22"/>
                <w:szCs w:val="22"/>
                <w:color w:val="auto"/>
              </w:rPr>
            </w:pPr>
          </w:p>
        </w:tc>
      </w:tr>
      <w:tr>
        <w:trPr>
          <w:trHeight w:val="284"/>
        </w:trPr>
        <w:tc>
          <w:tcPr>
            <w:tcW w:w="26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/s/ Hugh Kiely</w:t>
            </w:r>
          </w:p>
        </w:tc>
      </w:tr>
      <w:tr>
        <w:trPr>
          <w:trHeight w:val="23"/>
        </w:trPr>
        <w:tc>
          <w:tcPr>
            <w:tcW w:w="6400" w:type="dxa"/>
            <w:vAlign w:val="bottom"/>
            <w:gridSpan w:val="2"/>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5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/s/ Connaught House</w:t>
            </w:r>
          </w:p>
        </w:tc>
        <w:tc>
          <w:tcPr>
            <w:tcW w:w="5020" w:type="dxa"/>
            <w:vAlign w:val="bottom"/>
          </w:tcPr>
          <w:p>
            <w:pPr>
              <w:ind w:left="40"/>
              <w:spacing w:after="0"/>
              <w:rPr>
                <w:sz w:val="20"/>
                <w:szCs w:val="20"/>
                <w:color w:val="auto"/>
              </w:rPr>
            </w:pPr>
            <w:r>
              <w:rPr>
                <w:rFonts w:ascii="Arial" w:cs="Arial" w:eastAsia="Arial" w:hAnsi="Arial"/>
                <w:sz w:val="20"/>
                <w:szCs w:val="20"/>
                <w:color w:val="auto"/>
              </w:rPr>
              <w:t>Name: Hugh Kiely</w:t>
            </w:r>
          </w:p>
        </w:tc>
      </w:tr>
      <w:tr>
        <w:trPr>
          <w:trHeight w:val="23"/>
        </w:trPr>
        <w:tc>
          <w:tcPr>
            <w:tcW w:w="264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Witness Address</w:t>
            </w:r>
          </w:p>
        </w:tc>
        <w:tc>
          <w:tcPr>
            <w:tcW w:w="5020" w:type="dxa"/>
            <w:vAlign w:val="bottom"/>
          </w:tcPr>
          <w:p>
            <w:pPr>
              <w:ind w:left="40"/>
              <w:spacing w:after="0"/>
              <w:rPr>
                <w:sz w:val="20"/>
                <w:szCs w:val="20"/>
                <w:color w:val="auto"/>
              </w:rPr>
            </w:pPr>
            <w:r>
              <w:rPr>
                <w:rFonts w:ascii="Arial" w:cs="Arial" w:eastAsia="Arial" w:hAnsi="Arial"/>
                <w:sz w:val="20"/>
                <w:szCs w:val="20"/>
                <w:color w:val="auto"/>
              </w:rPr>
              <w:t>Title: Director</w:t>
            </w:r>
          </w:p>
        </w:tc>
      </w:tr>
      <w:tr>
        <w:trPr>
          <w:trHeight w:val="82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/s/ Chartered Secretary</w:t>
            </w:r>
          </w:p>
        </w:tc>
        <w:tc>
          <w:tcPr>
            <w:tcW w:w="5020" w:type="dxa"/>
            <w:vAlign w:val="bottom"/>
          </w:tcPr>
          <w:p>
            <w:pPr>
              <w:spacing w:after="0"/>
              <w:rPr>
                <w:sz w:val="24"/>
                <w:szCs w:val="24"/>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Witness Occupation</w:t>
            </w:r>
          </w:p>
        </w:tc>
        <w:tc>
          <w:tcPr>
            <w:tcW w:w="5020" w:type="dxa"/>
            <w:vAlign w:val="bottom"/>
          </w:tcPr>
          <w:p>
            <w:pPr>
              <w:spacing w:after="0"/>
              <w:rPr>
                <w:sz w:val="22"/>
                <w:szCs w:val="22"/>
                <w:color w:val="auto"/>
              </w:rPr>
            </w:pPr>
          </w:p>
        </w:tc>
      </w:tr>
      <w:tr>
        <w:trPr>
          <w:trHeight w:val="608"/>
        </w:trPr>
        <w:tc>
          <w:tcPr>
            <w:tcW w:w="6400" w:type="dxa"/>
            <w:vAlign w:val="bottom"/>
            <w:gridSpan w:val="2"/>
          </w:tcPr>
          <w:p>
            <w:pPr>
              <w:ind w:left="40"/>
              <w:spacing w:after="0"/>
              <w:rPr>
                <w:sz w:val="20"/>
                <w:szCs w:val="20"/>
                <w:color w:val="auto"/>
              </w:rPr>
            </w:pPr>
            <w:r>
              <w:rPr>
                <w:rFonts w:ascii="Arial" w:cs="Arial" w:eastAsia="Arial" w:hAnsi="Arial"/>
                <w:sz w:val="20"/>
                <w:szCs w:val="20"/>
                <w:b w:val="1"/>
                <w:bCs w:val="1"/>
                <w:color w:val="auto"/>
              </w:rPr>
              <w:t xml:space="preserve">GIVEN </w:t>
            </w:r>
            <w:r>
              <w:rPr>
                <w:rFonts w:ascii="Arial" w:cs="Arial" w:eastAsia="Arial" w:hAnsi="Arial"/>
                <w:sz w:val="20"/>
                <w:szCs w:val="20"/>
                <w:color w:val="auto"/>
              </w:rPr>
              <w:t>under the Common Seal of</w:t>
            </w:r>
          </w:p>
        </w:tc>
        <w:tc>
          <w:tcPr>
            <w:tcW w:w="5020" w:type="dxa"/>
            <w:vAlign w:val="bottom"/>
          </w:tcPr>
          <w:p>
            <w:pPr>
              <w:spacing w:after="0"/>
              <w:rPr>
                <w:sz w:val="24"/>
                <w:szCs w:val="24"/>
                <w:color w:val="auto"/>
              </w:rPr>
            </w:pPr>
          </w:p>
        </w:tc>
      </w:tr>
      <w:tr>
        <w:trPr>
          <w:trHeight w:val="284"/>
        </w:trPr>
        <w:tc>
          <w:tcPr>
            <w:tcW w:w="6400" w:type="dxa"/>
            <w:vAlign w:val="bottom"/>
            <w:gridSpan w:val="2"/>
          </w:tcPr>
          <w:p>
            <w:pPr>
              <w:ind w:left="40"/>
              <w:spacing w:after="0"/>
              <w:rPr>
                <w:sz w:val="20"/>
                <w:szCs w:val="20"/>
                <w:color w:val="auto"/>
              </w:rPr>
            </w:pPr>
            <w:r>
              <w:rPr>
                <w:rFonts w:ascii="Arial" w:cs="Arial" w:eastAsia="Arial" w:hAnsi="Arial"/>
                <w:sz w:val="20"/>
                <w:szCs w:val="20"/>
                <w:b w:val="1"/>
                <w:bCs w:val="1"/>
                <w:color w:val="auto"/>
              </w:rPr>
              <w:t>JAZZ FINANCING II LIMITED</w:t>
            </w:r>
          </w:p>
        </w:tc>
        <w:tc>
          <w:tcPr>
            <w:tcW w:w="5020" w:type="dxa"/>
            <w:vAlign w:val="bottom"/>
          </w:tcPr>
          <w:p>
            <w:pPr>
              <w:spacing w:after="0"/>
              <w:rPr>
                <w:sz w:val="24"/>
                <w:szCs w:val="24"/>
                <w:color w:val="auto"/>
              </w:rPr>
            </w:pPr>
          </w:p>
        </w:tc>
      </w:tr>
      <w:tr>
        <w:trPr>
          <w:trHeight w:val="28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b w:val="1"/>
                <w:bCs w:val="1"/>
                <w:color w:val="auto"/>
              </w:rPr>
              <w:t>DELIVERED AS A DEED</w:t>
            </w:r>
          </w:p>
        </w:tc>
        <w:tc>
          <w:tcPr>
            <w:tcW w:w="5020" w:type="dxa"/>
            <w:vAlign w:val="bottom"/>
          </w:tcPr>
          <w:p>
            <w:pPr>
              <w:spacing w:after="0"/>
              <w:rPr>
                <w:sz w:val="24"/>
                <w:szCs w:val="24"/>
                <w:color w:val="auto"/>
              </w:rPr>
            </w:pPr>
          </w:p>
        </w:tc>
      </w:tr>
      <w:tr>
        <w:trPr>
          <w:trHeight w:val="284"/>
        </w:trPr>
        <w:tc>
          <w:tcPr>
            <w:tcW w:w="6400" w:type="dxa"/>
            <w:vAlign w:val="bottom"/>
            <w:gridSpan w:val="2"/>
          </w:tcPr>
          <w:p>
            <w:pPr>
              <w:ind w:left="40"/>
              <w:spacing w:after="0"/>
              <w:rPr>
                <w:sz w:val="20"/>
                <w:szCs w:val="20"/>
                <w:color w:val="auto"/>
              </w:rPr>
            </w:pPr>
            <w:r>
              <w:rPr>
                <w:rFonts w:ascii="Arial" w:cs="Arial" w:eastAsia="Arial" w:hAnsi="Arial"/>
                <w:sz w:val="20"/>
                <w:szCs w:val="20"/>
                <w:b w:val="1"/>
                <w:bCs w:val="1"/>
                <w:color w:val="auto"/>
              </w:rPr>
              <w:t>in the presence of:</w:t>
            </w:r>
          </w:p>
        </w:tc>
        <w:tc>
          <w:tcPr>
            <w:tcW w:w="5020" w:type="dxa"/>
            <w:vAlign w:val="bottom"/>
          </w:tcPr>
          <w:p>
            <w:pPr>
              <w:spacing w:after="0"/>
              <w:rPr>
                <w:sz w:val="24"/>
                <w:szCs w:val="24"/>
                <w:color w:val="auto"/>
              </w:rPr>
            </w:pPr>
          </w:p>
        </w:tc>
      </w:tr>
      <w:tr>
        <w:trPr>
          <w:trHeight w:val="608"/>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/s/ Adrienne Lonergan</w:t>
            </w:r>
          </w:p>
        </w:tc>
        <w:tc>
          <w:tcPr>
            <w:tcW w:w="5020" w:type="dxa"/>
            <w:vAlign w:val="bottom"/>
          </w:tcPr>
          <w:p>
            <w:pPr>
              <w:ind w:left="40"/>
              <w:spacing w:after="0"/>
              <w:rPr>
                <w:sz w:val="20"/>
                <w:szCs w:val="20"/>
                <w:color w:val="auto"/>
              </w:rPr>
            </w:pPr>
            <w:r>
              <w:rPr>
                <w:rFonts w:ascii="Arial" w:cs="Arial" w:eastAsia="Arial" w:hAnsi="Arial"/>
                <w:sz w:val="20"/>
                <w:szCs w:val="20"/>
                <w:color w:val="auto"/>
              </w:rPr>
              <w:t>/s/ Bridget O’Brien</w:t>
            </w:r>
          </w:p>
        </w:tc>
      </w:tr>
      <w:tr>
        <w:trPr>
          <w:trHeight w:val="23"/>
        </w:trPr>
        <w:tc>
          <w:tcPr>
            <w:tcW w:w="264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5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Witness Name</w:t>
            </w:r>
          </w:p>
        </w:tc>
        <w:tc>
          <w:tcPr>
            <w:tcW w:w="5020" w:type="dxa"/>
            <w:vAlign w:val="bottom"/>
          </w:tcPr>
          <w:p>
            <w:pPr>
              <w:ind w:left="40"/>
              <w:spacing w:after="0"/>
              <w:rPr>
                <w:sz w:val="20"/>
                <w:szCs w:val="20"/>
                <w:color w:val="auto"/>
              </w:rPr>
            </w:pPr>
            <w:r>
              <w:rPr>
                <w:rFonts w:ascii="Arial" w:cs="Arial" w:eastAsia="Arial" w:hAnsi="Arial"/>
                <w:sz w:val="20"/>
                <w:szCs w:val="20"/>
                <w:color w:val="auto"/>
              </w:rPr>
              <w:t>Name: Bridget O’Brien</w:t>
            </w:r>
          </w:p>
        </w:tc>
      </w:tr>
      <w:tr>
        <w:trPr>
          <w:trHeight w:val="284"/>
        </w:trPr>
        <w:tc>
          <w:tcPr>
            <w:tcW w:w="26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Title: Director</w:t>
            </w:r>
          </w:p>
        </w:tc>
      </w:tr>
      <w:tr>
        <w:trPr>
          <w:trHeight w:val="28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/s/ Adrienne Lonergan</w:t>
            </w:r>
          </w:p>
        </w:tc>
        <w:tc>
          <w:tcPr>
            <w:tcW w:w="5020" w:type="dxa"/>
            <w:vAlign w:val="bottom"/>
          </w:tcPr>
          <w:p>
            <w:pPr>
              <w:spacing w:after="0"/>
              <w:rPr>
                <w:sz w:val="24"/>
                <w:szCs w:val="24"/>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Witness Signature</w:t>
            </w:r>
          </w:p>
        </w:tc>
        <w:tc>
          <w:tcPr>
            <w:tcW w:w="5020" w:type="dxa"/>
            <w:vAlign w:val="bottom"/>
          </w:tcPr>
          <w:p>
            <w:pPr>
              <w:spacing w:after="0"/>
              <w:rPr>
                <w:sz w:val="22"/>
                <w:szCs w:val="22"/>
                <w:color w:val="auto"/>
              </w:rPr>
            </w:pPr>
          </w:p>
        </w:tc>
      </w:tr>
      <w:tr>
        <w:trPr>
          <w:trHeight w:val="284"/>
        </w:trPr>
        <w:tc>
          <w:tcPr>
            <w:tcW w:w="26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/s/ Hugh Kiely</w:t>
            </w:r>
          </w:p>
        </w:tc>
      </w:tr>
      <w:tr>
        <w:trPr>
          <w:trHeight w:val="23"/>
        </w:trPr>
        <w:tc>
          <w:tcPr>
            <w:tcW w:w="6400" w:type="dxa"/>
            <w:vAlign w:val="bottom"/>
            <w:gridSpan w:val="2"/>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5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/s/ Connaught House</w:t>
            </w:r>
          </w:p>
        </w:tc>
        <w:tc>
          <w:tcPr>
            <w:tcW w:w="5020" w:type="dxa"/>
            <w:vAlign w:val="bottom"/>
          </w:tcPr>
          <w:p>
            <w:pPr>
              <w:ind w:left="40"/>
              <w:spacing w:after="0"/>
              <w:rPr>
                <w:sz w:val="20"/>
                <w:szCs w:val="20"/>
                <w:color w:val="auto"/>
              </w:rPr>
            </w:pPr>
            <w:r>
              <w:rPr>
                <w:rFonts w:ascii="Arial" w:cs="Arial" w:eastAsia="Arial" w:hAnsi="Arial"/>
                <w:sz w:val="20"/>
                <w:szCs w:val="20"/>
                <w:color w:val="auto"/>
              </w:rPr>
              <w:t>Name: Hugh Kiely</w:t>
            </w:r>
          </w:p>
        </w:tc>
      </w:tr>
      <w:tr>
        <w:trPr>
          <w:trHeight w:val="23"/>
        </w:trPr>
        <w:tc>
          <w:tcPr>
            <w:tcW w:w="264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4"/>
        </w:trPr>
        <w:tc>
          <w:tcPr>
            <w:tcW w:w="6400" w:type="dxa"/>
            <w:vAlign w:val="bottom"/>
            <w:gridSpan w:val="2"/>
          </w:tcPr>
          <w:p>
            <w:pPr>
              <w:ind w:left="40"/>
              <w:spacing w:after="0"/>
              <w:rPr>
                <w:sz w:val="20"/>
                <w:szCs w:val="20"/>
                <w:color w:val="auto"/>
              </w:rPr>
            </w:pPr>
            <w:r>
              <w:rPr>
                <w:rFonts w:ascii="Arial" w:cs="Arial" w:eastAsia="Arial" w:hAnsi="Arial"/>
                <w:sz w:val="20"/>
                <w:szCs w:val="20"/>
                <w:color w:val="auto"/>
              </w:rPr>
              <w:t>Witness Address</w:t>
            </w:r>
          </w:p>
        </w:tc>
        <w:tc>
          <w:tcPr>
            <w:tcW w:w="5020" w:type="dxa"/>
            <w:vAlign w:val="bottom"/>
          </w:tcPr>
          <w:p>
            <w:pPr>
              <w:ind w:left="40"/>
              <w:spacing w:after="0"/>
              <w:rPr>
                <w:sz w:val="20"/>
                <w:szCs w:val="20"/>
                <w:color w:val="auto"/>
              </w:rPr>
            </w:pPr>
            <w:r>
              <w:rPr>
                <w:rFonts w:ascii="Arial" w:cs="Arial" w:eastAsia="Arial" w:hAnsi="Arial"/>
                <w:sz w:val="20"/>
                <w:szCs w:val="20"/>
                <w:color w:val="auto"/>
              </w:rPr>
              <w:t>Title: Director</w:t>
            </w:r>
          </w:p>
        </w:tc>
      </w:tr>
    </w:tbl>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Chartered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16725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Witness Occupation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56" w:name="page157"/>
    <w:bookmarkEnd w:id="156"/>
    <w:p>
      <w:pPr>
        <w:ind w:left="6340"/>
        <w:spacing w:after="0"/>
        <w:rPr>
          <w:sz w:val="20"/>
          <w:szCs w:val="20"/>
          <w:color w:val="auto"/>
        </w:rPr>
      </w:pPr>
      <w:r>
        <w:rPr>
          <w:rFonts w:ascii="Arial" w:cs="Arial" w:eastAsia="Arial" w:hAnsi="Arial"/>
          <w:sz w:val="20"/>
          <w:szCs w:val="20"/>
          <w:color w:val="auto"/>
        </w:rPr>
        <w:t>JAZZ INVESTMENTS I LIMITED</w:t>
      </w:r>
    </w:p>
    <w:p>
      <w:pPr>
        <w:spacing w:after="0" w:line="200" w:lineRule="exact"/>
        <w:rPr>
          <w:sz w:val="20"/>
          <w:szCs w:val="20"/>
          <w:color w:val="auto"/>
        </w:rPr>
      </w:pPr>
    </w:p>
    <w:p>
      <w:pPr>
        <w:spacing w:after="0" w:line="394" w:lineRule="exact"/>
        <w:rPr>
          <w:sz w:val="20"/>
          <w:szCs w:val="20"/>
          <w:color w:val="auto"/>
        </w:rPr>
      </w:pPr>
    </w:p>
    <w:tbl>
      <w:tblPr>
        <w:tblLayout w:type="fixed"/>
        <w:tblInd w:w="6340" w:type="dxa"/>
        <w:tblCellMar>
          <w:top w:w="0" w:type="dxa"/>
          <w:left w:w="0" w:type="dxa"/>
          <w:bottom w:w="0" w:type="dxa"/>
          <w:right w:w="0" w:type="dxa"/>
        </w:tblCellMar>
      </w:tblP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3280" w:type="dxa"/>
            <w:vAlign w:val="bottom"/>
          </w:tcPr>
          <w:p>
            <w:pPr>
              <w:ind w:left="20"/>
              <w:spacing w:after="0"/>
              <w:rPr>
                <w:sz w:val="20"/>
                <w:szCs w:val="20"/>
                <w:color w:val="auto"/>
              </w:rPr>
            </w:pPr>
            <w:r>
              <w:rPr>
                <w:rFonts w:ascii="Arial" w:cs="Arial" w:eastAsia="Arial" w:hAnsi="Arial"/>
                <w:sz w:val="20"/>
                <w:szCs w:val="20"/>
                <w:color w:val="auto"/>
              </w:rPr>
              <w:t>/s/ Hugh Kiely</w:t>
            </w:r>
          </w:p>
        </w:tc>
      </w:tr>
      <w:tr>
        <w:trPr>
          <w:trHeight w:val="23"/>
        </w:trPr>
        <w:tc>
          <w:tcPr>
            <w:tcW w:w="60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54"/>
        </w:trPr>
        <w:tc>
          <w:tcPr>
            <w:tcW w:w="600" w:type="dxa"/>
            <w:vAlign w:val="bottom"/>
          </w:tcPr>
          <w:p>
            <w:pPr>
              <w:spacing w:after="0"/>
              <w:rPr>
                <w:sz w:val="22"/>
                <w:szCs w:val="22"/>
                <w:color w:val="auto"/>
              </w:rPr>
            </w:pPr>
          </w:p>
        </w:tc>
        <w:tc>
          <w:tcPr>
            <w:tcW w:w="3280" w:type="dxa"/>
            <w:vAlign w:val="bottom"/>
          </w:tcPr>
          <w:p>
            <w:pPr>
              <w:ind w:left="20"/>
              <w:spacing w:after="0"/>
              <w:rPr>
                <w:sz w:val="20"/>
                <w:szCs w:val="20"/>
                <w:color w:val="auto"/>
              </w:rPr>
            </w:pPr>
            <w:r>
              <w:rPr>
                <w:rFonts w:ascii="Arial" w:cs="Arial" w:eastAsia="Arial" w:hAnsi="Arial"/>
                <w:sz w:val="20"/>
                <w:szCs w:val="20"/>
                <w:color w:val="auto"/>
              </w:rPr>
              <w:t>Name: Hugh Kiely</w:t>
            </w:r>
          </w:p>
        </w:tc>
      </w:tr>
      <w:tr>
        <w:trPr>
          <w:trHeight w:val="284"/>
        </w:trPr>
        <w:tc>
          <w:tcPr>
            <w:tcW w:w="600" w:type="dxa"/>
            <w:vAlign w:val="bottom"/>
          </w:tcPr>
          <w:p>
            <w:pPr>
              <w:spacing w:after="0"/>
              <w:rPr>
                <w:sz w:val="24"/>
                <w:szCs w:val="24"/>
                <w:color w:val="auto"/>
              </w:rPr>
            </w:pPr>
          </w:p>
        </w:tc>
        <w:tc>
          <w:tcPr>
            <w:tcW w:w="3280" w:type="dxa"/>
            <w:vAlign w:val="bottom"/>
          </w:tcPr>
          <w:p>
            <w:pPr>
              <w:ind w:left="20"/>
              <w:spacing w:after="0"/>
              <w:rPr>
                <w:sz w:val="20"/>
                <w:szCs w:val="20"/>
                <w:color w:val="auto"/>
              </w:rPr>
            </w:pPr>
            <w:r>
              <w:rPr>
                <w:rFonts w:ascii="Arial" w:cs="Arial" w:eastAsia="Arial" w:hAnsi="Arial"/>
                <w:sz w:val="20"/>
                <w:szCs w:val="20"/>
                <w:color w:val="auto"/>
              </w:rPr>
              <w:t>Title: Director</w:t>
            </w:r>
          </w:p>
        </w:tc>
      </w:tr>
    </w:tbl>
    <w:p>
      <w:pPr>
        <w:spacing w:after="0" w:line="357"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JAZZ INVESTMENTS II LIMITED</w:t>
      </w:r>
    </w:p>
    <w:p>
      <w:pPr>
        <w:spacing w:after="0" w:line="378" w:lineRule="exact"/>
        <w:rPr>
          <w:sz w:val="20"/>
          <w:szCs w:val="20"/>
          <w:color w:val="auto"/>
        </w:rPr>
      </w:pPr>
    </w:p>
    <w:tbl>
      <w:tblPr>
        <w:tblLayout w:type="fixed"/>
        <w:tblInd w:w="6340" w:type="dxa"/>
        <w:tblCellMar>
          <w:top w:w="0" w:type="dxa"/>
          <w:left w:w="0" w:type="dxa"/>
          <w:bottom w:w="0" w:type="dxa"/>
          <w:right w:w="0" w:type="dxa"/>
        </w:tblCellMar>
      </w:tblP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3280" w:type="dxa"/>
            <w:vAlign w:val="bottom"/>
          </w:tcPr>
          <w:p>
            <w:pPr>
              <w:ind w:left="20"/>
              <w:spacing w:after="0"/>
              <w:rPr>
                <w:sz w:val="20"/>
                <w:szCs w:val="20"/>
                <w:color w:val="auto"/>
              </w:rPr>
            </w:pPr>
            <w:r>
              <w:rPr>
                <w:rFonts w:ascii="Arial" w:cs="Arial" w:eastAsia="Arial" w:hAnsi="Arial"/>
                <w:sz w:val="20"/>
                <w:szCs w:val="20"/>
                <w:color w:val="auto"/>
              </w:rPr>
              <w:t>/s/ Hugh Kiely</w:t>
            </w:r>
          </w:p>
        </w:tc>
      </w:tr>
      <w:tr>
        <w:trPr>
          <w:trHeight w:val="23"/>
        </w:trPr>
        <w:tc>
          <w:tcPr>
            <w:tcW w:w="60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54"/>
        </w:trPr>
        <w:tc>
          <w:tcPr>
            <w:tcW w:w="600" w:type="dxa"/>
            <w:vAlign w:val="bottom"/>
          </w:tcPr>
          <w:p>
            <w:pPr>
              <w:spacing w:after="0"/>
              <w:rPr>
                <w:sz w:val="22"/>
                <w:szCs w:val="22"/>
                <w:color w:val="auto"/>
              </w:rPr>
            </w:pPr>
          </w:p>
        </w:tc>
        <w:tc>
          <w:tcPr>
            <w:tcW w:w="3280" w:type="dxa"/>
            <w:vAlign w:val="bottom"/>
          </w:tcPr>
          <w:p>
            <w:pPr>
              <w:ind w:left="20"/>
              <w:spacing w:after="0"/>
              <w:rPr>
                <w:sz w:val="20"/>
                <w:szCs w:val="20"/>
                <w:color w:val="auto"/>
              </w:rPr>
            </w:pPr>
            <w:r>
              <w:rPr>
                <w:rFonts w:ascii="Arial" w:cs="Arial" w:eastAsia="Arial" w:hAnsi="Arial"/>
                <w:sz w:val="20"/>
                <w:szCs w:val="20"/>
                <w:color w:val="auto"/>
              </w:rPr>
              <w:t>Name: Hugh Kiely</w:t>
            </w:r>
          </w:p>
        </w:tc>
      </w:tr>
      <w:tr>
        <w:trPr>
          <w:trHeight w:val="284"/>
        </w:trPr>
        <w:tc>
          <w:tcPr>
            <w:tcW w:w="600" w:type="dxa"/>
            <w:vAlign w:val="bottom"/>
          </w:tcPr>
          <w:p>
            <w:pPr>
              <w:spacing w:after="0"/>
              <w:rPr>
                <w:sz w:val="24"/>
                <w:szCs w:val="24"/>
                <w:color w:val="auto"/>
              </w:rPr>
            </w:pPr>
          </w:p>
        </w:tc>
        <w:tc>
          <w:tcPr>
            <w:tcW w:w="3280" w:type="dxa"/>
            <w:vAlign w:val="bottom"/>
          </w:tcPr>
          <w:p>
            <w:pPr>
              <w:ind w:left="20"/>
              <w:spacing w:after="0"/>
              <w:rPr>
                <w:sz w:val="20"/>
                <w:szCs w:val="20"/>
                <w:color w:val="auto"/>
              </w:rPr>
            </w:pPr>
            <w:r>
              <w:rPr>
                <w:rFonts w:ascii="Arial" w:cs="Arial" w:eastAsia="Arial" w:hAnsi="Arial"/>
                <w:sz w:val="20"/>
                <w:szCs w:val="20"/>
                <w:color w:val="auto"/>
              </w:rPr>
              <w:t>Title: Director</w:t>
            </w:r>
          </w:p>
        </w:tc>
      </w:tr>
    </w:tbl>
    <w:p>
      <w:pPr>
        <w:spacing w:after="0" w:line="200" w:lineRule="exact"/>
        <w:rPr>
          <w:sz w:val="20"/>
          <w:szCs w:val="20"/>
          <w:color w:val="auto"/>
        </w:rPr>
      </w:pPr>
    </w:p>
    <w:p>
      <w:pPr>
        <w:spacing w:after="0" w:line="373"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JAZZ PHARMACEUTICALS</w:t>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INTERNATIONAL LIMITED</w:t>
      </w:r>
    </w:p>
    <w:p>
      <w:pPr>
        <w:spacing w:after="0" w:line="362" w:lineRule="exact"/>
        <w:rPr>
          <w:sz w:val="20"/>
          <w:szCs w:val="20"/>
          <w:color w:val="auto"/>
        </w:rPr>
      </w:pPr>
    </w:p>
    <w:tbl>
      <w:tblPr>
        <w:tblLayout w:type="fixed"/>
        <w:tblInd w:w="6340" w:type="dxa"/>
        <w:tblCellMar>
          <w:top w:w="0" w:type="dxa"/>
          <w:left w:w="0" w:type="dxa"/>
          <w:bottom w:w="0" w:type="dxa"/>
          <w:right w:w="0" w:type="dxa"/>
        </w:tblCellMar>
      </w:tblP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3280" w:type="dxa"/>
            <w:vAlign w:val="bottom"/>
          </w:tcPr>
          <w:p>
            <w:pPr>
              <w:ind w:left="20"/>
              <w:spacing w:after="0"/>
              <w:rPr>
                <w:sz w:val="20"/>
                <w:szCs w:val="20"/>
                <w:color w:val="auto"/>
              </w:rPr>
            </w:pPr>
            <w:r>
              <w:rPr>
                <w:rFonts w:ascii="Arial" w:cs="Arial" w:eastAsia="Arial" w:hAnsi="Arial"/>
                <w:sz w:val="20"/>
                <w:szCs w:val="20"/>
                <w:color w:val="auto"/>
              </w:rPr>
              <w:t>/s/ Hugh Kiely</w:t>
            </w:r>
          </w:p>
        </w:tc>
      </w:tr>
      <w:tr>
        <w:trPr>
          <w:trHeight w:val="23"/>
        </w:trPr>
        <w:tc>
          <w:tcPr>
            <w:tcW w:w="60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54"/>
        </w:trPr>
        <w:tc>
          <w:tcPr>
            <w:tcW w:w="600" w:type="dxa"/>
            <w:vAlign w:val="bottom"/>
          </w:tcPr>
          <w:p>
            <w:pPr>
              <w:spacing w:after="0"/>
              <w:rPr>
                <w:sz w:val="22"/>
                <w:szCs w:val="22"/>
                <w:color w:val="auto"/>
              </w:rPr>
            </w:pPr>
          </w:p>
        </w:tc>
        <w:tc>
          <w:tcPr>
            <w:tcW w:w="3280" w:type="dxa"/>
            <w:vAlign w:val="bottom"/>
          </w:tcPr>
          <w:p>
            <w:pPr>
              <w:ind w:left="20"/>
              <w:spacing w:after="0"/>
              <w:rPr>
                <w:sz w:val="20"/>
                <w:szCs w:val="20"/>
                <w:color w:val="auto"/>
              </w:rPr>
            </w:pPr>
            <w:r>
              <w:rPr>
                <w:rFonts w:ascii="Arial" w:cs="Arial" w:eastAsia="Arial" w:hAnsi="Arial"/>
                <w:sz w:val="20"/>
                <w:szCs w:val="20"/>
                <w:color w:val="auto"/>
              </w:rPr>
              <w:t>Name: Hugh Kiely</w:t>
            </w:r>
          </w:p>
        </w:tc>
      </w:tr>
      <w:tr>
        <w:trPr>
          <w:trHeight w:val="284"/>
        </w:trPr>
        <w:tc>
          <w:tcPr>
            <w:tcW w:w="600" w:type="dxa"/>
            <w:vAlign w:val="bottom"/>
          </w:tcPr>
          <w:p>
            <w:pPr>
              <w:spacing w:after="0"/>
              <w:rPr>
                <w:sz w:val="24"/>
                <w:szCs w:val="24"/>
                <w:color w:val="auto"/>
              </w:rPr>
            </w:pPr>
          </w:p>
        </w:tc>
        <w:tc>
          <w:tcPr>
            <w:tcW w:w="3280" w:type="dxa"/>
            <w:vAlign w:val="bottom"/>
          </w:tcPr>
          <w:p>
            <w:pPr>
              <w:ind w:left="20"/>
              <w:spacing w:after="0"/>
              <w:rPr>
                <w:sz w:val="20"/>
                <w:szCs w:val="20"/>
                <w:color w:val="auto"/>
              </w:rPr>
            </w:pPr>
            <w:r>
              <w:rPr>
                <w:rFonts w:ascii="Arial" w:cs="Arial" w:eastAsia="Arial" w:hAnsi="Arial"/>
                <w:sz w:val="20"/>
                <w:szCs w:val="20"/>
                <w:color w:val="auto"/>
              </w:rPr>
              <w:t>Title: Director</w:t>
            </w:r>
          </w:p>
        </w:tc>
      </w:tr>
      <w:tr>
        <w:trPr>
          <w:trHeight w:val="587"/>
        </w:trPr>
        <w:tc>
          <w:tcPr>
            <w:tcW w:w="600" w:type="dxa"/>
            <w:vAlign w:val="bottom"/>
          </w:tcPr>
          <w:p>
            <w:pPr>
              <w:spacing w:after="0"/>
              <w:rPr>
                <w:sz w:val="24"/>
                <w:szCs w:val="24"/>
                <w:color w:val="auto"/>
              </w:rPr>
            </w:pPr>
          </w:p>
        </w:tc>
        <w:tc>
          <w:tcPr>
            <w:tcW w:w="3280" w:type="dxa"/>
            <w:vAlign w:val="bottom"/>
          </w:tcPr>
          <w:p>
            <w:pPr>
              <w:ind w:left="40"/>
              <w:spacing w:after="0"/>
              <w:rPr>
                <w:sz w:val="20"/>
                <w:szCs w:val="20"/>
                <w:color w:val="auto"/>
              </w:rPr>
            </w:pPr>
            <w:r>
              <w:rPr>
                <w:rFonts w:ascii="Arial" w:cs="Arial" w:eastAsia="Arial" w:hAnsi="Arial"/>
                <w:sz w:val="20"/>
                <w:szCs w:val="20"/>
                <w:color w:val="auto"/>
              </w:rPr>
              <w:t>JAZZ PHARMACEUTICALS</w:t>
            </w:r>
          </w:p>
        </w:tc>
      </w:tr>
      <w:tr>
        <w:trPr>
          <w:trHeight w:val="230"/>
        </w:trPr>
        <w:tc>
          <w:tcPr>
            <w:tcW w:w="600" w:type="dxa"/>
            <w:vAlign w:val="bottom"/>
          </w:tcPr>
          <w:p>
            <w:pPr>
              <w:spacing w:after="0"/>
              <w:rPr>
                <w:sz w:val="19"/>
                <w:szCs w:val="19"/>
                <w:color w:val="auto"/>
              </w:rPr>
            </w:pPr>
          </w:p>
        </w:tc>
        <w:tc>
          <w:tcPr>
            <w:tcW w:w="3280" w:type="dxa"/>
            <w:vAlign w:val="bottom"/>
          </w:tcPr>
          <w:p>
            <w:pPr>
              <w:ind w:left="40"/>
              <w:spacing w:after="0"/>
              <w:rPr>
                <w:sz w:val="20"/>
                <w:szCs w:val="20"/>
                <w:color w:val="auto"/>
              </w:rPr>
            </w:pPr>
            <w:r>
              <w:rPr>
                <w:rFonts w:ascii="Arial" w:cs="Arial" w:eastAsia="Arial" w:hAnsi="Arial"/>
                <w:sz w:val="20"/>
                <w:szCs w:val="20"/>
                <w:color w:val="auto"/>
              </w:rPr>
              <w:t>INTERNATIONAL</w:t>
            </w:r>
          </w:p>
        </w:tc>
      </w:tr>
      <w:tr>
        <w:trPr>
          <w:trHeight w:val="250"/>
        </w:trPr>
        <w:tc>
          <w:tcPr>
            <w:tcW w:w="600" w:type="dxa"/>
            <w:vAlign w:val="bottom"/>
          </w:tcPr>
          <w:p>
            <w:pPr>
              <w:spacing w:after="0"/>
              <w:rPr>
                <w:sz w:val="21"/>
                <w:szCs w:val="21"/>
                <w:color w:val="auto"/>
              </w:rPr>
            </w:pPr>
          </w:p>
        </w:tc>
        <w:tc>
          <w:tcPr>
            <w:tcW w:w="3280" w:type="dxa"/>
            <w:vAlign w:val="bottom"/>
          </w:tcPr>
          <w:p>
            <w:pPr>
              <w:ind w:left="40"/>
              <w:spacing w:after="0"/>
              <w:rPr>
                <w:sz w:val="20"/>
                <w:szCs w:val="20"/>
                <w:color w:val="auto"/>
              </w:rPr>
            </w:pPr>
            <w:r>
              <w:rPr>
                <w:rFonts w:ascii="Arial" w:cs="Arial" w:eastAsia="Arial" w:hAnsi="Arial"/>
                <w:sz w:val="20"/>
                <w:szCs w:val="20"/>
                <w:color w:val="auto"/>
              </w:rPr>
              <w:t>II LIMITED</w:t>
            </w:r>
          </w:p>
        </w:tc>
      </w:tr>
      <w:tr>
        <w:trPr>
          <w:trHeight w:val="608"/>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3280" w:type="dxa"/>
            <w:vAlign w:val="bottom"/>
          </w:tcPr>
          <w:p>
            <w:pPr>
              <w:ind w:left="20"/>
              <w:spacing w:after="0"/>
              <w:rPr>
                <w:sz w:val="20"/>
                <w:szCs w:val="20"/>
                <w:color w:val="auto"/>
              </w:rPr>
            </w:pPr>
            <w:r>
              <w:rPr>
                <w:rFonts w:ascii="Arial" w:cs="Arial" w:eastAsia="Arial" w:hAnsi="Arial"/>
                <w:sz w:val="20"/>
                <w:szCs w:val="20"/>
                <w:color w:val="auto"/>
              </w:rPr>
              <w:t>/s/ Hugh Kiely</w:t>
            </w:r>
          </w:p>
        </w:tc>
      </w:tr>
      <w:tr>
        <w:trPr>
          <w:trHeight w:val="23"/>
        </w:trPr>
        <w:tc>
          <w:tcPr>
            <w:tcW w:w="60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54"/>
        </w:trPr>
        <w:tc>
          <w:tcPr>
            <w:tcW w:w="600" w:type="dxa"/>
            <w:vAlign w:val="bottom"/>
          </w:tcPr>
          <w:p>
            <w:pPr>
              <w:spacing w:after="0"/>
              <w:rPr>
                <w:sz w:val="22"/>
                <w:szCs w:val="22"/>
                <w:color w:val="auto"/>
              </w:rPr>
            </w:pPr>
          </w:p>
        </w:tc>
        <w:tc>
          <w:tcPr>
            <w:tcW w:w="3280" w:type="dxa"/>
            <w:vAlign w:val="bottom"/>
          </w:tcPr>
          <w:p>
            <w:pPr>
              <w:ind w:left="20"/>
              <w:spacing w:after="0"/>
              <w:rPr>
                <w:sz w:val="20"/>
                <w:szCs w:val="20"/>
                <w:color w:val="auto"/>
              </w:rPr>
            </w:pPr>
            <w:r>
              <w:rPr>
                <w:rFonts w:ascii="Arial" w:cs="Arial" w:eastAsia="Arial" w:hAnsi="Arial"/>
                <w:sz w:val="20"/>
                <w:szCs w:val="20"/>
                <w:color w:val="auto"/>
              </w:rPr>
              <w:t>Name: Hugh Kiely</w:t>
            </w:r>
          </w:p>
        </w:tc>
      </w:tr>
      <w:tr>
        <w:trPr>
          <w:trHeight w:val="284"/>
        </w:trPr>
        <w:tc>
          <w:tcPr>
            <w:tcW w:w="600" w:type="dxa"/>
            <w:vAlign w:val="bottom"/>
          </w:tcPr>
          <w:p>
            <w:pPr>
              <w:spacing w:after="0"/>
              <w:rPr>
                <w:sz w:val="24"/>
                <w:szCs w:val="24"/>
                <w:color w:val="auto"/>
              </w:rPr>
            </w:pPr>
          </w:p>
        </w:tc>
        <w:tc>
          <w:tcPr>
            <w:tcW w:w="3280" w:type="dxa"/>
            <w:vAlign w:val="bottom"/>
          </w:tcPr>
          <w:p>
            <w:pPr>
              <w:ind w:left="20"/>
              <w:spacing w:after="0"/>
              <w:rPr>
                <w:sz w:val="20"/>
                <w:szCs w:val="20"/>
                <w:color w:val="auto"/>
              </w:rPr>
            </w:pPr>
            <w:r>
              <w:rPr>
                <w:rFonts w:ascii="Arial" w:cs="Arial" w:eastAsia="Arial" w:hAnsi="Arial"/>
                <w:sz w:val="20"/>
                <w:szCs w:val="20"/>
                <w:color w:val="auto"/>
              </w:rPr>
              <w:t>Title: Director</w:t>
            </w:r>
          </w:p>
        </w:tc>
      </w:tr>
      <w:tr>
        <w:trPr>
          <w:trHeight w:val="587"/>
        </w:trPr>
        <w:tc>
          <w:tcPr>
            <w:tcW w:w="600" w:type="dxa"/>
            <w:vAlign w:val="bottom"/>
          </w:tcPr>
          <w:p>
            <w:pPr>
              <w:spacing w:after="0"/>
              <w:rPr>
                <w:sz w:val="24"/>
                <w:szCs w:val="24"/>
                <w:color w:val="auto"/>
              </w:rPr>
            </w:pPr>
          </w:p>
        </w:tc>
        <w:tc>
          <w:tcPr>
            <w:tcW w:w="3280" w:type="dxa"/>
            <w:vAlign w:val="bottom"/>
          </w:tcPr>
          <w:p>
            <w:pPr>
              <w:ind w:left="40"/>
              <w:spacing w:after="0"/>
              <w:rPr>
                <w:sz w:val="20"/>
                <w:szCs w:val="20"/>
                <w:color w:val="auto"/>
              </w:rPr>
            </w:pPr>
            <w:r>
              <w:rPr>
                <w:rFonts w:ascii="Arial" w:cs="Arial" w:eastAsia="Arial" w:hAnsi="Arial"/>
                <w:sz w:val="20"/>
                <w:szCs w:val="20"/>
                <w:color w:val="auto"/>
              </w:rPr>
              <w:t>JAZZ PHARMACEUTICALS</w:t>
            </w:r>
          </w:p>
        </w:tc>
      </w:tr>
      <w:tr>
        <w:trPr>
          <w:trHeight w:val="230"/>
        </w:trPr>
        <w:tc>
          <w:tcPr>
            <w:tcW w:w="600" w:type="dxa"/>
            <w:vAlign w:val="bottom"/>
          </w:tcPr>
          <w:p>
            <w:pPr>
              <w:spacing w:after="0"/>
              <w:rPr>
                <w:sz w:val="19"/>
                <w:szCs w:val="19"/>
                <w:color w:val="auto"/>
              </w:rPr>
            </w:pPr>
          </w:p>
        </w:tc>
        <w:tc>
          <w:tcPr>
            <w:tcW w:w="3280" w:type="dxa"/>
            <w:vAlign w:val="bottom"/>
          </w:tcPr>
          <w:p>
            <w:pPr>
              <w:ind w:left="40"/>
              <w:spacing w:after="0"/>
              <w:rPr>
                <w:sz w:val="20"/>
                <w:szCs w:val="20"/>
                <w:color w:val="auto"/>
              </w:rPr>
            </w:pPr>
            <w:r>
              <w:rPr>
                <w:rFonts w:ascii="Arial" w:cs="Arial" w:eastAsia="Arial" w:hAnsi="Arial"/>
                <w:sz w:val="20"/>
                <w:szCs w:val="20"/>
                <w:color w:val="auto"/>
              </w:rPr>
              <w:t>INTERNATIONAL</w:t>
            </w:r>
          </w:p>
        </w:tc>
      </w:tr>
      <w:tr>
        <w:trPr>
          <w:trHeight w:val="250"/>
        </w:trPr>
        <w:tc>
          <w:tcPr>
            <w:tcW w:w="600" w:type="dxa"/>
            <w:vAlign w:val="bottom"/>
          </w:tcPr>
          <w:p>
            <w:pPr>
              <w:spacing w:after="0"/>
              <w:rPr>
                <w:sz w:val="21"/>
                <w:szCs w:val="21"/>
                <w:color w:val="auto"/>
              </w:rPr>
            </w:pPr>
          </w:p>
        </w:tc>
        <w:tc>
          <w:tcPr>
            <w:tcW w:w="3280" w:type="dxa"/>
            <w:vAlign w:val="bottom"/>
          </w:tcPr>
          <w:p>
            <w:pPr>
              <w:ind w:left="40"/>
              <w:spacing w:after="0"/>
              <w:rPr>
                <w:sz w:val="20"/>
                <w:szCs w:val="20"/>
                <w:color w:val="auto"/>
              </w:rPr>
            </w:pPr>
            <w:r>
              <w:rPr>
                <w:rFonts w:ascii="Arial" w:cs="Arial" w:eastAsia="Arial" w:hAnsi="Arial"/>
                <w:sz w:val="20"/>
                <w:szCs w:val="20"/>
                <w:color w:val="auto"/>
              </w:rPr>
              <w:t>III LIMITED</w:t>
            </w:r>
          </w:p>
        </w:tc>
      </w:tr>
      <w:tr>
        <w:trPr>
          <w:trHeight w:val="608"/>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3280" w:type="dxa"/>
            <w:vAlign w:val="bottom"/>
          </w:tcPr>
          <w:p>
            <w:pPr>
              <w:ind w:left="20"/>
              <w:spacing w:after="0"/>
              <w:rPr>
                <w:sz w:val="20"/>
                <w:szCs w:val="20"/>
                <w:color w:val="auto"/>
              </w:rPr>
            </w:pPr>
            <w:r>
              <w:rPr>
                <w:rFonts w:ascii="Arial" w:cs="Arial" w:eastAsia="Arial" w:hAnsi="Arial"/>
                <w:sz w:val="20"/>
                <w:szCs w:val="20"/>
                <w:color w:val="auto"/>
              </w:rPr>
              <w:t>/s/ Hugh Kiely</w:t>
            </w:r>
          </w:p>
        </w:tc>
      </w:tr>
      <w:tr>
        <w:trPr>
          <w:trHeight w:val="23"/>
        </w:trPr>
        <w:tc>
          <w:tcPr>
            <w:tcW w:w="60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54"/>
        </w:trPr>
        <w:tc>
          <w:tcPr>
            <w:tcW w:w="600" w:type="dxa"/>
            <w:vAlign w:val="bottom"/>
          </w:tcPr>
          <w:p>
            <w:pPr>
              <w:spacing w:after="0"/>
              <w:rPr>
                <w:sz w:val="22"/>
                <w:szCs w:val="22"/>
                <w:color w:val="auto"/>
              </w:rPr>
            </w:pPr>
          </w:p>
        </w:tc>
        <w:tc>
          <w:tcPr>
            <w:tcW w:w="3280" w:type="dxa"/>
            <w:vAlign w:val="bottom"/>
          </w:tcPr>
          <w:p>
            <w:pPr>
              <w:ind w:left="20"/>
              <w:spacing w:after="0"/>
              <w:rPr>
                <w:sz w:val="20"/>
                <w:szCs w:val="20"/>
                <w:color w:val="auto"/>
              </w:rPr>
            </w:pPr>
            <w:r>
              <w:rPr>
                <w:rFonts w:ascii="Arial" w:cs="Arial" w:eastAsia="Arial" w:hAnsi="Arial"/>
                <w:sz w:val="20"/>
                <w:szCs w:val="20"/>
                <w:color w:val="auto"/>
              </w:rPr>
              <w:t>Name: Hugh Kiely</w:t>
            </w:r>
          </w:p>
        </w:tc>
      </w:tr>
      <w:tr>
        <w:trPr>
          <w:trHeight w:val="284"/>
        </w:trPr>
        <w:tc>
          <w:tcPr>
            <w:tcW w:w="600" w:type="dxa"/>
            <w:vAlign w:val="bottom"/>
          </w:tcPr>
          <w:p>
            <w:pPr>
              <w:spacing w:after="0"/>
              <w:rPr>
                <w:sz w:val="24"/>
                <w:szCs w:val="24"/>
                <w:color w:val="auto"/>
              </w:rPr>
            </w:pPr>
          </w:p>
        </w:tc>
        <w:tc>
          <w:tcPr>
            <w:tcW w:w="3280" w:type="dxa"/>
            <w:vAlign w:val="bottom"/>
          </w:tcPr>
          <w:p>
            <w:pPr>
              <w:ind w:left="20"/>
              <w:spacing w:after="0"/>
              <w:rPr>
                <w:sz w:val="20"/>
                <w:szCs w:val="20"/>
                <w:color w:val="auto"/>
              </w:rPr>
            </w:pPr>
            <w:r>
              <w:rPr>
                <w:rFonts w:ascii="Arial" w:cs="Arial" w:eastAsia="Arial" w:hAnsi="Arial"/>
                <w:sz w:val="20"/>
                <w:szCs w:val="20"/>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[Signature Page to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744" w:right="239" w:bottom="1440" w:gutter="0" w:footer="0" w:header="0"/>
        </w:sectPr>
      </w:pPr>
    </w:p>
    <w:bookmarkStart w:id="157" w:name="page158"/>
    <w:bookmarkEnd w:id="157"/>
    <w:tbl>
      <w:tblPr>
        <w:tblLayout w:type="fixed"/>
        <w:tblInd w:w="6300" w:type="dxa"/>
        <w:tblCellMar>
          <w:top w:w="0" w:type="dxa"/>
          <w:left w:w="0" w:type="dxa"/>
          <w:bottom w:w="0" w:type="dxa"/>
          <w:right w:w="0" w:type="dxa"/>
        </w:tblCellMar>
      </w:tblPr>
      <w:tr>
        <w:trPr>
          <w:trHeight w:val="230"/>
        </w:trPr>
        <w:tc>
          <w:tcPr>
            <w:tcW w:w="600" w:type="dxa"/>
            <w:vAlign w:val="bottom"/>
          </w:tcPr>
          <w:p>
            <w:pPr>
              <w:spacing w:after="0"/>
              <w:rPr>
                <w:sz w:val="19"/>
                <w:szCs w:val="19"/>
                <w:color w:val="auto"/>
              </w:rPr>
            </w:pPr>
          </w:p>
        </w:tc>
        <w:tc>
          <w:tcPr>
            <w:tcW w:w="3320" w:type="dxa"/>
            <w:vAlign w:val="bottom"/>
          </w:tcPr>
          <w:p>
            <w:pPr>
              <w:ind w:left="40"/>
              <w:spacing w:after="0"/>
              <w:rPr>
                <w:sz w:val="20"/>
                <w:szCs w:val="20"/>
                <w:color w:val="auto"/>
              </w:rPr>
            </w:pPr>
            <w:r>
              <w:rPr>
                <w:rFonts w:ascii="Arial" w:cs="Arial" w:eastAsia="Arial" w:hAnsi="Arial"/>
                <w:sz w:val="20"/>
                <w:szCs w:val="20"/>
                <w:color w:val="auto"/>
              </w:rPr>
              <w:t>JAZZ PHARMACEUTICALS</w:t>
            </w:r>
          </w:p>
        </w:tc>
      </w:tr>
      <w:tr>
        <w:trPr>
          <w:trHeight w:val="230"/>
        </w:trPr>
        <w:tc>
          <w:tcPr>
            <w:tcW w:w="600" w:type="dxa"/>
            <w:vAlign w:val="bottom"/>
          </w:tcPr>
          <w:p>
            <w:pPr>
              <w:spacing w:after="0"/>
              <w:rPr>
                <w:sz w:val="19"/>
                <w:szCs w:val="19"/>
                <w:color w:val="auto"/>
              </w:rPr>
            </w:pPr>
          </w:p>
        </w:tc>
        <w:tc>
          <w:tcPr>
            <w:tcW w:w="3320" w:type="dxa"/>
            <w:vAlign w:val="bottom"/>
          </w:tcPr>
          <w:p>
            <w:pPr>
              <w:ind w:left="40"/>
              <w:spacing w:after="0"/>
              <w:rPr>
                <w:sz w:val="20"/>
                <w:szCs w:val="20"/>
                <w:color w:val="auto"/>
              </w:rPr>
            </w:pPr>
            <w:r>
              <w:rPr>
                <w:rFonts w:ascii="Arial" w:cs="Arial" w:eastAsia="Arial" w:hAnsi="Arial"/>
                <w:sz w:val="20"/>
                <w:szCs w:val="20"/>
                <w:color w:val="auto"/>
              </w:rPr>
              <w:t>EUROPE</w:t>
            </w:r>
          </w:p>
        </w:tc>
      </w:tr>
      <w:tr>
        <w:trPr>
          <w:trHeight w:val="250"/>
        </w:trPr>
        <w:tc>
          <w:tcPr>
            <w:tcW w:w="600" w:type="dxa"/>
            <w:vAlign w:val="bottom"/>
          </w:tcPr>
          <w:p>
            <w:pPr>
              <w:spacing w:after="0"/>
              <w:rPr>
                <w:sz w:val="21"/>
                <w:szCs w:val="21"/>
                <w:color w:val="auto"/>
              </w:rPr>
            </w:pPr>
          </w:p>
        </w:tc>
        <w:tc>
          <w:tcPr>
            <w:tcW w:w="3320" w:type="dxa"/>
            <w:vAlign w:val="bottom"/>
          </w:tcPr>
          <w:p>
            <w:pPr>
              <w:ind w:left="40"/>
              <w:spacing w:after="0"/>
              <w:rPr>
                <w:sz w:val="20"/>
                <w:szCs w:val="20"/>
                <w:color w:val="auto"/>
              </w:rPr>
            </w:pPr>
            <w:r>
              <w:rPr>
                <w:rFonts w:ascii="Arial" w:cs="Arial" w:eastAsia="Arial" w:hAnsi="Arial"/>
                <w:sz w:val="20"/>
                <w:szCs w:val="20"/>
                <w:color w:val="auto"/>
              </w:rPr>
              <w:t>HOLDINGS LIMITED</w:t>
            </w:r>
          </w:p>
        </w:tc>
      </w:tr>
      <w:tr>
        <w:trPr>
          <w:trHeight w:val="608"/>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3320" w:type="dxa"/>
            <w:vAlign w:val="bottom"/>
          </w:tcPr>
          <w:p>
            <w:pPr>
              <w:ind w:left="20"/>
              <w:spacing w:after="0"/>
              <w:rPr>
                <w:sz w:val="20"/>
                <w:szCs w:val="20"/>
                <w:color w:val="auto"/>
              </w:rPr>
            </w:pPr>
            <w:r>
              <w:rPr>
                <w:rFonts w:ascii="Arial" w:cs="Arial" w:eastAsia="Arial" w:hAnsi="Arial"/>
                <w:sz w:val="20"/>
                <w:szCs w:val="20"/>
                <w:color w:val="auto"/>
              </w:rPr>
              <w:t>/s/ Hugh Kiely</w:t>
            </w:r>
          </w:p>
        </w:tc>
      </w:tr>
      <w:tr>
        <w:trPr>
          <w:trHeight w:val="23"/>
        </w:trPr>
        <w:tc>
          <w:tcPr>
            <w:tcW w:w="60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54"/>
        </w:trPr>
        <w:tc>
          <w:tcPr>
            <w:tcW w:w="600" w:type="dxa"/>
            <w:vAlign w:val="bottom"/>
          </w:tcPr>
          <w:p>
            <w:pPr>
              <w:spacing w:after="0"/>
              <w:rPr>
                <w:sz w:val="22"/>
                <w:szCs w:val="22"/>
                <w:color w:val="auto"/>
              </w:rPr>
            </w:pPr>
          </w:p>
        </w:tc>
        <w:tc>
          <w:tcPr>
            <w:tcW w:w="3320" w:type="dxa"/>
            <w:vAlign w:val="bottom"/>
          </w:tcPr>
          <w:p>
            <w:pPr>
              <w:ind w:left="20"/>
              <w:spacing w:after="0"/>
              <w:rPr>
                <w:sz w:val="20"/>
                <w:szCs w:val="20"/>
                <w:color w:val="auto"/>
              </w:rPr>
            </w:pPr>
            <w:r>
              <w:rPr>
                <w:rFonts w:ascii="Arial" w:cs="Arial" w:eastAsia="Arial" w:hAnsi="Arial"/>
                <w:sz w:val="20"/>
                <w:szCs w:val="20"/>
                <w:color w:val="auto"/>
              </w:rPr>
              <w:t>Name: Hugh Kiely</w:t>
            </w:r>
          </w:p>
        </w:tc>
      </w:tr>
      <w:tr>
        <w:trPr>
          <w:trHeight w:val="284"/>
        </w:trPr>
        <w:tc>
          <w:tcPr>
            <w:tcW w:w="600" w:type="dxa"/>
            <w:vAlign w:val="bottom"/>
          </w:tcPr>
          <w:p>
            <w:pPr>
              <w:spacing w:after="0"/>
              <w:rPr>
                <w:sz w:val="24"/>
                <w:szCs w:val="24"/>
                <w:color w:val="auto"/>
              </w:rPr>
            </w:pPr>
          </w:p>
        </w:tc>
        <w:tc>
          <w:tcPr>
            <w:tcW w:w="3320" w:type="dxa"/>
            <w:vAlign w:val="bottom"/>
          </w:tcPr>
          <w:p>
            <w:pPr>
              <w:ind w:left="20"/>
              <w:spacing w:after="0"/>
              <w:rPr>
                <w:sz w:val="20"/>
                <w:szCs w:val="20"/>
                <w:color w:val="auto"/>
              </w:rPr>
            </w:pPr>
            <w:r>
              <w:rPr>
                <w:rFonts w:ascii="Arial" w:cs="Arial" w:eastAsia="Arial" w:hAnsi="Arial"/>
                <w:sz w:val="20"/>
                <w:szCs w:val="20"/>
                <w:color w:val="auto"/>
              </w:rPr>
              <w:t>Title: Director</w:t>
            </w:r>
          </w:p>
        </w:tc>
      </w:tr>
      <w:tr>
        <w:trPr>
          <w:trHeight w:val="608"/>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3320" w:type="dxa"/>
            <w:vAlign w:val="bottom"/>
          </w:tcPr>
          <w:p>
            <w:pPr>
              <w:ind w:left="20"/>
              <w:spacing w:after="0"/>
              <w:rPr>
                <w:sz w:val="20"/>
                <w:szCs w:val="20"/>
                <w:color w:val="auto"/>
              </w:rPr>
            </w:pPr>
            <w:r>
              <w:rPr>
                <w:rFonts w:ascii="Arial" w:cs="Arial" w:eastAsia="Arial" w:hAnsi="Arial"/>
                <w:sz w:val="20"/>
                <w:szCs w:val="20"/>
                <w:color w:val="auto"/>
              </w:rPr>
              <w:t>/s/ Bridget O'Brien</w:t>
            </w:r>
          </w:p>
        </w:tc>
      </w:tr>
      <w:tr>
        <w:trPr>
          <w:trHeight w:val="23"/>
        </w:trPr>
        <w:tc>
          <w:tcPr>
            <w:tcW w:w="60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54"/>
        </w:trPr>
        <w:tc>
          <w:tcPr>
            <w:tcW w:w="600" w:type="dxa"/>
            <w:vAlign w:val="bottom"/>
          </w:tcPr>
          <w:p>
            <w:pPr>
              <w:spacing w:after="0"/>
              <w:rPr>
                <w:sz w:val="22"/>
                <w:szCs w:val="22"/>
                <w:color w:val="auto"/>
              </w:rPr>
            </w:pPr>
          </w:p>
        </w:tc>
        <w:tc>
          <w:tcPr>
            <w:tcW w:w="3320" w:type="dxa"/>
            <w:vAlign w:val="bottom"/>
          </w:tcPr>
          <w:p>
            <w:pPr>
              <w:ind w:left="20"/>
              <w:spacing w:after="0"/>
              <w:rPr>
                <w:sz w:val="20"/>
                <w:szCs w:val="20"/>
                <w:color w:val="auto"/>
              </w:rPr>
            </w:pPr>
            <w:r>
              <w:rPr>
                <w:rFonts w:ascii="Arial" w:cs="Arial" w:eastAsia="Arial" w:hAnsi="Arial"/>
                <w:sz w:val="20"/>
                <w:szCs w:val="20"/>
                <w:color w:val="auto"/>
              </w:rPr>
              <w:t>Name: Bridget O'Brien</w:t>
            </w:r>
          </w:p>
        </w:tc>
      </w:tr>
      <w:tr>
        <w:trPr>
          <w:trHeight w:val="284"/>
        </w:trPr>
        <w:tc>
          <w:tcPr>
            <w:tcW w:w="600" w:type="dxa"/>
            <w:vAlign w:val="bottom"/>
          </w:tcPr>
          <w:p>
            <w:pPr>
              <w:spacing w:after="0"/>
              <w:rPr>
                <w:sz w:val="24"/>
                <w:szCs w:val="24"/>
                <w:color w:val="auto"/>
              </w:rPr>
            </w:pPr>
          </w:p>
        </w:tc>
        <w:tc>
          <w:tcPr>
            <w:tcW w:w="3320" w:type="dxa"/>
            <w:vAlign w:val="bottom"/>
          </w:tcPr>
          <w:p>
            <w:pPr>
              <w:ind w:left="20"/>
              <w:spacing w:after="0"/>
              <w:rPr>
                <w:sz w:val="20"/>
                <w:szCs w:val="20"/>
                <w:color w:val="auto"/>
              </w:rPr>
            </w:pPr>
            <w:r>
              <w:rPr>
                <w:rFonts w:ascii="Arial" w:cs="Arial" w:eastAsia="Arial" w:hAnsi="Arial"/>
                <w:sz w:val="20"/>
                <w:szCs w:val="20"/>
                <w:color w:val="auto"/>
              </w:rPr>
              <w:t>Title: Director</w:t>
            </w:r>
          </w:p>
        </w:tc>
      </w:tr>
    </w:tbl>
    <w:p>
      <w:pPr>
        <w:spacing w:after="0" w:line="200" w:lineRule="exact"/>
        <w:rPr>
          <w:sz w:val="20"/>
          <w:szCs w:val="20"/>
          <w:color w:val="auto"/>
        </w:rPr>
      </w:pPr>
    </w:p>
    <w:p>
      <w:pPr>
        <w:spacing w:after="0" w:line="373" w:lineRule="exact"/>
        <w:rPr>
          <w:sz w:val="20"/>
          <w:szCs w:val="20"/>
          <w:color w:val="auto"/>
        </w:rPr>
      </w:pPr>
    </w:p>
    <w:p>
      <w:pPr>
        <w:jc w:val="right"/>
        <w:ind w:right="320"/>
        <w:spacing w:after="0"/>
        <w:rPr>
          <w:sz w:val="20"/>
          <w:szCs w:val="20"/>
          <w:color w:val="auto"/>
        </w:rPr>
      </w:pPr>
      <w:r>
        <w:rPr>
          <w:rFonts w:ascii="Arial" w:cs="Arial" w:eastAsia="Arial" w:hAnsi="Arial"/>
          <w:sz w:val="20"/>
          <w:szCs w:val="20"/>
          <w:color w:val="auto"/>
        </w:rPr>
        <w:t>JAZZ PHARMACEUTICALS LUX S.á.R.L.</w:t>
      </w:r>
    </w:p>
    <w:p>
      <w:pPr>
        <w:spacing w:after="0" w:line="378" w:lineRule="exact"/>
        <w:rPr>
          <w:sz w:val="20"/>
          <w:szCs w:val="20"/>
          <w:color w:val="auto"/>
        </w:rPr>
      </w:pPr>
    </w:p>
    <w:p>
      <w:pPr>
        <w:ind w:left="6300"/>
        <w:spacing w:after="0"/>
        <w:tabs>
          <w:tab w:leader="none" w:pos="69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27305</wp:posOffset>
            </wp:positionV>
            <wp:extent cx="2109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47"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Patricia Carr</w:t>
      </w:r>
    </w:p>
    <w:p>
      <w:pPr>
        <w:spacing w:after="0" w:line="54"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394" w:lineRule="exact"/>
        <w:rPr>
          <w:sz w:val="20"/>
          <w:szCs w:val="20"/>
          <w:color w:val="auto"/>
        </w:rPr>
      </w:pPr>
    </w:p>
    <w:p>
      <w:pPr>
        <w:ind w:left="6300"/>
        <w:spacing w:after="0"/>
        <w:rPr>
          <w:sz w:val="20"/>
          <w:szCs w:val="20"/>
          <w:color w:val="auto"/>
        </w:rPr>
      </w:pPr>
      <w:r>
        <w:rPr>
          <w:rFonts w:ascii="Arial" w:cs="Arial" w:eastAsia="Arial" w:hAnsi="Arial"/>
          <w:sz w:val="20"/>
          <w:szCs w:val="20"/>
          <w:color w:val="auto"/>
        </w:rPr>
        <w:t>5, rue Guillaume Kroll</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20"/>
          <w:szCs w:val="20"/>
          <w:color w:val="auto"/>
        </w:rPr>
        <w:t>L – 1882 Luxembourg</w:t>
      </w:r>
    </w:p>
    <w:p>
      <w:pPr>
        <w:ind w:left="6300"/>
        <w:spacing w:after="0"/>
        <w:rPr>
          <w:sz w:val="20"/>
          <w:szCs w:val="20"/>
          <w:color w:val="auto"/>
        </w:rPr>
      </w:pPr>
      <w:r>
        <w:rPr>
          <w:rFonts w:ascii="Arial" w:cs="Arial" w:eastAsia="Arial" w:hAnsi="Arial"/>
          <w:sz w:val="20"/>
          <w:szCs w:val="20"/>
          <w:color w:val="auto"/>
        </w:rPr>
        <w:t>Company No: B130062</w:t>
      </w:r>
    </w:p>
    <w:p>
      <w:pPr>
        <w:ind w:left="6300"/>
        <w:spacing w:after="0"/>
        <w:rPr>
          <w:sz w:val="20"/>
          <w:szCs w:val="20"/>
          <w:color w:val="auto"/>
        </w:rPr>
      </w:pPr>
      <w:r>
        <w:rPr>
          <w:rFonts w:ascii="Arial" w:cs="Arial" w:eastAsia="Arial" w:hAnsi="Arial"/>
          <w:sz w:val="20"/>
          <w:szCs w:val="20"/>
          <w:color w:val="auto"/>
        </w:rPr>
        <w:t>Tax ID: 2007 2434 499</w:t>
      </w:r>
    </w:p>
    <w:p>
      <w:pPr>
        <w:ind w:left="6300"/>
        <w:spacing w:after="0"/>
        <w:rPr>
          <w:sz w:val="20"/>
          <w:szCs w:val="20"/>
          <w:color w:val="auto"/>
        </w:rPr>
      </w:pPr>
      <w:r>
        <w:rPr>
          <w:rFonts w:ascii="Arial" w:cs="Arial" w:eastAsia="Arial" w:hAnsi="Arial"/>
          <w:sz w:val="20"/>
          <w:szCs w:val="20"/>
          <w:color w:val="auto"/>
        </w:rPr>
        <w:t>Share capital: EUR 59,713,225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300"/>
        <w:spacing w:after="0"/>
        <w:rPr>
          <w:sz w:val="20"/>
          <w:szCs w:val="20"/>
          <w:color w:val="auto"/>
        </w:rPr>
      </w:pPr>
      <w:r>
        <w:rPr>
          <w:rFonts w:ascii="Arial" w:cs="Arial" w:eastAsia="Arial" w:hAnsi="Arial"/>
          <w:sz w:val="20"/>
          <w:szCs w:val="20"/>
          <w:color w:val="auto"/>
        </w:rPr>
        <w:t>JAZZ FINANCING LUX S.á.R.L.</w:t>
      </w:r>
    </w:p>
    <w:p>
      <w:pPr>
        <w:spacing w:after="0" w:line="378" w:lineRule="exact"/>
        <w:rPr>
          <w:sz w:val="20"/>
          <w:szCs w:val="20"/>
          <w:color w:val="auto"/>
        </w:rPr>
      </w:pPr>
    </w:p>
    <w:p>
      <w:pPr>
        <w:ind w:left="6300"/>
        <w:spacing w:after="0"/>
        <w:tabs>
          <w:tab w:leader="none" w:pos="69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27305</wp:posOffset>
            </wp:positionV>
            <wp:extent cx="2109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47"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Patricia Carr</w:t>
      </w:r>
    </w:p>
    <w:p>
      <w:pPr>
        <w:spacing w:after="0" w:line="54"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Title: Manager</w:t>
      </w:r>
    </w:p>
    <w:p>
      <w:pPr>
        <w:spacing w:after="0" w:line="378" w:lineRule="exact"/>
        <w:rPr>
          <w:sz w:val="20"/>
          <w:szCs w:val="20"/>
          <w:color w:val="auto"/>
        </w:rPr>
      </w:pPr>
    </w:p>
    <w:p>
      <w:pPr>
        <w:ind w:left="6300"/>
        <w:spacing w:after="0"/>
        <w:rPr>
          <w:sz w:val="20"/>
          <w:szCs w:val="20"/>
          <w:color w:val="auto"/>
        </w:rPr>
      </w:pPr>
      <w:r>
        <w:rPr>
          <w:rFonts w:ascii="Arial" w:cs="Arial" w:eastAsia="Arial" w:hAnsi="Arial"/>
          <w:sz w:val="20"/>
          <w:szCs w:val="20"/>
          <w:color w:val="auto"/>
        </w:rPr>
        <w:t>5, rue Guillaume Kroll</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20"/>
          <w:szCs w:val="20"/>
          <w:color w:val="auto"/>
        </w:rPr>
        <w:t>L – 1882 Luxembourg</w:t>
      </w:r>
    </w:p>
    <w:p>
      <w:pPr>
        <w:ind w:left="6300"/>
        <w:spacing w:after="0"/>
        <w:rPr>
          <w:sz w:val="20"/>
          <w:szCs w:val="20"/>
          <w:color w:val="auto"/>
        </w:rPr>
      </w:pPr>
      <w:r>
        <w:rPr>
          <w:rFonts w:ascii="Arial" w:cs="Arial" w:eastAsia="Arial" w:hAnsi="Arial"/>
          <w:sz w:val="20"/>
          <w:szCs w:val="20"/>
          <w:color w:val="auto"/>
        </w:rPr>
        <w:t>Company No: B178623</w:t>
      </w:r>
    </w:p>
    <w:p>
      <w:pPr>
        <w:ind w:left="6300"/>
        <w:spacing w:after="0"/>
        <w:rPr>
          <w:sz w:val="20"/>
          <w:szCs w:val="20"/>
          <w:color w:val="auto"/>
        </w:rPr>
      </w:pPr>
      <w:r>
        <w:rPr>
          <w:rFonts w:ascii="Arial" w:cs="Arial" w:eastAsia="Arial" w:hAnsi="Arial"/>
          <w:sz w:val="20"/>
          <w:szCs w:val="20"/>
          <w:color w:val="auto"/>
        </w:rPr>
        <w:t>Tax ID: 2013 2428 906</w:t>
      </w:r>
    </w:p>
    <w:p>
      <w:pPr>
        <w:ind w:left="6300"/>
        <w:spacing w:after="0"/>
        <w:rPr>
          <w:sz w:val="20"/>
          <w:szCs w:val="20"/>
          <w:color w:val="auto"/>
        </w:rPr>
      </w:pPr>
      <w:r>
        <w:rPr>
          <w:rFonts w:ascii="Arial" w:cs="Arial" w:eastAsia="Arial" w:hAnsi="Arial"/>
          <w:sz w:val="20"/>
          <w:szCs w:val="20"/>
          <w:color w:val="auto"/>
        </w:rPr>
        <w:t>Share capital: USD 25,000</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[Signature Page to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527" w:right="239" w:bottom="1440" w:gutter="0" w:footer="0" w:header="0"/>
        </w:sectPr>
      </w:pPr>
    </w:p>
    <w:bookmarkStart w:id="158" w:name="page159"/>
    <w:bookmarkEnd w:id="158"/>
    <w:p>
      <w:pPr>
        <w:ind w:left="6300"/>
        <w:spacing w:after="0"/>
        <w:rPr>
          <w:sz w:val="20"/>
          <w:szCs w:val="20"/>
          <w:color w:val="auto"/>
        </w:rPr>
      </w:pPr>
      <w:r>
        <w:rPr>
          <w:rFonts w:ascii="Arial" w:cs="Arial" w:eastAsia="Arial" w:hAnsi="Arial"/>
          <w:sz w:val="19"/>
          <w:szCs w:val="19"/>
          <w:color w:val="auto"/>
        </w:rPr>
        <w:t>JAZZ PHARMACEUTICALS HOLDINGS</w:t>
      </w:r>
    </w:p>
    <w:p>
      <w:pPr>
        <w:spacing w:after="0" w:line="27" w:lineRule="exact"/>
        <w:rPr>
          <w:sz w:val="20"/>
          <w:szCs w:val="20"/>
          <w:color w:val="auto"/>
        </w:rPr>
      </w:pPr>
    </w:p>
    <w:p>
      <w:pPr>
        <w:ind w:left="6300"/>
        <w:spacing w:after="0"/>
        <w:rPr>
          <w:sz w:val="20"/>
          <w:szCs w:val="20"/>
          <w:color w:val="auto"/>
        </w:rPr>
      </w:pPr>
      <w:r>
        <w:rPr>
          <w:rFonts w:ascii="Arial" w:cs="Arial" w:eastAsia="Arial" w:hAnsi="Arial"/>
          <w:sz w:val="20"/>
          <w:szCs w:val="20"/>
          <w:color w:val="auto"/>
        </w:rPr>
        <w:t>INC.</w:t>
      </w:r>
    </w:p>
    <w:p>
      <w:pPr>
        <w:spacing w:after="0" w:line="362" w:lineRule="exact"/>
        <w:rPr>
          <w:sz w:val="20"/>
          <w:szCs w:val="20"/>
          <w:color w:val="auto"/>
        </w:rPr>
      </w:pPr>
    </w:p>
    <w:p>
      <w:pPr>
        <w:ind w:left="6300"/>
        <w:spacing w:after="0"/>
        <w:tabs>
          <w:tab w:leader="none" w:pos="69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Matthew 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27305</wp:posOffset>
            </wp:positionV>
            <wp:extent cx="2109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47"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Matthew P. Young</w:t>
      </w:r>
    </w:p>
    <w:p>
      <w:pPr>
        <w:spacing w:after="0" w:line="54"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[Signature Page to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800"/>
          </w:cols>
          <w:pgMar w:left="1440" w:top="528" w:right="659" w:bottom="1440" w:gutter="0" w:footer="0" w:header="0"/>
        </w:sectPr>
      </w:pPr>
    </w:p>
    <w:bookmarkStart w:id="159" w:name="page160"/>
    <w:bookmarkEnd w:id="159"/>
    <w:p>
      <w:pPr>
        <w:ind w:left="620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as Administrative Agent and Collateral Agent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Angela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4337050</wp:posOffset>
            </wp:positionH>
            <wp:positionV relativeFrom="paragraph">
              <wp:posOffset>27305</wp:posOffset>
            </wp:positionV>
            <wp:extent cx="2152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47"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Name: Angela Larkin</w:t>
      </w:r>
    </w:p>
    <w:p>
      <w:pPr>
        <w:spacing w:after="0" w:line="54"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840"/>
          </w:cols>
          <w:pgMar w:left="1440" w:top="528" w:right="619" w:bottom="1440" w:gutter="0" w:footer="0" w:header="0"/>
        </w:sectPr>
      </w:pPr>
    </w:p>
    <w:bookmarkStart w:id="160" w:name="page161"/>
    <w:bookmarkEnd w:id="160"/>
    <w:p>
      <w:pPr>
        <w:ind w:left="620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as L/C Issuer and Swing Line Lender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Linda Alto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4337050</wp:posOffset>
            </wp:positionH>
            <wp:positionV relativeFrom="paragraph">
              <wp:posOffset>27305</wp:posOffset>
            </wp:positionV>
            <wp:extent cx="2152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47"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Name: Linda Alto</w:t>
      </w:r>
    </w:p>
    <w:p>
      <w:pPr>
        <w:spacing w:after="0" w:line="54"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95250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160"/>
          </w:cols>
          <w:pgMar w:left="1440" w:top="528" w:right="1299" w:bottom="1440" w:gutter="0" w:footer="0" w:header="0"/>
        </w:sectPr>
      </w:pPr>
    </w:p>
    <w:bookmarkStart w:id="161" w:name="page162"/>
    <w:bookmarkEnd w:id="161"/>
    <w:p>
      <w:pPr>
        <w:ind w:firstLine="1297"/>
        <w:spacing w:after="0" w:line="260" w:lineRule="auto"/>
        <w:rPr>
          <w:sz w:val="20"/>
          <w:szCs w:val="20"/>
          <w:color w:val="auto"/>
        </w:rPr>
      </w:pPr>
      <w:r>
        <w:rPr>
          <w:rFonts w:ascii="Arial" w:cs="Arial" w:eastAsia="Arial" w:hAnsi="Arial"/>
          <w:sz w:val="20"/>
          <w:szCs w:val="20"/>
          <w:color w:val="auto"/>
        </w:rPr>
        <w:t xml:space="preserve">The undersigned evidences its consent to the amendments reflected in this Amendment and agrees to provide the New Revolving Commitments set forth opposite such Lender's name on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to this Amendment.</w:t>
      </w:r>
    </w:p>
    <w:p>
      <w:pPr>
        <w:spacing w:after="0" w:line="200" w:lineRule="exact"/>
        <w:rPr>
          <w:sz w:val="20"/>
          <w:szCs w:val="20"/>
          <w:color w:val="auto"/>
        </w:rPr>
      </w:pPr>
    </w:p>
    <w:p>
      <w:pPr>
        <w:spacing w:after="0" w:line="355" w:lineRule="exact"/>
        <w:rPr>
          <w:sz w:val="20"/>
          <w:szCs w:val="20"/>
          <w:color w:val="auto"/>
        </w:rPr>
      </w:pPr>
    </w:p>
    <w:p>
      <w:pPr>
        <w:ind w:left="7400"/>
        <w:spacing w:after="0"/>
        <w:rPr>
          <w:sz w:val="20"/>
          <w:szCs w:val="20"/>
          <w:color w:val="auto"/>
        </w:rPr>
      </w:pPr>
      <w:r>
        <w:rPr>
          <w:rFonts w:ascii="Arial" w:cs="Arial" w:eastAsia="Arial" w:hAnsi="Arial"/>
          <w:sz w:val="20"/>
          <w:szCs w:val="20"/>
          <w:color w:val="auto"/>
        </w:rPr>
        <w:t>BANK OF AMERICA, N.A.,</w:t>
      </w:r>
    </w:p>
    <w:p>
      <w:pPr>
        <w:spacing w:after="0" w:line="378" w:lineRule="exact"/>
        <w:rPr>
          <w:sz w:val="20"/>
          <w:szCs w:val="20"/>
          <w:color w:val="auto"/>
        </w:rPr>
      </w:pPr>
    </w:p>
    <w:p>
      <w:pPr>
        <w:ind w:left="7400"/>
        <w:spacing w:after="0"/>
        <w:tabs>
          <w:tab w:leader="none" w:pos="8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Linda Alto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27305</wp:posOffset>
            </wp:positionV>
            <wp:extent cx="2152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47" w:lineRule="exact"/>
        <w:rPr>
          <w:sz w:val="20"/>
          <w:szCs w:val="20"/>
          <w:color w:val="auto"/>
        </w:rPr>
      </w:pPr>
    </w:p>
    <w:p>
      <w:pPr>
        <w:ind w:left="8060"/>
        <w:spacing w:after="0"/>
        <w:rPr>
          <w:sz w:val="20"/>
          <w:szCs w:val="20"/>
          <w:color w:val="auto"/>
        </w:rPr>
      </w:pPr>
      <w:r>
        <w:rPr>
          <w:rFonts w:ascii="Arial" w:cs="Arial" w:eastAsia="Arial" w:hAnsi="Arial"/>
          <w:sz w:val="20"/>
          <w:szCs w:val="20"/>
          <w:color w:val="auto"/>
        </w:rPr>
        <w:t>Name: Linda Alto</w:t>
      </w:r>
    </w:p>
    <w:p>
      <w:pPr>
        <w:spacing w:after="0" w:line="54" w:lineRule="exact"/>
        <w:rPr>
          <w:sz w:val="20"/>
          <w:szCs w:val="20"/>
          <w:color w:val="auto"/>
        </w:rPr>
      </w:pPr>
    </w:p>
    <w:p>
      <w:pPr>
        <w:ind w:left="8060"/>
        <w:spacing w:after="0"/>
        <w:rPr>
          <w:sz w:val="20"/>
          <w:szCs w:val="20"/>
          <w:color w:val="auto"/>
        </w:rPr>
      </w:pPr>
      <w:r>
        <w:rPr>
          <w:rFonts w:ascii="Arial" w:cs="Arial" w:eastAsia="Arial" w:hAnsi="Arial"/>
          <w:sz w:val="20"/>
          <w:szCs w:val="20"/>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60"/>
          </w:cols>
          <w:pgMar w:left="240" w:top="366" w:right="999" w:bottom="1440" w:gutter="0" w:footer="0" w:header="0"/>
        </w:sectPr>
      </w:pPr>
    </w:p>
    <w:bookmarkStart w:id="162" w:name="page163"/>
    <w:bookmarkEnd w:id="162"/>
    <w:p>
      <w:pPr>
        <w:ind w:left="100"/>
        <w:spacing w:after="0"/>
        <w:rPr>
          <w:sz w:val="20"/>
          <w:szCs w:val="20"/>
          <w:color w:val="auto"/>
        </w:rPr>
      </w:pPr>
      <w:r>
        <w:rPr>
          <w:rFonts w:ascii="Arial" w:cs="Arial" w:eastAsia="Arial" w:hAnsi="Arial"/>
          <w:sz w:val="20"/>
          <w:szCs w:val="20"/>
          <w:color w:val="auto"/>
        </w:rPr>
        <w:t>The undersigned Lender hereby evidences its consent to the amendments reflected in this Amendment.</w:t>
      </w:r>
    </w:p>
    <w:p>
      <w:pPr>
        <w:spacing w:after="0" w:line="200" w:lineRule="exact"/>
        <w:rPr>
          <w:sz w:val="20"/>
          <w:szCs w:val="20"/>
          <w:color w:val="auto"/>
        </w:rPr>
      </w:pPr>
    </w:p>
    <w:p>
      <w:pPr>
        <w:spacing w:after="0" w:line="394"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Citibank, N.A.,</w:t>
      </w:r>
    </w:p>
    <w:p>
      <w:pPr>
        <w:spacing w:after="0" w:line="378" w:lineRule="exact"/>
        <w:rPr>
          <w:sz w:val="20"/>
          <w:szCs w:val="20"/>
          <w:color w:val="auto"/>
        </w:rPr>
      </w:pPr>
    </w:p>
    <w:tbl>
      <w:tblPr>
        <w:tblLayout w:type="fixed"/>
        <w:tblInd w:w="620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380" w:type="dxa"/>
            <w:vAlign w:val="bottom"/>
          </w:tcPr>
          <w:p>
            <w:pPr>
              <w:ind w:left="20"/>
              <w:spacing w:after="0"/>
              <w:rPr>
                <w:sz w:val="20"/>
                <w:szCs w:val="20"/>
                <w:color w:val="auto"/>
              </w:rPr>
            </w:pPr>
            <w:r>
              <w:rPr>
                <w:rFonts w:ascii="Arial" w:cs="Arial" w:eastAsia="Arial" w:hAnsi="Arial"/>
                <w:sz w:val="20"/>
                <w:szCs w:val="20"/>
                <w:color w:val="auto"/>
              </w:rPr>
              <w:t>/s/ Blake Gronich</w:t>
            </w:r>
          </w:p>
        </w:tc>
      </w:tr>
      <w:tr>
        <w:trPr>
          <w:trHeight w:val="23"/>
        </w:trPr>
        <w:tc>
          <w:tcPr>
            <w:tcW w:w="6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Name: Blake Gronich</w:t>
            </w:r>
          </w:p>
        </w:tc>
      </w:tr>
      <w:tr>
        <w:trPr>
          <w:trHeight w:val="284"/>
        </w:trPr>
        <w:tc>
          <w:tcPr>
            <w:tcW w:w="64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163" w:name="page164"/>
    <w:bookmarkEnd w:id="163"/>
    <w:p>
      <w:pPr>
        <w:ind w:left="100"/>
        <w:spacing w:after="0"/>
        <w:rPr>
          <w:sz w:val="20"/>
          <w:szCs w:val="20"/>
          <w:color w:val="auto"/>
        </w:rPr>
      </w:pPr>
      <w:r>
        <w:rPr>
          <w:rFonts w:ascii="Arial" w:cs="Arial" w:eastAsia="Arial" w:hAnsi="Arial"/>
          <w:sz w:val="20"/>
          <w:szCs w:val="20"/>
          <w:color w:val="auto"/>
        </w:rPr>
        <w:t>The undersigned Lender hereby evidences its consent to the amendments reflected in this Amendment.</w:t>
      </w:r>
    </w:p>
    <w:p>
      <w:pPr>
        <w:spacing w:after="0" w:line="200" w:lineRule="exact"/>
        <w:rPr>
          <w:sz w:val="20"/>
          <w:szCs w:val="20"/>
          <w:color w:val="auto"/>
        </w:rPr>
      </w:pPr>
    </w:p>
    <w:p>
      <w:pPr>
        <w:spacing w:after="0" w:line="394"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DNB (UK) Limited</w:t>
      </w:r>
    </w:p>
    <w:p>
      <w:pPr>
        <w:spacing w:after="0" w:line="378" w:lineRule="exact"/>
        <w:rPr>
          <w:sz w:val="20"/>
          <w:szCs w:val="20"/>
          <w:color w:val="auto"/>
        </w:rPr>
      </w:pPr>
    </w:p>
    <w:tbl>
      <w:tblPr>
        <w:tblLayout w:type="fixed"/>
        <w:tblInd w:w="620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380" w:type="dxa"/>
            <w:vAlign w:val="bottom"/>
          </w:tcPr>
          <w:p>
            <w:pPr>
              <w:ind w:left="20"/>
              <w:spacing w:after="0"/>
              <w:rPr>
                <w:sz w:val="20"/>
                <w:szCs w:val="20"/>
                <w:color w:val="auto"/>
              </w:rPr>
            </w:pPr>
            <w:r>
              <w:rPr>
                <w:rFonts w:ascii="Arial" w:cs="Arial" w:eastAsia="Arial" w:hAnsi="Arial"/>
                <w:sz w:val="20"/>
                <w:szCs w:val="20"/>
                <w:color w:val="auto"/>
              </w:rPr>
              <w:t>/s/ Debbie Dyson</w:t>
            </w:r>
          </w:p>
        </w:tc>
      </w:tr>
      <w:tr>
        <w:trPr>
          <w:trHeight w:val="23"/>
        </w:trPr>
        <w:tc>
          <w:tcPr>
            <w:tcW w:w="6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Name: Debbie Dyson</w:t>
            </w:r>
          </w:p>
        </w:tc>
      </w:tr>
      <w:tr>
        <w:trPr>
          <w:trHeight w:val="284"/>
        </w:trPr>
        <w:tc>
          <w:tcPr>
            <w:tcW w:w="64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Title: SVP</w:t>
            </w:r>
          </w:p>
        </w:tc>
      </w:tr>
      <w:tr>
        <w:trPr>
          <w:trHeight w:val="608"/>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380" w:type="dxa"/>
            <w:vAlign w:val="bottom"/>
          </w:tcPr>
          <w:p>
            <w:pPr>
              <w:ind w:left="20"/>
              <w:spacing w:after="0"/>
              <w:rPr>
                <w:sz w:val="20"/>
                <w:szCs w:val="20"/>
                <w:color w:val="auto"/>
              </w:rPr>
            </w:pPr>
            <w:r>
              <w:rPr>
                <w:rFonts w:ascii="Arial" w:cs="Arial" w:eastAsia="Arial" w:hAnsi="Arial"/>
                <w:sz w:val="20"/>
                <w:szCs w:val="20"/>
                <w:color w:val="auto"/>
              </w:rPr>
              <w:t>/s/ David Hopwood</w:t>
            </w:r>
          </w:p>
        </w:tc>
      </w:tr>
      <w:tr>
        <w:trPr>
          <w:trHeight w:val="23"/>
        </w:trPr>
        <w:tc>
          <w:tcPr>
            <w:tcW w:w="6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Name: David Hopwood</w:t>
            </w:r>
          </w:p>
        </w:tc>
      </w:tr>
      <w:tr>
        <w:trPr>
          <w:trHeight w:val="284"/>
        </w:trPr>
        <w:tc>
          <w:tcPr>
            <w:tcW w:w="64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Title: Authorised Signatory</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164" w:name="page165"/>
    <w:bookmarkEnd w:id="164"/>
    <w:p>
      <w:pPr>
        <w:ind w:left="100"/>
        <w:spacing w:after="0"/>
        <w:rPr>
          <w:sz w:val="20"/>
          <w:szCs w:val="20"/>
          <w:color w:val="auto"/>
        </w:rPr>
      </w:pPr>
      <w:r>
        <w:rPr>
          <w:rFonts w:ascii="Arial" w:cs="Arial" w:eastAsia="Arial" w:hAnsi="Arial"/>
          <w:sz w:val="20"/>
          <w:szCs w:val="20"/>
          <w:color w:val="auto"/>
        </w:rPr>
        <w:t>The undersigned Lender hereby evidences its consent to the amendments reflected in this Amendment.</w:t>
      </w:r>
    </w:p>
    <w:p>
      <w:pPr>
        <w:spacing w:after="0" w:line="200" w:lineRule="exact"/>
        <w:rPr>
          <w:sz w:val="20"/>
          <w:szCs w:val="20"/>
          <w:color w:val="auto"/>
        </w:rPr>
      </w:pPr>
    </w:p>
    <w:p>
      <w:pPr>
        <w:spacing w:after="0" w:line="394"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JPMORGAN CHASE BANK, N.A.,</w:t>
      </w:r>
    </w:p>
    <w:p>
      <w:pPr>
        <w:spacing w:after="0" w:line="378" w:lineRule="exact"/>
        <w:rPr>
          <w:sz w:val="20"/>
          <w:szCs w:val="20"/>
          <w:color w:val="auto"/>
        </w:rPr>
      </w:pPr>
    </w:p>
    <w:tbl>
      <w:tblPr>
        <w:tblLayout w:type="fixed"/>
        <w:tblInd w:w="620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380" w:type="dxa"/>
            <w:vAlign w:val="bottom"/>
          </w:tcPr>
          <w:p>
            <w:pPr>
              <w:ind w:left="20"/>
              <w:spacing w:after="0"/>
              <w:rPr>
                <w:sz w:val="20"/>
                <w:szCs w:val="20"/>
                <w:color w:val="auto"/>
              </w:rPr>
            </w:pPr>
            <w:r>
              <w:rPr>
                <w:rFonts w:ascii="Arial" w:cs="Arial" w:eastAsia="Arial" w:hAnsi="Arial"/>
                <w:sz w:val="20"/>
                <w:szCs w:val="20"/>
                <w:color w:val="auto"/>
              </w:rPr>
              <w:t>/s/ Alex Rogin</w:t>
            </w:r>
          </w:p>
        </w:tc>
      </w:tr>
      <w:tr>
        <w:trPr>
          <w:trHeight w:val="23"/>
        </w:trPr>
        <w:tc>
          <w:tcPr>
            <w:tcW w:w="6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Name: Alex Rogin</w:t>
            </w:r>
          </w:p>
        </w:tc>
      </w:tr>
      <w:tr>
        <w:trPr>
          <w:trHeight w:val="284"/>
        </w:trPr>
        <w:tc>
          <w:tcPr>
            <w:tcW w:w="64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Title: 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165" w:name="page166"/>
    <w:bookmarkEnd w:id="165"/>
    <w:p>
      <w:pPr>
        <w:ind w:left="100"/>
        <w:spacing w:after="0"/>
        <w:rPr>
          <w:sz w:val="20"/>
          <w:szCs w:val="20"/>
          <w:color w:val="auto"/>
        </w:rPr>
      </w:pPr>
      <w:r>
        <w:rPr>
          <w:rFonts w:ascii="Arial" w:cs="Arial" w:eastAsia="Arial" w:hAnsi="Arial"/>
          <w:sz w:val="20"/>
          <w:szCs w:val="20"/>
          <w:color w:val="auto"/>
        </w:rPr>
        <w:t>The undersigned Lender hereby evidences its consent to the amendments reflected in this Amendment.</w:t>
      </w:r>
    </w:p>
    <w:p>
      <w:pPr>
        <w:spacing w:after="0" w:line="200" w:lineRule="exact"/>
        <w:rPr>
          <w:sz w:val="20"/>
          <w:szCs w:val="20"/>
          <w:color w:val="auto"/>
        </w:rPr>
      </w:pPr>
    </w:p>
    <w:p>
      <w:pPr>
        <w:spacing w:after="0" w:line="394"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The Bank of Tokyo-Mitsubishi UFJ, Ltd.,</w:t>
      </w:r>
    </w:p>
    <w:p>
      <w:pPr>
        <w:spacing w:after="0" w:line="378" w:lineRule="exact"/>
        <w:rPr>
          <w:sz w:val="20"/>
          <w:szCs w:val="20"/>
          <w:color w:val="auto"/>
        </w:rPr>
      </w:pPr>
    </w:p>
    <w:tbl>
      <w:tblPr>
        <w:tblLayout w:type="fixed"/>
        <w:tblInd w:w="620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380" w:type="dxa"/>
            <w:vAlign w:val="bottom"/>
          </w:tcPr>
          <w:p>
            <w:pPr>
              <w:ind w:left="20"/>
              <w:spacing w:after="0"/>
              <w:rPr>
                <w:sz w:val="20"/>
                <w:szCs w:val="20"/>
                <w:color w:val="auto"/>
              </w:rPr>
            </w:pPr>
            <w:r>
              <w:rPr>
                <w:rFonts w:ascii="Arial" w:cs="Arial" w:eastAsia="Arial" w:hAnsi="Arial"/>
                <w:sz w:val="20"/>
                <w:szCs w:val="20"/>
                <w:color w:val="auto"/>
              </w:rPr>
              <w:t>/s/ Scott O'Connell</w:t>
            </w:r>
          </w:p>
        </w:tc>
      </w:tr>
      <w:tr>
        <w:trPr>
          <w:trHeight w:val="23"/>
        </w:trPr>
        <w:tc>
          <w:tcPr>
            <w:tcW w:w="6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Name: Scott O'Connell</w:t>
            </w:r>
          </w:p>
        </w:tc>
      </w:tr>
      <w:tr>
        <w:trPr>
          <w:trHeight w:val="284"/>
        </w:trPr>
        <w:tc>
          <w:tcPr>
            <w:tcW w:w="64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166" w:name="page167"/>
    <w:bookmarkEnd w:id="166"/>
    <w:p>
      <w:pPr>
        <w:ind w:left="100"/>
        <w:spacing w:after="0"/>
        <w:rPr>
          <w:sz w:val="20"/>
          <w:szCs w:val="20"/>
          <w:color w:val="auto"/>
        </w:rPr>
      </w:pPr>
      <w:r>
        <w:rPr>
          <w:rFonts w:ascii="Arial" w:cs="Arial" w:eastAsia="Arial" w:hAnsi="Arial"/>
          <w:sz w:val="20"/>
          <w:szCs w:val="20"/>
          <w:color w:val="auto"/>
        </w:rPr>
        <w:t>The undersigned Lender hereby evidences its consent to the amendments reflected in this Amendment.</w:t>
      </w:r>
    </w:p>
    <w:p>
      <w:pPr>
        <w:spacing w:after="0" w:line="200" w:lineRule="exact"/>
        <w:rPr>
          <w:sz w:val="20"/>
          <w:szCs w:val="20"/>
          <w:color w:val="auto"/>
        </w:rPr>
      </w:pPr>
    </w:p>
    <w:p>
      <w:pPr>
        <w:spacing w:after="0" w:line="394" w:lineRule="exact"/>
        <w:rPr>
          <w:sz w:val="20"/>
          <w:szCs w:val="20"/>
          <w:color w:val="auto"/>
        </w:rPr>
      </w:pPr>
    </w:p>
    <w:p>
      <w:pPr>
        <w:ind w:left="6200"/>
        <w:spacing w:after="0"/>
        <w:rPr>
          <w:sz w:val="20"/>
          <w:szCs w:val="20"/>
          <w:color w:val="auto"/>
        </w:rPr>
      </w:pPr>
      <w:r>
        <w:rPr>
          <w:rFonts w:ascii="Arial" w:cs="Arial" w:eastAsia="Arial" w:hAnsi="Arial"/>
          <w:sz w:val="20"/>
          <w:szCs w:val="20"/>
          <w:u w:val="single" w:color="auto"/>
          <w:color w:val="auto"/>
        </w:rPr>
        <w:t>ROYAL BANK OF CANADA,</w:t>
      </w:r>
    </w:p>
    <w:p>
      <w:pPr>
        <w:spacing w:after="0" w:line="378" w:lineRule="exact"/>
        <w:rPr>
          <w:sz w:val="20"/>
          <w:szCs w:val="20"/>
          <w:color w:val="auto"/>
        </w:rPr>
      </w:pPr>
    </w:p>
    <w:tbl>
      <w:tblPr>
        <w:tblLayout w:type="fixed"/>
        <w:tblInd w:w="620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380" w:type="dxa"/>
            <w:vAlign w:val="bottom"/>
          </w:tcPr>
          <w:p>
            <w:pPr>
              <w:ind w:left="20"/>
              <w:spacing w:after="0"/>
              <w:rPr>
                <w:sz w:val="20"/>
                <w:szCs w:val="20"/>
                <w:color w:val="auto"/>
              </w:rPr>
            </w:pPr>
            <w:r>
              <w:rPr>
                <w:rFonts w:ascii="Arial" w:cs="Arial" w:eastAsia="Arial" w:hAnsi="Arial"/>
                <w:sz w:val="20"/>
                <w:szCs w:val="20"/>
                <w:color w:val="auto"/>
              </w:rPr>
              <w:t>/s/ Scott MacVicar</w:t>
            </w:r>
          </w:p>
        </w:tc>
      </w:tr>
      <w:tr>
        <w:trPr>
          <w:trHeight w:val="23"/>
        </w:trPr>
        <w:tc>
          <w:tcPr>
            <w:tcW w:w="6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Name: Scott MacVicar</w:t>
            </w:r>
          </w:p>
        </w:tc>
      </w:tr>
      <w:tr>
        <w:trPr>
          <w:trHeight w:val="284"/>
        </w:trPr>
        <w:tc>
          <w:tcPr>
            <w:tcW w:w="64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167" w:name="page168"/>
    <w:bookmarkEnd w:id="167"/>
    <w:p>
      <w:pPr>
        <w:ind w:left="100"/>
        <w:spacing w:after="0"/>
        <w:rPr>
          <w:sz w:val="20"/>
          <w:szCs w:val="20"/>
          <w:color w:val="auto"/>
        </w:rPr>
      </w:pPr>
      <w:r>
        <w:rPr>
          <w:rFonts w:ascii="Arial" w:cs="Arial" w:eastAsia="Arial" w:hAnsi="Arial"/>
          <w:sz w:val="20"/>
          <w:szCs w:val="20"/>
          <w:color w:val="auto"/>
        </w:rPr>
        <w:t>The undersigned Lender hereby evidences its consent to the amendments reflected in this Amendment.</w:t>
      </w:r>
    </w:p>
    <w:p>
      <w:pPr>
        <w:spacing w:after="0" w:line="200" w:lineRule="exact"/>
        <w:rPr>
          <w:sz w:val="20"/>
          <w:szCs w:val="20"/>
          <w:color w:val="auto"/>
        </w:rPr>
      </w:pPr>
    </w:p>
    <w:p>
      <w:pPr>
        <w:spacing w:after="0" w:line="394" w:lineRule="exact"/>
        <w:rPr>
          <w:sz w:val="20"/>
          <w:szCs w:val="20"/>
          <w:color w:val="auto"/>
        </w:rPr>
      </w:pPr>
    </w:p>
    <w:p>
      <w:pPr>
        <w:ind w:left="6200"/>
        <w:spacing w:after="0"/>
        <w:rPr>
          <w:sz w:val="20"/>
          <w:szCs w:val="20"/>
          <w:color w:val="auto"/>
        </w:rPr>
      </w:pPr>
      <w:r>
        <w:rPr>
          <w:rFonts w:ascii="Arial" w:cs="Arial" w:eastAsia="Arial" w:hAnsi="Arial"/>
          <w:sz w:val="20"/>
          <w:szCs w:val="20"/>
          <w:u w:val="single" w:color="auto"/>
          <w:color w:val="auto"/>
        </w:rPr>
        <w:t>Sumitomo Mitsui Banking Corporation,</w:t>
      </w:r>
    </w:p>
    <w:p>
      <w:pPr>
        <w:spacing w:after="0" w:line="378" w:lineRule="exact"/>
        <w:rPr>
          <w:sz w:val="20"/>
          <w:szCs w:val="20"/>
          <w:color w:val="auto"/>
        </w:rPr>
      </w:pPr>
    </w:p>
    <w:tbl>
      <w:tblPr>
        <w:tblLayout w:type="fixed"/>
        <w:tblInd w:w="620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380" w:type="dxa"/>
            <w:vAlign w:val="bottom"/>
          </w:tcPr>
          <w:p>
            <w:pPr>
              <w:ind w:left="20"/>
              <w:spacing w:after="0"/>
              <w:rPr>
                <w:sz w:val="20"/>
                <w:szCs w:val="20"/>
                <w:color w:val="auto"/>
              </w:rPr>
            </w:pPr>
            <w:r>
              <w:rPr>
                <w:rFonts w:ascii="Arial" w:cs="Arial" w:eastAsia="Arial" w:hAnsi="Arial"/>
                <w:sz w:val="20"/>
                <w:szCs w:val="20"/>
                <w:color w:val="auto"/>
              </w:rPr>
              <w:t>/s/ David W. Kee</w:t>
            </w:r>
          </w:p>
        </w:tc>
      </w:tr>
      <w:tr>
        <w:trPr>
          <w:trHeight w:val="23"/>
        </w:trPr>
        <w:tc>
          <w:tcPr>
            <w:tcW w:w="6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Name: David W. Kee</w:t>
            </w:r>
          </w:p>
        </w:tc>
      </w:tr>
      <w:tr>
        <w:trPr>
          <w:trHeight w:val="284"/>
        </w:trPr>
        <w:tc>
          <w:tcPr>
            <w:tcW w:w="64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168" w:name="page169"/>
    <w:bookmarkEnd w:id="168"/>
    <w:p>
      <w:pPr>
        <w:ind w:left="100"/>
        <w:spacing w:after="0"/>
        <w:rPr>
          <w:sz w:val="20"/>
          <w:szCs w:val="20"/>
          <w:color w:val="auto"/>
        </w:rPr>
      </w:pPr>
      <w:r>
        <w:rPr>
          <w:rFonts w:ascii="Arial" w:cs="Arial" w:eastAsia="Arial" w:hAnsi="Arial"/>
          <w:sz w:val="20"/>
          <w:szCs w:val="20"/>
          <w:color w:val="auto"/>
        </w:rPr>
        <w:t>The undersigned Lender hereby evidences its consent to the amendments reflected in this Amendment.</w:t>
      </w:r>
    </w:p>
    <w:p>
      <w:pPr>
        <w:spacing w:after="0" w:line="200" w:lineRule="exact"/>
        <w:rPr>
          <w:sz w:val="20"/>
          <w:szCs w:val="20"/>
          <w:color w:val="auto"/>
        </w:rPr>
      </w:pPr>
    </w:p>
    <w:p>
      <w:pPr>
        <w:spacing w:after="0" w:line="394"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BARCLAYS BANK PLC,</w:t>
      </w:r>
    </w:p>
    <w:p>
      <w:pPr>
        <w:spacing w:after="0" w:line="378" w:lineRule="exact"/>
        <w:rPr>
          <w:sz w:val="20"/>
          <w:szCs w:val="20"/>
          <w:color w:val="auto"/>
        </w:rPr>
      </w:pPr>
    </w:p>
    <w:tbl>
      <w:tblPr>
        <w:tblLayout w:type="fixed"/>
        <w:tblInd w:w="620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380" w:type="dxa"/>
            <w:vAlign w:val="bottom"/>
          </w:tcPr>
          <w:p>
            <w:pPr>
              <w:ind w:left="20"/>
              <w:spacing w:after="0"/>
              <w:rPr>
                <w:sz w:val="20"/>
                <w:szCs w:val="20"/>
                <w:color w:val="auto"/>
              </w:rPr>
            </w:pPr>
            <w:r>
              <w:rPr>
                <w:rFonts w:ascii="Arial" w:cs="Arial" w:eastAsia="Arial" w:hAnsi="Arial"/>
                <w:sz w:val="20"/>
                <w:szCs w:val="20"/>
                <w:color w:val="auto"/>
              </w:rPr>
              <w:t>/s/ Ronnie Glenn</w:t>
            </w:r>
          </w:p>
        </w:tc>
      </w:tr>
      <w:tr>
        <w:trPr>
          <w:trHeight w:val="23"/>
        </w:trPr>
        <w:tc>
          <w:tcPr>
            <w:tcW w:w="6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Name: Ronnie Glenn</w:t>
            </w:r>
          </w:p>
        </w:tc>
      </w:tr>
      <w:tr>
        <w:trPr>
          <w:trHeight w:val="284"/>
        </w:trPr>
        <w:tc>
          <w:tcPr>
            <w:tcW w:w="64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169" w:name="page170"/>
    <w:bookmarkEnd w:id="169"/>
    <w:p>
      <w:pPr>
        <w:ind w:left="100"/>
        <w:spacing w:after="0"/>
        <w:rPr>
          <w:sz w:val="20"/>
          <w:szCs w:val="20"/>
          <w:color w:val="auto"/>
        </w:rPr>
      </w:pPr>
      <w:r>
        <w:rPr>
          <w:rFonts w:ascii="Arial" w:cs="Arial" w:eastAsia="Arial" w:hAnsi="Arial"/>
          <w:sz w:val="20"/>
          <w:szCs w:val="20"/>
          <w:color w:val="auto"/>
        </w:rPr>
        <w:t>The undersigned Lender hereby evidences its consent to the amendments reflected in this Amendment.</w:t>
      </w:r>
    </w:p>
    <w:p>
      <w:pPr>
        <w:spacing w:after="0" w:line="200" w:lineRule="exact"/>
        <w:rPr>
          <w:sz w:val="20"/>
          <w:szCs w:val="20"/>
          <w:color w:val="auto"/>
        </w:rPr>
      </w:pPr>
    </w:p>
    <w:p>
      <w:pPr>
        <w:spacing w:after="0" w:line="394"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CREDIT SUISSE AG, CAYMAN ISLANDS</w:t>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BRANCH</w:t>
      </w:r>
    </w:p>
    <w:p>
      <w:pPr>
        <w:spacing w:after="0" w:line="362" w:lineRule="exact"/>
        <w:rPr>
          <w:sz w:val="20"/>
          <w:szCs w:val="20"/>
          <w:color w:val="auto"/>
        </w:rPr>
      </w:pPr>
    </w:p>
    <w:tbl>
      <w:tblPr>
        <w:tblLayout w:type="fixed"/>
        <w:tblInd w:w="620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380" w:type="dxa"/>
            <w:vAlign w:val="bottom"/>
          </w:tcPr>
          <w:p>
            <w:pPr>
              <w:ind w:left="20"/>
              <w:spacing w:after="0"/>
              <w:rPr>
                <w:sz w:val="20"/>
                <w:szCs w:val="20"/>
                <w:color w:val="auto"/>
              </w:rPr>
            </w:pPr>
            <w:r>
              <w:rPr>
                <w:rFonts w:ascii="Arial" w:cs="Arial" w:eastAsia="Arial" w:hAnsi="Arial"/>
                <w:sz w:val="20"/>
                <w:szCs w:val="20"/>
                <w:color w:val="auto"/>
              </w:rPr>
              <w:t>/s/ Christopher Day</w:t>
            </w:r>
          </w:p>
        </w:tc>
      </w:tr>
      <w:tr>
        <w:trPr>
          <w:trHeight w:val="23"/>
        </w:trPr>
        <w:tc>
          <w:tcPr>
            <w:tcW w:w="6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Name: Christopher Day</w:t>
            </w:r>
          </w:p>
        </w:tc>
      </w:tr>
      <w:tr>
        <w:trPr>
          <w:trHeight w:val="284"/>
        </w:trPr>
        <w:tc>
          <w:tcPr>
            <w:tcW w:w="64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Title: Authorized Signatory</w:t>
            </w:r>
          </w:p>
        </w:tc>
      </w:tr>
      <w:tr>
        <w:trPr>
          <w:trHeight w:val="608"/>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380" w:type="dxa"/>
            <w:vAlign w:val="bottom"/>
          </w:tcPr>
          <w:p>
            <w:pPr>
              <w:ind w:left="20"/>
              <w:spacing w:after="0"/>
              <w:rPr>
                <w:sz w:val="20"/>
                <w:szCs w:val="20"/>
                <w:color w:val="auto"/>
              </w:rPr>
            </w:pPr>
            <w:r>
              <w:rPr>
                <w:rFonts w:ascii="Arial" w:cs="Arial" w:eastAsia="Arial" w:hAnsi="Arial"/>
                <w:sz w:val="20"/>
                <w:szCs w:val="20"/>
                <w:color w:val="auto"/>
              </w:rPr>
              <w:t>/s/ Max Wallins</w:t>
            </w:r>
          </w:p>
        </w:tc>
      </w:tr>
      <w:tr>
        <w:trPr>
          <w:trHeight w:val="23"/>
        </w:trPr>
        <w:tc>
          <w:tcPr>
            <w:tcW w:w="6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Name: Max Wallins</w:t>
            </w:r>
          </w:p>
        </w:tc>
      </w:tr>
      <w:tr>
        <w:trPr>
          <w:trHeight w:val="284"/>
        </w:trPr>
        <w:tc>
          <w:tcPr>
            <w:tcW w:w="64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170" w:name="page171"/>
    <w:bookmarkEnd w:id="170"/>
    <w:p>
      <w:pPr>
        <w:ind w:left="100"/>
        <w:spacing w:after="0"/>
        <w:rPr>
          <w:sz w:val="20"/>
          <w:szCs w:val="20"/>
          <w:color w:val="auto"/>
        </w:rPr>
      </w:pPr>
      <w:r>
        <w:rPr>
          <w:rFonts w:ascii="Arial" w:cs="Arial" w:eastAsia="Arial" w:hAnsi="Arial"/>
          <w:sz w:val="20"/>
          <w:szCs w:val="20"/>
          <w:color w:val="auto"/>
        </w:rPr>
        <w:t>The undersigned Lender hereby evidences its consent to the amendments reflected in this Amendment.</w:t>
      </w:r>
    </w:p>
    <w:p>
      <w:pPr>
        <w:spacing w:after="0" w:line="200" w:lineRule="exact"/>
        <w:rPr>
          <w:sz w:val="20"/>
          <w:szCs w:val="20"/>
          <w:color w:val="auto"/>
        </w:rPr>
      </w:pPr>
    </w:p>
    <w:p>
      <w:pPr>
        <w:spacing w:after="0" w:line="394"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HSBC Bank plc, (Dublin Branch)</w:t>
      </w:r>
    </w:p>
    <w:p>
      <w:pPr>
        <w:spacing w:after="0" w:line="378" w:lineRule="exact"/>
        <w:rPr>
          <w:sz w:val="20"/>
          <w:szCs w:val="20"/>
          <w:color w:val="auto"/>
        </w:rPr>
      </w:pPr>
    </w:p>
    <w:tbl>
      <w:tblPr>
        <w:tblLayout w:type="fixed"/>
        <w:tblInd w:w="620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380" w:type="dxa"/>
            <w:vAlign w:val="bottom"/>
          </w:tcPr>
          <w:p>
            <w:pPr>
              <w:ind w:left="20"/>
              <w:spacing w:after="0"/>
              <w:rPr>
                <w:sz w:val="20"/>
                <w:szCs w:val="20"/>
                <w:color w:val="auto"/>
              </w:rPr>
            </w:pPr>
            <w:r>
              <w:rPr>
                <w:rFonts w:ascii="Arial" w:cs="Arial" w:eastAsia="Arial" w:hAnsi="Arial"/>
                <w:sz w:val="20"/>
                <w:szCs w:val="20"/>
                <w:color w:val="auto"/>
              </w:rPr>
              <w:t>/s/ Michael Lalor</w:t>
            </w:r>
          </w:p>
        </w:tc>
      </w:tr>
      <w:tr>
        <w:trPr>
          <w:trHeight w:val="23"/>
        </w:trPr>
        <w:tc>
          <w:tcPr>
            <w:tcW w:w="6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Name: Michael Lalor</w:t>
            </w:r>
          </w:p>
        </w:tc>
      </w:tr>
      <w:tr>
        <w:trPr>
          <w:trHeight w:val="284"/>
        </w:trPr>
        <w:tc>
          <w:tcPr>
            <w:tcW w:w="64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Title: Head of Corporates</w:t>
            </w:r>
          </w:p>
        </w:tc>
      </w:tr>
      <w:tr>
        <w:trPr>
          <w:trHeight w:val="608"/>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380" w:type="dxa"/>
            <w:vAlign w:val="bottom"/>
          </w:tcPr>
          <w:p>
            <w:pPr>
              <w:ind w:left="20"/>
              <w:spacing w:after="0"/>
              <w:rPr>
                <w:sz w:val="20"/>
                <w:szCs w:val="20"/>
                <w:color w:val="auto"/>
              </w:rPr>
            </w:pPr>
            <w:r>
              <w:rPr>
                <w:rFonts w:ascii="Arial" w:cs="Arial" w:eastAsia="Arial" w:hAnsi="Arial"/>
                <w:sz w:val="20"/>
                <w:szCs w:val="20"/>
                <w:color w:val="auto"/>
              </w:rPr>
              <w:t>/s/ Gerry Bradley</w:t>
            </w:r>
          </w:p>
        </w:tc>
      </w:tr>
      <w:tr>
        <w:trPr>
          <w:trHeight w:val="23"/>
        </w:trPr>
        <w:tc>
          <w:tcPr>
            <w:tcW w:w="6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Name: Gerry Bradley</w:t>
            </w:r>
          </w:p>
        </w:tc>
      </w:tr>
      <w:tr>
        <w:trPr>
          <w:trHeight w:val="284"/>
        </w:trPr>
        <w:tc>
          <w:tcPr>
            <w:tcW w:w="64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Title: Senior Manager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171" w:name="page172"/>
    <w:bookmarkEnd w:id="171"/>
    <w:p>
      <w:pPr>
        <w:ind w:left="100"/>
        <w:spacing w:after="0"/>
        <w:rPr>
          <w:sz w:val="20"/>
          <w:szCs w:val="20"/>
          <w:color w:val="auto"/>
        </w:rPr>
      </w:pPr>
      <w:r>
        <w:rPr>
          <w:rFonts w:ascii="Arial" w:cs="Arial" w:eastAsia="Arial" w:hAnsi="Arial"/>
          <w:sz w:val="20"/>
          <w:szCs w:val="20"/>
          <w:color w:val="auto"/>
        </w:rPr>
        <w:t>The undersigned Lender hereby evidences its consent to the amendments reflected in this Amendment.</w:t>
      </w:r>
    </w:p>
    <w:p>
      <w:pPr>
        <w:spacing w:after="0" w:line="200" w:lineRule="exact"/>
        <w:rPr>
          <w:sz w:val="20"/>
          <w:szCs w:val="20"/>
          <w:color w:val="auto"/>
        </w:rPr>
      </w:pPr>
    </w:p>
    <w:p>
      <w:pPr>
        <w:spacing w:after="0" w:line="394"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HSBC Bank USA, N.A.</w:t>
      </w:r>
    </w:p>
    <w:p>
      <w:pPr>
        <w:spacing w:after="0" w:line="378" w:lineRule="exact"/>
        <w:rPr>
          <w:sz w:val="20"/>
          <w:szCs w:val="20"/>
          <w:color w:val="auto"/>
        </w:rPr>
      </w:pPr>
    </w:p>
    <w:tbl>
      <w:tblPr>
        <w:tblLayout w:type="fixed"/>
        <w:tblInd w:w="620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380" w:type="dxa"/>
            <w:vAlign w:val="bottom"/>
          </w:tcPr>
          <w:p>
            <w:pPr>
              <w:ind w:left="20"/>
              <w:spacing w:after="0"/>
              <w:rPr>
                <w:sz w:val="20"/>
                <w:szCs w:val="20"/>
                <w:color w:val="auto"/>
              </w:rPr>
            </w:pPr>
            <w:r>
              <w:rPr>
                <w:rFonts w:ascii="Arial" w:cs="Arial" w:eastAsia="Arial" w:hAnsi="Arial"/>
                <w:sz w:val="20"/>
                <w:szCs w:val="20"/>
                <w:color w:val="auto"/>
              </w:rPr>
              <w:t>/s/ Ilene Hernandez</w:t>
            </w:r>
          </w:p>
        </w:tc>
      </w:tr>
      <w:tr>
        <w:trPr>
          <w:trHeight w:val="23"/>
        </w:trPr>
        <w:tc>
          <w:tcPr>
            <w:tcW w:w="6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Name: Ilene Hernandez</w:t>
            </w:r>
          </w:p>
        </w:tc>
      </w:tr>
      <w:tr>
        <w:trPr>
          <w:trHeight w:val="284"/>
        </w:trPr>
        <w:tc>
          <w:tcPr>
            <w:tcW w:w="64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Title: 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172" w:name="page173"/>
    <w:bookmarkEnd w:id="172"/>
    <w:p>
      <w:pPr>
        <w:ind w:left="100"/>
        <w:spacing w:after="0"/>
        <w:rPr>
          <w:sz w:val="20"/>
          <w:szCs w:val="20"/>
          <w:color w:val="auto"/>
        </w:rPr>
      </w:pPr>
      <w:r>
        <w:rPr>
          <w:rFonts w:ascii="Arial" w:cs="Arial" w:eastAsia="Arial" w:hAnsi="Arial"/>
          <w:sz w:val="20"/>
          <w:szCs w:val="20"/>
          <w:color w:val="auto"/>
        </w:rPr>
        <w:t>The undersigned Lender hereby evidences its consent to the amendments reflected in this Amendment.</w:t>
      </w:r>
    </w:p>
    <w:p>
      <w:pPr>
        <w:spacing w:after="0" w:line="200" w:lineRule="exact"/>
        <w:rPr>
          <w:sz w:val="20"/>
          <w:szCs w:val="20"/>
          <w:color w:val="auto"/>
        </w:rPr>
      </w:pPr>
    </w:p>
    <w:p>
      <w:pPr>
        <w:spacing w:after="0" w:line="394"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MORGAN STANLEY BANK, N.A.</w:t>
      </w:r>
    </w:p>
    <w:p>
      <w:pPr>
        <w:spacing w:after="0" w:line="378" w:lineRule="exact"/>
        <w:rPr>
          <w:sz w:val="20"/>
          <w:szCs w:val="20"/>
          <w:color w:val="auto"/>
        </w:rPr>
      </w:pPr>
    </w:p>
    <w:tbl>
      <w:tblPr>
        <w:tblLayout w:type="fixed"/>
        <w:tblInd w:w="620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380" w:type="dxa"/>
            <w:vAlign w:val="bottom"/>
          </w:tcPr>
          <w:p>
            <w:pPr>
              <w:ind w:left="20"/>
              <w:spacing w:after="0"/>
              <w:rPr>
                <w:sz w:val="20"/>
                <w:szCs w:val="20"/>
                <w:color w:val="auto"/>
              </w:rPr>
            </w:pPr>
            <w:r>
              <w:rPr>
                <w:rFonts w:ascii="Arial" w:cs="Arial" w:eastAsia="Arial" w:hAnsi="Arial"/>
                <w:sz w:val="20"/>
                <w:szCs w:val="20"/>
                <w:color w:val="auto"/>
              </w:rPr>
              <w:t>/s/ Michael King</w:t>
            </w:r>
          </w:p>
        </w:tc>
      </w:tr>
      <w:tr>
        <w:trPr>
          <w:trHeight w:val="23"/>
        </w:trPr>
        <w:tc>
          <w:tcPr>
            <w:tcW w:w="6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Name: Michael King</w:t>
            </w:r>
          </w:p>
        </w:tc>
      </w:tr>
      <w:tr>
        <w:trPr>
          <w:trHeight w:val="284"/>
        </w:trPr>
        <w:tc>
          <w:tcPr>
            <w:tcW w:w="64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173" w:name="page174"/>
    <w:bookmarkEnd w:id="173"/>
    <w:p>
      <w:pPr>
        <w:ind w:left="100"/>
        <w:spacing w:after="0"/>
        <w:rPr>
          <w:sz w:val="20"/>
          <w:szCs w:val="20"/>
          <w:color w:val="auto"/>
        </w:rPr>
      </w:pPr>
      <w:r>
        <w:rPr>
          <w:rFonts w:ascii="Arial" w:cs="Arial" w:eastAsia="Arial" w:hAnsi="Arial"/>
          <w:sz w:val="20"/>
          <w:szCs w:val="20"/>
          <w:color w:val="auto"/>
        </w:rPr>
        <w:t>The undersigned Lender hereby evidences its consent to the amendments reflected in this Amendment.</w:t>
      </w:r>
    </w:p>
    <w:p>
      <w:pPr>
        <w:spacing w:after="0" w:line="200" w:lineRule="exact"/>
        <w:rPr>
          <w:sz w:val="20"/>
          <w:szCs w:val="20"/>
          <w:color w:val="auto"/>
        </w:rPr>
      </w:pPr>
    </w:p>
    <w:p>
      <w:pPr>
        <w:spacing w:after="0" w:line="394"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SunTrust Bank,</w:t>
      </w:r>
    </w:p>
    <w:p>
      <w:pPr>
        <w:spacing w:after="0" w:line="378" w:lineRule="exact"/>
        <w:rPr>
          <w:sz w:val="20"/>
          <w:szCs w:val="20"/>
          <w:color w:val="auto"/>
        </w:rPr>
      </w:pPr>
    </w:p>
    <w:tbl>
      <w:tblPr>
        <w:tblLayout w:type="fixed"/>
        <w:tblInd w:w="620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380" w:type="dxa"/>
            <w:vAlign w:val="bottom"/>
          </w:tcPr>
          <w:p>
            <w:pPr>
              <w:ind w:left="20"/>
              <w:spacing w:after="0"/>
              <w:rPr>
                <w:sz w:val="20"/>
                <w:szCs w:val="20"/>
                <w:color w:val="auto"/>
              </w:rPr>
            </w:pPr>
            <w:r>
              <w:rPr>
                <w:rFonts w:ascii="Arial" w:cs="Arial" w:eastAsia="Arial" w:hAnsi="Arial"/>
                <w:sz w:val="20"/>
                <w:szCs w:val="20"/>
                <w:color w:val="auto"/>
              </w:rPr>
              <w:t>/s/ Katherine Bass</w:t>
            </w:r>
          </w:p>
        </w:tc>
      </w:tr>
      <w:tr>
        <w:trPr>
          <w:trHeight w:val="23"/>
        </w:trPr>
        <w:tc>
          <w:tcPr>
            <w:tcW w:w="6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Name: Katherine Bass</w:t>
            </w:r>
          </w:p>
        </w:tc>
      </w:tr>
      <w:tr>
        <w:trPr>
          <w:trHeight w:val="284"/>
        </w:trPr>
        <w:tc>
          <w:tcPr>
            <w:tcW w:w="64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174" w:name="page175"/>
    <w:bookmarkEnd w:id="174"/>
    <w:p>
      <w:pPr>
        <w:ind w:left="100"/>
        <w:spacing w:after="0"/>
        <w:rPr>
          <w:sz w:val="20"/>
          <w:szCs w:val="20"/>
          <w:color w:val="auto"/>
        </w:rPr>
      </w:pPr>
      <w:r>
        <w:rPr>
          <w:rFonts w:ascii="Arial" w:cs="Arial" w:eastAsia="Arial" w:hAnsi="Arial"/>
          <w:sz w:val="20"/>
          <w:szCs w:val="20"/>
          <w:color w:val="auto"/>
        </w:rPr>
        <w:t>The undersigned Lender hereby evidences its consent to the amendments reflected in this Amendment.</w:t>
      </w:r>
    </w:p>
    <w:p>
      <w:pPr>
        <w:spacing w:after="0" w:line="200" w:lineRule="exact"/>
        <w:rPr>
          <w:sz w:val="20"/>
          <w:szCs w:val="20"/>
          <w:color w:val="auto"/>
        </w:rPr>
      </w:pPr>
    </w:p>
    <w:p>
      <w:pPr>
        <w:spacing w:after="0" w:line="394"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CITIZENS BANK, N.A.</w:t>
      </w:r>
    </w:p>
    <w:p>
      <w:pPr>
        <w:spacing w:after="0" w:line="378" w:lineRule="exact"/>
        <w:rPr>
          <w:sz w:val="20"/>
          <w:szCs w:val="20"/>
          <w:color w:val="auto"/>
        </w:rPr>
      </w:pPr>
    </w:p>
    <w:tbl>
      <w:tblPr>
        <w:tblLayout w:type="fixed"/>
        <w:tblInd w:w="620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380" w:type="dxa"/>
            <w:vAlign w:val="bottom"/>
          </w:tcPr>
          <w:p>
            <w:pPr>
              <w:ind w:left="20"/>
              <w:spacing w:after="0"/>
              <w:rPr>
                <w:sz w:val="20"/>
                <w:szCs w:val="20"/>
                <w:color w:val="auto"/>
              </w:rPr>
            </w:pPr>
            <w:r>
              <w:rPr>
                <w:rFonts w:ascii="Arial" w:cs="Arial" w:eastAsia="Arial" w:hAnsi="Arial"/>
                <w:sz w:val="20"/>
                <w:szCs w:val="20"/>
                <w:color w:val="auto"/>
              </w:rPr>
              <w:t>/s/ R. Scott Haskell</w:t>
            </w:r>
          </w:p>
        </w:tc>
      </w:tr>
      <w:tr>
        <w:trPr>
          <w:trHeight w:val="23"/>
        </w:trPr>
        <w:tc>
          <w:tcPr>
            <w:tcW w:w="6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Name: R. Scott Haskell</w:t>
            </w:r>
          </w:p>
        </w:tc>
      </w:tr>
      <w:tr>
        <w:trPr>
          <w:trHeight w:val="284"/>
        </w:trPr>
        <w:tc>
          <w:tcPr>
            <w:tcW w:w="64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175" w:name="page176"/>
    <w:bookmarkEnd w:id="175"/>
    <w:p>
      <w:pPr>
        <w:ind w:left="100"/>
        <w:spacing w:after="0"/>
        <w:rPr>
          <w:sz w:val="20"/>
          <w:szCs w:val="20"/>
          <w:color w:val="auto"/>
        </w:rPr>
      </w:pPr>
      <w:r>
        <w:rPr>
          <w:rFonts w:ascii="Arial" w:cs="Arial" w:eastAsia="Arial" w:hAnsi="Arial"/>
          <w:sz w:val="20"/>
          <w:szCs w:val="20"/>
          <w:color w:val="auto"/>
        </w:rPr>
        <w:t>The undersigned Lender hereby evidences its consent to the amendments reflected in this Amendment.</w:t>
      </w:r>
    </w:p>
    <w:p>
      <w:pPr>
        <w:spacing w:after="0" w:line="200" w:lineRule="exact"/>
        <w:rPr>
          <w:sz w:val="20"/>
          <w:szCs w:val="20"/>
          <w:color w:val="auto"/>
        </w:rPr>
      </w:pPr>
    </w:p>
    <w:p>
      <w:pPr>
        <w:spacing w:after="0" w:line="394"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Associated Bank, NA</w:t>
      </w:r>
    </w:p>
    <w:p>
      <w:pPr>
        <w:spacing w:after="0" w:line="378" w:lineRule="exact"/>
        <w:rPr>
          <w:sz w:val="20"/>
          <w:szCs w:val="20"/>
          <w:color w:val="auto"/>
        </w:rPr>
      </w:pPr>
    </w:p>
    <w:tbl>
      <w:tblPr>
        <w:tblLayout w:type="fixed"/>
        <w:tblInd w:w="620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380" w:type="dxa"/>
            <w:vAlign w:val="bottom"/>
          </w:tcPr>
          <w:p>
            <w:pPr>
              <w:ind w:left="20"/>
              <w:spacing w:after="0"/>
              <w:rPr>
                <w:sz w:val="20"/>
                <w:szCs w:val="20"/>
                <w:color w:val="auto"/>
              </w:rPr>
            </w:pPr>
            <w:r>
              <w:rPr>
                <w:rFonts w:ascii="Arial" w:cs="Arial" w:eastAsia="Arial" w:hAnsi="Arial"/>
                <w:sz w:val="20"/>
                <w:szCs w:val="20"/>
                <w:color w:val="auto"/>
              </w:rPr>
              <w:t>/s/ Karen L. Anillo</w:t>
            </w:r>
          </w:p>
        </w:tc>
      </w:tr>
      <w:tr>
        <w:trPr>
          <w:trHeight w:val="23"/>
        </w:trPr>
        <w:tc>
          <w:tcPr>
            <w:tcW w:w="6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Name: Karen L. Anillo</w:t>
            </w:r>
          </w:p>
        </w:tc>
      </w:tr>
      <w:tr>
        <w:trPr>
          <w:trHeight w:val="263"/>
        </w:trPr>
        <w:tc>
          <w:tcPr>
            <w:tcW w:w="6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w w:val="99"/>
              </w:rPr>
              <w:t>Title: Senior Vice President and Team</w:t>
            </w:r>
          </w:p>
        </w:tc>
      </w:tr>
      <w:tr>
        <w:trPr>
          <w:trHeight w:val="250"/>
        </w:trPr>
        <w:tc>
          <w:tcPr>
            <w:tcW w:w="640" w:type="dxa"/>
            <w:vAlign w:val="bottom"/>
          </w:tcPr>
          <w:p>
            <w:pPr>
              <w:spacing w:after="0"/>
              <w:rPr>
                <w:sz w:val="21"/>
                <w:szCs w:val="21"/>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Leader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176" w:name="page177"/>
    <w:bookmarkEnd w:id="176"/>
    <w:p>
      <w:pPr>
        <w:ind w:left="100"/>
        <w:spacing w:after="0"/>
        <w:rPr>
          <w:sz w:val="20"/>
          <w:szCs w:val="20"/>
          <w:color w:val="auto"/>
        </w:rPr>
      </w:pPr>
      <w:r>
        <w:rPr>
          <w:rFonts w:ascii="Arial" w:cs="Arial" w:eastAsia="Arial" w:hAnsi="Arial"/>
          <w:sz w:val="20"/>
          <w:szCs w:val="20"/>
          <w:color w:val="auto"/>
        </w:rPr>
        <w:t>The undersigned Lender hereby evidences its consent to the amendments reflected in this Amendment.</w:t>
      </w:r>
    </w:p>
    <w:p>
      <w:pPr>
        <w:spacing w:after="0" w:line="200" w:lineRule="exact"/>
        <w:rPr>
          <w:sz w:val="20"/>
          <w:szCs w:val="20"/>
          <w:color w:val="auto"/>
        </w:rPr>
      </w:pPr>
    </w:p>
    <w:p>
      <w:pPr>
        <w:spacing w:after="0" w:line="394" w:lineRule="exact"/>
        <w:rPr>
          <w:sz w:val="20"/>
          <w:szCs w:val="20"/>
          <w:color w:val="auto"/>
        </w:rPr>
      </w:pPr>
    </w:p>
    <w:p>
      <w:pPr>
        <w:ind w:left="6200"/>
        <w:spacing w:after="0"/>
        <w:rPr>
          <w:sz w:val="20"/>
          <w:szCs w:val="20"/>
          <w:color w:val="auto"/>
        </w:rPr>
      </w:pPr>
      <w:r>
        <w:rPr>
          <w:rFonts w:ascii="Arial" w:cs="Arial" w:eastAsia="Arial" w:hAnsi="Arial"/>
          <w:sz w:val="19"/>
          <w:szCs w:val="19"/>
          <w:u w:val="single" w:color="auto"/>
          <w:color w:val="auto"/>
        </w:rPr>
        <w:t>Taiwan Cooperative Bank, Ltd., Seattle Branch,</w:t>
      </w:r>
    </w:p>
    <w:p>
      <w:pPr>
        <w:spacing w:after="0" w:line="389" w:lineRule="exact"/>
        <w:rPr>
          <w:sz w:val="20"/>
          <w:szCs w:val="20"/>
          <w:color w:val="auto"/>
        </w:rPr>
      </w:pPr>
    </w:p>
    <w:tbl>
      <w:tblPr>
        <w:tblLayout w:type="fixed"/>
        <w:tblInd w:w="620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380" w:type="dxa"/>
            <w:vAlign w:val="bottom"/>
          </w:tcPr>
          <w:p>
            <w:pPr>
              <w:ind w:left="20"/>
              <w:spacing w:after="0"/>
              <w:rPr>
                <w:sz w:val="20"/>
                <w:szCs w:val="20"/>
                <w:color w:val="auto"/>
              </w:rPr>
            </w:pPr>
            <w:r>
              <w:rPr>
                <w:rFonts w:ascii="Arial" w:cs="Arial" w:eastAsia="Arial" w:hAnsi="Arial"/>
                <w:sz w:val="20"/>
                <w:szCs w:val="20"/>
                <w:color w:val="auto"/>
              </w:rPr>
              <w:t>/s/ Cheng-Pin Chou</w:t>
            </w:r>
          </w:p>
        </w:tc>
      </w:tr>
      <w:tr>
        <w:trPr>
          <w:trHeight w:val="23"/>
        </w:trPr>
        <w:tc>
          <w:tcPr>
            <w:tcW w:w="64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Name: Cheng-Pin Chou</w:t>
            </w:r>
          </w:p>
        </w:tc>
      </w:tr>
      <w:tr>
        <w:trPr>
          <w:trHeight w:val="284"/>
        </w:trPr>
        <w:tc>
          <w:tcPr>
            <w:tcW w:w="64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20"/>
                <w:szCs w:val="20"/>
                <w:color w:val="auto"/>
              </w:rPr>
              <w:t>Title: VP &amp; General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0"/>
          <w:szCs w:val="20"/>
          <w:u w:val="single" w:color="auto"/>
          <w:color w:val="auto"/>
        </w:rPr>
        <w:t>SCHEDULE I</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Incremental Revolving Lender and New Revolving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40" w:type="dxa"/>
            <w:vAlign w:val="bottom"/>
            <w:tcBorders>
              <w:right w:val="single" w:sz="8" w:color="00000A"/>
            </w:tcBorders>
          </w:tcPr>
          <w:p>
            <w:pPr>
              <w:spacing w:after="0"/>
              <w:rPr>
                <w:sz w:val="23"/>
                <w:szCs w:val="23"/>
                <w:color w:val="auto"/>
              </w:rPr>
            </w:pPr>
          </w:p>
        </w:tc>
        <w:tc>
          <w:tcPr>
            <w:tcW w:w="6840" w:type="dxa"/>
            <w:vAlign w:val="bottom"/>
            <w:tcBorders>
              <w:top w:val="single" w:sz="8" w:color="00000A"/>
              <w:right w:val="single" w:sz="8" w:color="00000A"/>
            </w:tcBorders>
            <w:shd w:val="clear" w:color="auto" w:fill="CCCCCC"/>
          </w:tcPr>
          <w:p>
            <w:pPr>
              <w:ind w:left="2120"/>
              <w:spacing w:after="0"/>
              <w:rPr>
                <w:sz w:val="20"/>
                <w:szCs w:val="20"/>
                <w:color w:val="auto"/>
              </w:rPr>
            </w:pPr>
            <w:r>
              <w:rPr>
                <w:rFonts w:ascii="Arial" w:cs="Arial" w:eastAsia="Arial" w:hAnsi="Arial"/>
                <w:sz w:val="20"/>
                <w:szCs w:val="20"/>
                <w:b w:val="1"/>
                <w:bCs w:val="1"/>
                <w:color w:val="auto"/>
              </w:rPr>
              <w:t>Incremental Revolving Lender</w:t>
            </w:r>
          </w:p>
        </w:tc>
        <w:tc>
          <w:tcPr>
            <w:tcW w:w="4360" w:type="dxa"/>
            <w:vAlign w:val="bottom"/>
            <w:tcBorders>
              <w:top w:val="single" w:sz="8" w:color="00000A"/>
              <w:right w:val="single" w:sz="8" w:color="00000A"/>
            </w:tcBorders>
            <w:shd w:val="clear" w:color="auto" w:fill="CCCCCC"/>
          </w:tcPr>
          <w:p>
            <w:pPr>
              <w:jc w:val="center"/>
              <w:spacing w:after="0"/>
              <w:rPr>
                <w:sz w:val="20"/>
                <w:szCs w:val="20"/>
                <w:color w:val="auto"/>
              </w:rPr>
            </w:pPr>
            <w:r>
              <w:rPr>
                <w:rFonts w:ascii="Arial" w:cs="Arial" w:eastAsia="Arial" w:hAnsi="Arial"/>
                <w:sz w:val="20"/>
                <w:szCs w:val="20"/>
                <w:b w:val="1"/>
                <w:bCs w:val="1"/>
                <w:color w:val="auto"/>
                <w:w w:val="90"/>
              </w:rPr>
              <w:t>New Revolving Commitment</w:t>
            </w:r>
          </w:p>
        </w:tc>
        <w:tc>
          <w:tcPr>
            <w:tcW w:w="80" w:type="dxa"/>
            <w:vAlign w:val="bottom"/>
          </w:tcPr>
          <w:p>
            <w:pPr>
              <w:spacing w:after="0"/>
              <w:rPr>
                <w:sz w:val="23"/>
                <w:szCs w:val="23"/>
                <w:color w:val="auto"/>
              </w:rPr>
            </w:pPr>
          </w:p>
        </w:tc>
      </w:tr>
      <w:tr>
        <w:trPr>
          <w:trHeight w:val="253"/>
        </w:trPr>
        <w:tc>
          <w:tcPr>
            <w:tcW w:w="140" w:type="dxa"/>
            <w:vAlign w:val="bottom"/>
            <w:tcBorders>
              <w:right w:val="single" w:sz="8" w:color="00000A"/>
            </w:tcBorders>
          </w:tcPr>
          <w:p>
            <w:pPr>
              <w:spacing w:after="0"/>
              <w:rPr>
                <w:sz w:val="21"/>
                <w:szCs w:val="21"/>
                <w:color w:val="auto"/>
              </w:rPr>
            </w:pPr>
          </w:p>
        </w:tc>
        <w:tc>
          <w:tcPr>
            <w:tcW w:w="6840" w:type="dxa"/>
            <w:vAlign w:val="bottom"/>
            <w:tcBorders>
              <w:bottom w:val="single" w:sz="8" w:color="00000A"/>
              <w:right w:val="single" w:sz="8" w:color="00000A"/>
            </w:tcBorders>
            <w:shd w:val="clear" w:color="auto" w:fill="CCCCCC"/>
          </w:tcPr>
          <w:p>
            <w:pPr>
              <w:spacing w:after="0"/>
              <w:rPr>
                <w:sz w:val="21"/>
                <w:szCs w:val="21"/>
                <w:color w:val="auto"/>
              </w:rPr>
            </w:pPr>
          </w:p>
        </w:tc>
        <w:tc>
          <w:tcPr>
            <w:tcW w:w="4360" w:type="dxa"/>
            <w:vAlign w:val="bottom"/>
            <w:tcBorders>
              <w:bottom w:val="single" w:sz="8" w:color="00000A"/>
              <w:right w:val="single" w:sz="8" w:color="00000A"/>
            </w:tcBorders>
            <w:shd w:val="clear" w:color="auto" w:fill="CCCCCC"/>
          </w:tcPr>
          <w:p>
            <w:pPr>
              <w:spacing w:after="0"/>
              <w:rPr>
                <w:sz w:val="21"/>
                <w:szCs w:val="21"/>
                <w:color w:val="auto"/>
              </w:rPr>
            </w:pPr>
          </w:p>
        </w:tc>
        <w:tc>
          <w:tcPr>
            <w:tcW w:w="80" w:type="dxa"/>
            <w:vAlign w:val="bottom"/>
          </w:tcPr>
          <w:p>
            <w:pPr>
              <w:spacing w:after="0"/>
              <w:rPr>
                <w:sz w:val="21"/>
                <w:szCs w:val="21"/>
                <w:color w:val="auto"/>
              </w:rPr>
            </w:pPr>
          </w:p>
        </w:tc>
      </w:tr>
      <w:tr>
        <w:trPr>
          <w:trHeight w:val="282"/>
        </w:trPr>
        <w:tc>
          <w:tcPr>
            <w:tcW w:w="140" w:type="dxa"/>
            <w:vAlign w:val="bottom"/>
            <w:tcBorders>
              <w:right w:val="single" w:sz="8" w:color="00000A"/>
            </w:tcBorders>
          </w:tcPr>
          <w:p>
            <w:pPr>
              <w:spacing w:after="0"/>
              <w:rPr>
                <w:sz w:val="24"/>
                <w:szCs w:val="24"/>
                <w:color w:val="auto"/>
              </w:rPr>
            </w:pPr>
          </w:p>
        </w:tc>
        <w:tc>
          <w:tcPr>
            <w:tcW w:w="684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20"/>
                <w:szCs w:val="20"/>
                <w:color w:val="auto"/>
              </w:rPr>
              <w:t>Bank of America, N.A.</w:t>
            </w:r>
          </w:p>
        </w:tc>
        <w:tc>
          <w:tcPr>
            <w:tcW w:w="436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20"/>
                <w:szCs w:val="20"/>
                <w:color w:val="auto"/>
                <w:w w:val="89"/>
              </w:rPr>
              <w:t>$500,000,000.00</w:t>
            </w:r>
          </w:p>
        </w:tc>
        <w:tc>
          <w:tcPr>
            <w:tcW w:w="80" w:type="dxa"/>
            <w:vAlign w:val="bottom"/>
          </w:tcPr>
          <w:p>
            <w:pPr>
              <w:spacing w:after="0"/>
              <w:rPr>
                <w:sz w:val="24"/>
                <w:szCs w:val="24"/>
                <w:color w:val="auto"/>
              </w:rPr>
            </w:pPr>
          </w:p>
        </w:tc>
      </w:tr>
      <w:tr>
        <w:trPr>
          <w:trHeight w:val="254"/>
        </w:trPr>
        <w:tc>
          <w:tcPr>
            <w:tcW w:w="140" w:type="dxa"/>
            <w:vAlign w:val="bottom"/>
            <w:tcBorders>
              <w:right w:val="single" w:sz="8" w:color="00000A"/>
            </w:tcBorders>
          </w:tcPr>
          <w:p>
            <w:pPr>
              <w:spacing w:after="0"/>
              <w:rPr>
                <w:sz w:val="22"/>
                <w:szCs w:val="22"/>
                <w:color w:val="auto"/>
              </w:rPr>
            </w:pPr>
          </w:p>
        </w:tc>
        <w:tc>
          <w:tcPr>
            <w:tcW w:w="6840" w:type="dxa"/>
            <w:vAlign w:val="bottom"/>
            <w:tcBorders>
              <w:top w:val="single" w:sz="8" w:color="00000A"/>
              <w:right w:val="single" w:sz="8" w:color="00000A"/>
            </w:tcBorders>
          </w:tcPr>
          <w:p>
            <w:pPr>
              <w:ind w:left="6360"/>
              <w:spacing w:after="0"/>
              <w:rPr>
                <w:sz w:val="20"/>
                <w:szCs w:val="20"/>
                <w:color w:val="auto"/>
              </w:rPr>
            </w:pPr>
            <w:r>
              <w:rPr>
                <w:rFonts w:ascii="Arial" w:cs="Arial" w:eastAsia="Arial" w:hAnsi="Arial"/>
                <w:sz w:val="20"/>
                <w:szCs w:val="20"/>
                <w:b w:val="1"/>
                <w:bCs w:val="1"/>
                <w:color w:val="auto"/>
                <w:w w:val="91"/>
              </w:rPr>
              <w:t>Total</w:t>
            </w:r>
          </w:p>
        </w:tc>
        <w:tc>
          <w:tcPr>
            <w:tcW w:w="43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9"/>
              </w:rPr>
              <w:t>$500,000,000.00</w:t>
            </w:r>
          </w:p>
        </w:tc>
        <w:tc>
          <w:tcPr>
            <w:tcW w:w="80" w:type="dxa"/>
            <w:vAlign w:val="bottom"/>
          </w:tcPr>
          <w:p>
            <w:pPr>
              <w:spacing w:after="0"/>
              <w:rPr>
                <w:sz w:val="22"/>
                <w:szCs w:val="22"/>
                <w:color w:val="auto"/>
              </w:rPr>
            </w:pPr>
          </w:p>
        </w:tc>
      </w:tr>
      <w:tr>
        <w:trPr>
          <w:trHeight w:val="23"/>
        </w:trPr>
        <w:tc>
          <w:tcPr>
            <w:tcW w:w="140" w:type="dxa"/>
            <w:vAlign w:val="bottom"/>
            <w:tcBorders>
              <w:right w:val="single" w:sz="8" w:color="00000A"/>
            </w:tcBorders>
          </w:tcPr>
          <w:p>
            <w:pPr>
              <w:spacing w:after="0"/>
              <w:rPr>
                <w:sz w:val="2"/>
                <w:szCs w:val="2"/>
                <w:color w:val="auto"/>
              </w:rPr>
            </w:pPr>
          </w:p>
        </w:tc>
        <w:tc>
          <w:tcPr>
            <w:tcW w:w="6840" w:type="dxa"/>
            <w:vAlign w:val="bottom"/>
            <w:tcBorders>
              <w:bottom w:val="single" w:sz="8" w:color="00000A"/>
              <w:right w:val="single" w:sz="8" w:color="00000A"/>
            </w:tcBorders>
          </w:tcPr>
          <w:p>
            <w:pPr>
              <w:spacing w:after="0"/>
              <w:rPr>
                <w:sz w:val="2"/>
                <w:szCs w:val="2"/>
                <w:color w:val="auto"/>
              </w:rPr>
            </w:pPr>
          </w:p>
        </w:tc>
        <w:tc>
          <w:tcPr>
            <w:tcW w:w="4360" w:type="dxa"/>
            <w:vAlign w:val="bottom"/>
            <w:tcBorders>
              <w:bottom w:val="single" w:sz="8" w:color="00000A"/>
              <w:right w:val="single" w:sz="8" w:color="00000A"/>
            </w:tcBorders>
          </w:tcPr>
          <w:p>
            <w:pPr>
              <w:spacing w:after="0"/>
              <w:rPr>
                <w:sz w:val="2"/>
                <w:szCs w:val="2"/>
                <w:color w:val="auto"/>
              </w:rPr>
            </w:pPr>
          </w:p>
        </w:tc>
        <w:tc>
          <w:tcPr>
            <w:tcW w:w="80" w:type="dxa"/>
            <w:vAlign w:val="bottom"/>
          </w:tcPr>
          <w:p>
            <w:pPr>
              <w:spacing w:after="0"/>
              <w:rPr>
                <w:sz w:val="2"/>
                <w:szCs w:val="2"/>
                <w:color w:val="auto"/>
              </w:rPr>
            </w:pPr>
          </w:p>
        </w:tc>
      </w:tr>
      <w:tr>
        <w:trPr>
          <w:trHeight w:val="352"/>
        </w:trPr>
        <w:tc>
          <w:tcPr>
            <w:tcW w:w="14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50"/>
        </w:trPr>
        <w:tc>
          <w:tcPr>
            <w:tcW w:w="1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40" w:type="dxa"/>
            <w:vAlign w:val="bottom"/>
            <w:gridSpan w:val="3"/>
          </w:tcPr>
          <w:p>
            <w:pPr>
              <w:jc w:val="right"/>
              <w:spacing w:after="0"/>
              <w:rPr>
                <w:sz w:val="20"/>
                <w:szCs w:val="20"/>
                <w:color w:val="auto"/>
              </w:rPr>
            </w:pPr>
            <w:r>
              <w:rPr>
                <w:rFonts w:ascii="Arial" w:cs="Arial" w:eastAsia="Arial" w:hAnsi="Arial"/>
                <w:sz w:val="20"/>
                <w:szCs w:val="20"/>
                <w:color w:val="auto"/>
              </w:rPr>
              <w:t>SCHEDULE II</w:t>
            </w:r>
          </w:p>
        </w:tc>
      </w:tr>
      <w:tr>
        <w:trPr>
          <w:trHeight w:val="662"/>
        </w:trPr>
        <w:tc>
          <w:tcPr>
            <w:tcW w:w="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gridSpan w:val="3"/>
          </w:tcPr>
          <w:p>
            <w:pPr>
              <w:jc w:val="right"/>
              <w:spacing w:after="0"/>
              <w:rPr>
                <w:sz w:val="20"/>
                <w:szCs w:val="20"/>
                <w:color w:val="auto"/>
              </w:rPr>
            </w:pPr>
            <w:r>
              <w:rPr>
                <w:rFonts w:ascii="Arial" w:cs="Arial" w:eastAsia="Arial" w:hAnsi="Arial"/>
                <w:sz w:val="20"/>
                <w:szCs w:val="20"/>
                <w:color w:val="auto"/>
              </w:rPr>
              <w:t>Schedule 2.01</w:t>
            </w:r>
          </w:p>
        </w:tc>
      </w:tr>
      <w:tr>
        <w:trPr>
          <w:trHeight w:val="662"/>
        </w:trPr>
        <w:tc>
          <w:tcPr>
            <w:tcW w:w="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340" w:type="dxa"/>
            <w:vAlign w:val="bottom"/>
            <w:gridSpan w:val="2"/>
          </w:tcPr>
          <w:p>
            <w:pPr>
              <w:jc w:val="right"/>
              <w:ind w:right="632"/>
              <w:spacing w:after="0"/>
              <w:rPr>
                <w:sz w:val="20"/>
                <w:szCs w:val="20"/>
                <w:color w:val="auto"/>
              </w:rPr>
            </w:pPr>
            <w:r>
              <w:rPr>
                <w:rFonts w:ascii="Arial" w:cs="Arial" w:eastAsia="Arial" w:hAnsi="Arial"/>
                <w:sz w:val="20"/>
                <w:szCs w:val="20"/>
                <w:b w:val="1"/>
                <w:bCs w:val="1"/>
                <w:color w:val="auto"/>
              </w:rPr>
              <w:t>Lenders and Commitments</w:t>
            </w:r>
          </w:p>
        </w:tc>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1"/>
        </w:trPr>
        <w:tc>
          <w:tcPr>
            <w:tcW w:w="160" w:type="dxa"/>
            <w:vAlign w:val="bottom"/>
          </w:tcPr>
          <w:p>
            <w:pPr>
              <w:spacing w:after="0"/>
              <w:rPr>
                <w:sz w:val="11"/>
                <w:szCs w:val="11"/>
                <w:color w:val="auto"/>
              </w:rPr>
            </w:pPr>
          </w:p>
        </w:tc>
        <w:tc>
          <w:tcPr>
            <w:tcW w:w="4080" w:type="dxa"/>
            <w:vAlign w:val="bottom"/>
            <w:tcBorders>
              <w:bottom w:val="single" w:sz="8" w:color="00000A"/>
            </w:tcBorders>
          </w:tcPr>
          <w:p>
            <w:pPr>
              <w:spacing w:after="0"/>
              <w:rPr>
                <w:sz w:val="11"/>
                <w:szCs w:val="11"/>
                <w:color w:val="auto"/>
              </w:rPr>
            </w:pPr>
          </w:p>
        </w:tc>
        <w:tc>
          <w:tcPr>
            <w:tcW w:w="2720" w:type="dxa"/>
            <w:vAlign w:val="bottom"/>
            <w:tcBorders>
              <w:bottom w:val="single" w:sz="8" w:color="00000A"/>
            </w:tcBorders>
          </w:tcPr>
          <w:p>
            <w:pPr>
              <w:spacing w:after="0"/>
              <w:rPr>
                <w:sz w:val="11"/>
                <w:szCs w:val="11"/>
                <w:color w:val="auto"/>
              </w:rPr>
            </w:pPr>
          </w:p>
        </w:tc>
        <w:tc>
          <w:tcPr>
            <w:tcW w:w="620" w:type="dxa"/>
            <w:vAlign w:val="bottom"/>
            <w:tcBorders>
              <w:bottom w:val="single" w:sz="8" w:color="00000A"/>
            </w:tcBorders>
          </w:tcPr>
          <w:p>
            <w:pPr>
              <w:spacing w:after="0"/>
              <w:rPr>
                <w:sz w:val="11"/>
                <w:szCs w:val="11"/>
                <w:color w:val="auto"/>
              </w:rPr>
            </w:pPr>
          </w:p>
        </w:tc>
        <w:tc>
          <w:tcPr>
            <w:tcW w:w="3720" w:type="dxa"/>
            <w:vAlign w:val="bottom"/>
            <w:tcBorders>
              <w:bottom w:val="single" w:sz="8" w:color="00000A"/>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54"/>
        </w:trPr>
        <w:tc>
          <w:tcPr>
            <w:tcW w:w="160" w:type="dxa"/>
            <w:vAlign w:val="bottom"/>
            <w:tcBorders>
              <w:right w:val="single" w:sz="8" w:color="00000A"/>
            </w:tcBorders>
          </w:tcPr>
          <w:p>
            <w:pPr>
              <w:spacing w:after="0"/>
              <w:rPr>
                <w:sz w:val="22"/>
                <w:szCs w:val="22"/>
                <w:color w:val="auto"/>
              </w:rPr>
            </w:pPr>
          </w:p>
        </w:tc>
        <w:tc>
          <w:tcPr>
            <w:tcW w:w="4080" w:type="dxa"/>
            <w:vAlign w:val="bottom"/>
            <w:shd w:val="clear" w:color="auto" w:fill="CCCCCC"/>
          </w:tcPr>
          <w:p>
            <w:pPr>
              <w:ind w:left="3060"/>
              <w:spacing w:after="0"/>
              <w:rPr>
                <w:sz w:val="20"/>
                <w:szCs w:val="20"/>
                <w:color w:val="auto"/>
              </w:rPr>
            </w:pPr>
            <w:r>
              <w:rPr>
                <w:rFonts w:ascii="Arial" w:cs="Arial" w:eastAsia="Arial" w:hAnsi="Arial"/>
                <w:sz w:val="20"/>
                <w:szCs w:val="20"/>
                <w:b w:val="1"/>
                <w:bCs w:val="1"/>
                <w:color w:val="auto"/>
              </w:rPr>
              <w:t>Lender</w:t>
            </w:r>
          </w:p>
        </w:tc>
        <w:tc>
          <w:tcPr>
            <w:tcW w:w="2720" w:type="dxa"/>
            <w:vAlign w:val="bottom"/>
            <w:tcBorders>
              <w:right w:val="single" w:sz="8" w:color="00000A"/>
            </w:tcBorders>
            <w:shd w:val="clear" w:color="auto" w:fill="CCCCCC"/>
          </w:tcPr>
          <w:p>
            <w:pPr>
              <w:spacing w:after="0"/>
              <w:rPr>
                <w:sz w:val="22"/>
                <w:szCs w:val="22"/>
                <w:color w:val="auto"/>
              </w:rPr>
            </w:pPr>
          </w:p>
        </w:tc>
        <w:tc>
          <w:tcPr>
            <w:tcW w:w="620" w:type="dxa"/>
            <w:vAlign w:val="bottom"/>
            <w:shd w:val="clear" w:color="auto" w:fill="CCCCCC"/>
          </w:tcPr>
          <w:p>
            <w:pPr>
              <w:spacing w:after="0"/>
              <w:rPr>
                <w:sz w:val="22"/>
                <w:szCs w:val="22"/>
                <w:color w:val="auto"/>
              </w:rPr>
            </w:pPr>
          </w:p>
        </w:tc>
        <w:tc>
          <w:tcPr>
            <w:tcW w:w="3720" w:type="dxa"/>
            <w:vAlign w:val="bottom"/>
            <w:tcBorders>
              <w:right w:val="single" w:sz="8" w:color="00000A"/>
            </w:tcBorders>
            <w:shd w:val="clear" w:color="auto" w:fill="CCCCCC"/>
          </w:tcPr>
          <w:p>
            <w:pPr>
              <w:jc w:val="center"/>
              <w:ind w:right="561"/>
              <w:spacing w:after="0"/>
              <w:rPr>
                <w:sz w:val="20"/>
                <w:szCs w:val="20"/>
                <w:color w:val="auto"/>
              </w:rPr>
            </w:pPr>
            <w:r>
              <w:rPr>
                <w:rFonts w:ascii="Arial" w:cs="Arial" w:eastAsia="Arial" w:hAnsi="Arial"/>
                <w:sz w:val="20"/>
                <w:szCs w:val="20"/>
                <w:b w:val="1"/>
                <w:bCs w:val="1"/>
                <w:color w:val="auto"/>
                <w:w w:val="91"/>
              </w:rPr>
              <w:t>Term Commitment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3"/>
        </w:trPr>
        <w:tc>
          <w:tcPr>
            <w:tcW w:w="160" w:type="dxa"/>
            <w:vAlign w:val="bottom"/>
            <w:tcBorders>
              <w:right w:val="single" w:sz="8" w:color="00000A"/>
            </w:tcBorders>
          </w:tcPr>
          <w:p>
            <w:pPr>
              <w:spacing w:after="0"/>
              <w:rPr>
                <w:sz w:val="21"/>
                <w:szCs w:val="21"/>
                <w:color w:val="auto"/>
              </w:rPr>
            </w:pPr>
          </w:p>
        </w:tc>
        <w:tc>
          <w:tcPr>
            <w:tcW w:w="4080" w:type="dxa"/>
            <w:vAlign w:val="bottom"/>
            <w:tcBorders>
              <w:bottom w:val="single" w:sz="8" w:color="00000A"/>
            </w:tcBorders>
            <w:shd w:val="clear" w:color="auto" w:fill="CCCCCC"/>
          </w:tcPr>
          <w:p>
            <w:pPr>
              <w:spacing w:after="0"/>
              <w:rPr>
                <w:sz w:val="21"/>
                <w:szCs w:val="21"/>
                <w:color w:val="auto"/>
              </w:rPr>
            </w:pPr>
          </w:p>
        </w:tc>
        <w:tc>
          <w:tcPr>
            <w:tcW w:w="2720" w:type="dxa"/>
            <w:vAlign w:val="bottom"/>
            <w:tcBorders>
              <w:bottom w:val="single" w:sz="8" w:color="00000A"/>
              <w:right w:val="single" w:sz="8" w:color="00000A"/>
            </w:tcBorders>
            <w:shd w:val="clear" w:color="auto" w:fill="CCCCCC"/>
          </w:tcPr>
          <w:p>
            <w:pPr>
              <w:spacing w:after="0"/>
              <w:rPr>
                <w:sz w:val="21"/>
                <w:szCs w:val="21"/>
                <w:color w:val="auto"/>
              </w:rPr>
            </w:pPr>
          </w:p>
        </w:tc>
        <w:tc>
          <w:tcPr>
            <w:tcW w:w="620" w:type="dxa"/>
            <w:vAlign w:val="bottom"/>
            <w:tcBorders>
              <w:bottom w:val="single" w:sz="8" w:color="00000A"/>
            </w:tcBorders>
            <w:shd w:val="clear" w:color="auto" w:fill="CCCCCC"/>
          </w:tcPr>
          <w:p>
            <w:pPr>
              <w:spacing w:after="0"/>
              <w:rPr>
                <w:sz w:val="21"/>
                <w:szCs w:val="21"/>
                <w:color w:val="auto"/>
              </w:rPr>
            </w:pPr>
          </w:p>
        </w:tc>
        <w:tc>
          <w:tcPr>
            <w:tcW w:w="3720" w:type="dxa"/>
            <w:vAlign w:val="bottom"/>
            <w:tcBorders>
              <w:bottom w:val="single" w:sz="8" w:color="00000A"/>
              <w:right w:val="single" w:sz="8" w:color="00000A"/>
            </w:tcBorders>
            <w:shd w:val="clear" w:color="auto" w:fill="CCCCCC"/>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82"/>
        </w:trPr>
        <w:tc>
          <w:tcPr>
            <w:tcW w:w="160" w:type="dxa"/>
            <w:vAlign w:val="bottom"/>
            <w:tcBorders>
              <w:right w:val="single" w:sz="8" w:color="00000A"/>
            </w:tcBorders>
          </w:tcPr>
          <w:p>
            <w:pPr>
              <w:spacing w:after="0"/>
              <w:rPr>
                <w:sz w:val="24"/>
                <w:szCs w:val="24"/>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Bank of America, N.A.</w:t>
            </w:r>
          </w:p>
        </w:tc>
        <w:tc>
          <w:tcPr>
            <w:tcW w:w="2720" w:type="dxa"/>
            <w:vAlign w:val="bottom"/>
            <w:tcBorders>
              <w:bottom w:val="single" w:sz="8" w:color="CCEEFF"/>
              <w:right w:val="single" w:sz="8" w:color="00000A"/>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5"/>
                <w:szCs w:val="15"/>
                <w:color w:val="auto"/>
                <w:w w:val="71"/>
              </w:rPr>
              <w:t>$</w:t>
            </w:r>
          </w:p>
        </w:tc>
        <w:tc>
          <w:tcPr>
            <w:tcW w:w="3720" w:type="dxa"/>
            <w:vAlign w:val="bottom"/>
            <w:tcBorders>
              <w:bottom w:val="single" w:sz="8" w:color="CCEEFF"/>
              <w:right w:val="single" w:sz="8" w:color="00000A"/>
            </w:tcBorders>
            <w:shd w:val="clear" w:color="auto" w:fill="CCEEFF"/>
          </w:tcPr>
          <w:p>
            <w:pPr>
              <w:jc w:val="right"/>
              <w:ind w:right="21"/>
              <w:spacing w:after="0"/>
              <w:rPr>
                <w:sz w:val="20"/>
                <w:szCs w:val="20"/>
                <w:color w:val="auto"/>
              </w:rPr>
            </w:pPr>
            <w:r>
              <w:rPr>
                <w:rFonts w:ascii="Arial" w:cs="Arial" w:eastAsia="Arial" w:hAnsi="Arial"/>
                <w:sz w:val="20"/>
                <w:szCs w:val="20"/>
                <w:color w:val="auto"/>
              </w:rPr>
              <w:t>114,016,708.33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160" w:type="dxa"/>
            <w:vAlign w:val="bottom"/>
            <w:tcBorders>
              <w:right w:val="single" w:sz="8" w:color="00000A"/>
            </w:tcBorders>
          </w:tcPr>
          <w:p>
            <w:pPr>
              <w:spacing w:after="0"/>
              <w:rPr>
                <w:sz w:val="22"/>
                <w:szCs w:val="22"/>
                <w:color w:val="auto"/>
              </w:rPr>
            </w:pPr>
          </w:p>
        </w:tc>
        <w:tc>
          <w:tcPr>
            <w:tcW w:w="4080" w:type="dxa"/>
            <w:vAlign w:val="bottom"/>
            <w:tcBorders>
              <w:top w:val="single" w:sz="8" w:color="00000A"/>
            </w:tcBorders>
          </w:tcPr>
          <w:p>
            <w:pPr>
              <w:ind w:left="20"/>
              <w:spacing w:after="0"/>
              <w:rPr>
                <w:sz w:val="20"/>
                <w:szCs w:val="20"/>
                <w:color w:val="auto"/>
              </w:rPr>
            </w:pPr>
            <w:r>
              <w:rPr>
                <w:rFonts w:ascii="Arial" w:cs="Arial" w:eastAsia="Arial" w:hAnsi="Arial"/>
                <w:sz w:val="20"/>
                <w:szCs w:val="20"/>
                <w:color w:val="auto"/>
              </w:rPr>
              <w:t>Citibank, N.A.</w:t>
            </w:r>
          </w:p>
        </w:tc>
        <w:tc>
          <w:tcPr>
            <w:tcW w:w="2720" w:type="dxa"/>
            <w:vAlign w:val="bottom"/>
            <w:tcBorders>
              <w:top w:val="single" w:sz="8" w:color="00000A"/>
              <w:right w:val="single" w:sz="8" w:color="00000A"/>
            </w:tcBorders>
          </w:tcPr>
          <w:p>
            <w:pPr>
              <w:spacing w:after="0"/>
              <w:rPr>
                <w:sz w:val="22"/>
                <w:szCs w:val="22"/>
                <w:color w:val="auto"/>
              </w:rPr>
            </w:pPr>
          </w:p>
        </w:tc>
        <w:tc>
          <w:tcPr>
            <w:tcW w:w="620" w:type="dxa"/>
            <w:vAlign w:val="bottom"/>
            <w:tcBorders>
              <w:top w:val="single" w:sz="8" w:color="00000A"/>
            </w:tcBorders>
          </w:tcPr>
          <w:p>
            <w:pPr>
              <w:jc w:val="right"/>
              <w:ind w:right="452"/>
              <w:spacing w:after="0"/>
              <w:rPr>
                <w:sz w:val="20"/>
                <w:szCs w:val="20"/>
                <w:color w:val="auto"/>
              </w:rPr>
            </w:pPr>
            <w:r>
              <w:rPr>
                <w:rFonts w:ascii="Arial" w:cs="Arial" w:eastAsia="Arial" w:hAnsi="Arial"/>
                <w:sz w:val="15"/>
                <w:szCs w:val="15"/>
                <w:color w:val="auto"/>
                <w:w w:val="71"/>
              </w:rPr>
              <w:t>$</w:t>
            </w:r>
          </w:p>
        </w:tc>
        <w:tc>
          <w:tcPr>
            <w:tcW w:w="3720" w:type="dxa"/>
            <w:vAlign w:val="bottom"/>
            <w:tcBorders>
              <w:top w:val="single" w:sz="8" w:color="00000A"/>
              <w:right w:val="single" w:sz="8" w:color="00000A"/>
            </w:tcBorders>
          </w:tcPr>
          <w:p>
            <w:pPr>
              <w:jc w:val="right"/>
              <w:ind w:right="21"/>
              <w:spacing w:after="0"/>
              <w:rPr>
                <w:sz w:val="20"/>
                <w:szCs w:val="20"/>
                <w:color w:val="auto"/>
              </w:rPr>
            </w:pPr>
            <w:r>
              <w:rPr>
                <w:rFonts w:ascii="Arial" w:cs="Arial" w:eastAsia="Arial" w:hAnsi="Arial"/>
                <w:sz w:val="20"/>
                <w:szCs w:val="20"/>
                <w:color w:val="auto"/>
              </w:rPr>
              <w:t>58,296,529.97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
        </w:trPr>
        <w:tc>
          <w:tcPr>
            <w:tcW w:w="160" w:type="dxa"/>
            <w:vAlign w:val="bottom"/>
            <w:tcBorders>
              <w:right w:val="single" w:sz="8" w:color="00000A"/>
            </w:tcBorders>
          </w:tcPr>
          <w:p>
            <w:pPr>
              <w:spacing w:after="0"/>
              <w:rPr>
                <w:sz w:val="2"/>
                <w:szCs w:val="2"/>
                <w:color w:val="auto"/>
              </w:rPr>
            </w:pPr>
          </w:p>
        </w:tc>
        <w:tc>
          <w:tcPr>
            <w:tcW w:w="40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3720" w:type="dxa"/>
            <w:vAlign w:val="bottom"/>
            <w:tcBorders>
              <w:bottom w:val="single" w:sz="8" w:color="00000A"/>
              <w:right w:val="single" w:sz="8" w:color="00000A"/>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82"/>
        </w:trPr>
        <w:tc>
          <w:tcPr>
            <w:tcW w:w="160" w:type="dxa"/>
            <w:vAlign w:val="bottom"/>
            <w:tcBorders>
              <w:right w:val="single" w:sz="8" w:color="00000A"/>
            </w:tcBorders>
          </w:tcPr>
          <w:p>
            <w:pPr>
              <w:spacing w:after="0"/>
              <w:rPr>
                <w:sz w:val="24"/>
                <w:szCs w:val="24"/>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DNB (UK) Limited</w:t>
            </w:r>
          </w:p>
        </w:tc>
        <w:tc>
          <w:tcPr>
            <w:tcW w:w="2720" w:type="dxa"/>
            <w:vAlign w:val="bottom"/>
            <w:tcBorders>
              <w:bottom w:val="single" w:sz="8" w:color="CCEEFF"/>
              <w:right w:val="single" w:sz="8" w:color="00000A"/>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5"/>
                <w:szCs w:val="15"/>
                <w:color w:val="auto"/>
                <w:w w:val="71"/>
              </w:rPr>
              <w:t>$</w:t>
            </w:r>
          </w:p>
        </w:tc>
        <w:tc>
          <w:tcPr>
            <w:tcW w:w="3720" w:type="dxa"/>
            <w:vAlign w:val="bottom"/>
            <w:tcBorders>
              <w:bottom w:val="single" w:sz="8" w:color="CCEEFF"/>
              <w:right w:val="single" w:sz="8" w:color="00000A"/>
            </w:tcBorders>
            <w:shd w:val="clear" w:color="auto" w:fill="CCEEFF"/>
          </w:tcPr>
          <w:p>
            <w:pPr>
              <w:jc w:val="right"/>
              <w:ind w:right="21"/>
              <w:spacing w:after="0"/>
              <w:rPr>
                <w:sz w:val="20"/>
                <w:szCs w:val="20"/>
                <w:color w:val="auto"/>
              </w:rPr>
            </w:pPr>
            <w:r>
              <w:rPr>
                <w:rFonts w:ascii="Arial" w:cs="Arial" w:eastAsia="Arial" w:hAnsi="Arial"/>
                <w:sz w:val="20"/>
                <w:szCs w:val="20"/>
                <w:color w:val="auto"/>
              </w:rPr>
              <w:t>58,296,529.97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160" w:type="dxa"/>
            <w:vAlign w:val="bottom"/>
            <w:tcBorders>
              <w:right w:val="single" w:sz="8" w:color="00000A"/>
            </w:tcBorders>
          </w:tcPr>
          <w:p>
            <w:pPr>
              <w:spacing w:after="0"/>
              <w:rPr>
                <w:sz w:val="22"/>
                <w:szCs w:val="22"/>
                <w:color w:val="auto"/>
              </w:rPr>
            </w:pPr>
          </w:p>
        </w:tc>
        <w:tc>
          <w:tcPr>
            <w:tcW w:w="4080" w:type="dxa"/>
            <w:vAlign w:val="bottom"/>
            <w:tcBorders>
              <w:top w:val="single" w:sz="8" w:color="00000A"/>
            </w:tcBorders>
          </w:tcPr>
          <w:p>
            <w:pPr>
              <w:ind w:left="20"/>
              <w:spacing w:after="0"/>
              <w:rPr>
                <w:sz w:val="20"/>
                <w:szCs w:val="20"/>
                <w:color w:val="auto"/>
              </w:rPr>
            </w:pPr>
            <w:r>
              <w:rPr>
                <w:rFonts w:ascii="Arial" w:cs="Arial" w:eastAsia="Arial" w:hAnsi="Arial"/>
                <w:sz w:val="20"/>
                <w:szCs w:val="20"/>
                <w:color w:val="auto"/>
              </w:rPr>
              <w:t>JPMorgan Chase Bank, N.A.</w:t>
            </w:r>
          </w:p>
        </w:tc>
        <w:tc>
          <w:tcPr>
            <w:tcW w:w="2720" w:type="dxa"/>
            <w:vAlign w:val="bottom"/>
            <w:tcBorders>
              <w:top w:val="single" w:sz="8" w:color="00000A"/>
              <w:right w:val="single" w:sz="8" w:color="00000A"/>
            </w:tcBorders>
          </w:tcPr>
          <w:p>
            <w:pPr>
              <w:spacing w:after="0"/>
              <w:rPr>
                <w:sz w:val="22"/>
                <w:szCs w:val="22"/>
                <w:color w:val="auto"/>
              </w:rPr>
            </w:pPr>
          </w:p>
        </w:tc>
        <w:tc>
          <w:tcPr>
            <w:tcW w:w="620" w:type="dxa"/>
            <w:vAlign w:val="bottom"/>
            <w:tcBorders>
              <w:top w:val="single" w:sz="8" w:color="00000A"/>
            </w:tcBorders>
          </w:tcPr>
          <w:p>
            <w:pPr>
              <w:jc w:val="right"/>
              <w:ind w:right="452"/>
              <w:spacing w:after="0"/>
              <w:rPr>
                <w:sz w:val="20"/>
                <w:szCs w:val="20"/>
                <w:color w:val="auto"/>
              </w:rPr>
            </w:pPr>
            <w:r>
              <w:rPr>
                <w:rFonts w:ascii="Arial" w:cs="Arial" w:eastAsia="Arial" w:hAnsi="Arial"/>
                <w:sz w:val="15"/>
                <w:szCs w:val="15"/>
                <w:color w:val="auto"/>
                <w:w w:val="71"/>
              </w:rPr>
              <w:t>$</w:t>
            </w:r>
          </w:p>
        </w:tc>
        <w:tc>
          <w:tcPr>
            <w:tcW w:w="3720" w:type="dxa"/>
            <w:vAlign w:val="bottom"/>
            <w:tcBorders>
              <w:top w:val="single" w:sz="8" w:color="00000A"/>
              <w:right w:val="single" w:sz="8" w:color="00000A"/>
            </w:tcBorders>
          </w:tcPr>
          <w:p>
            <w:pPr>
              <w:jc w:val="right"/>
              <w:ind w:right="21"/>
              <w:spacing w:after="0"/>
              <w:rPr>
                <w:sz w:val="20"/>
                <w:szCs w:val="20"/>
                <w:color w:val="auto"/>
              </w:rPr>
            </w:pPr>
            <w:r>
              <w:rPr>
                <w:rFonts w:ascii="Arial" w:cs="Arial" w:eastAsia="Arial" w:hAnsi="Arial"/>
                <w:sz w:val="20"/>
                <w:szCs w:val="20"/>
                <w:color w:val="auto"/>
              </w:rPr>
              <w:t>58,296,529.97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
        </w:trPr>
        <w:tc>
          <w:tcPr>
            <w:tcW w:w="160" w:type="dxa"/>
            <w:vAlign w:val="bottom"/>
            <w:tcBorders>
              <w:right w:val="single" w:sz="8" w:color="00000A"/>
            </w:tcBorders>
          </w:tcPr>
          <w:p>
            <w:pPr>
              <w:spacing w:after="0"/>
              <w:rPr>
                <w:sz w:val="2"/>
                <w:szCs w:val="2"/>
                <w:color w:val="auto"/>
              </w:rPr>
            </w:pPr>
          </w:p>
        </w:tc>
        <w:tc>
          <w:tcPr>
            <w:tcW w:w="40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3720" w:type="dxa"/>
            <w:vAlign w:val="bottom"/>
            <w:tcBorders>
              <w:bottom w:val="single" w:sz="8" w:color="00000A"/>
              <w:right w:val="single" w:sz="8" w:color="00000A"/>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82"/>
        </w:trPr>
        <w:tc>
          <w:tcPr>
            <w:tcW w:w="160" w:type="dxa"/>
            <w:vAlign w:val="bottom"/>
            <w:tcBorders>
              <w:right w:val="single" w:sz="8" w:color="00000A"/>
            </w:tcBorders>
          </w:tcPr>
          <w:p>
            <w:pPr>
              <w:spacing w:after="0"/>
              <w:rPr>
                <w:sz w:val="24"/>
                <w:szCs w:val="24"/>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Royal Bank of Canada</w:t>
            </w:r>
          </w:p>
        </w:tc>
        <w:tc>
          <w:tcPr>
            <w:tcW w:w="2720" w:type="dxa"/>
            <w:vAlign w:val="bottom"/>
            <w:tcBorders>
              <w:bottom w:val="single" w:sz="8" w:color="CCEEFF"/>
              <w:right w:val="single" w:sz="8" w:color="00000A"/>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5"/>
                <w:szCs w:val="15"/>
                <w:color w:val="auto"/>
                <w:w w:val="71"/>
              </w:rPr>
              <w:t>$</w:t>
            </w:r>
          </w:p>
        </w:tc>
        <w:tc>
          <w:tcPr>
            <w:tcW w:w="3720" w:type="dxa"/>
            <w:vAlign w:val="bottom"/>
            <w:tcBorders>
              <w:bottom w:val="single" w:sz="8" w:color="CCEEFF"/>
              <w:right w:val="single" w:sz="8" w:color="00000A"/>
            </w:tcBorders>
            <w:shd w:val="clear" w:color="auto" w:fill="CCEEFF"/>
          </w:tcPr>
          <w:p>
            <w:pPr>
              <w:jc w:val="right"/>
              <w:ind w:right="21"/>
              <w:spacing w:after="0"/>
              <w:rPr>
                <w:sz w:val="20"/>
                <w:szCs w:val="20"/>
                <w:color w:val="auto"/>
              </w:rPr>
            </w:pPr>
            <w:r>
              <w:rPr>
                <w:rFonts w:ascii="Arial" w:cs="Arial" w:eastAsia="Arial" w:hAnsi="Arial"/>
                <w:sz w:val="20"/>
                <w:szCs w:val="20"/>
                <w:color w:val="auto"/>
              </w:rPr>
              <w:t>58,296,529.97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160" w:type="dxa"/>
            <w:vAlign w:val="bottom"/>
            <w:tcBorders>
              <w:right w:val="single" w:sz="8" w:color="00000A"/>
            </w:tcBorders>
          </w:tcPr>
          <w:p>
            <w:pPr>
              <w:spacing w:after="0"/>
              <w:rPr>
                <w:sz w:val="22"/>
                <w:szCs w:val="22"/>
                <w:color w:val="auto"/>
              </w:rPr>
            </w:pPr>
          </w:p>
        </w:tc>
        <w:tc>
          <w:tcPr>
            <w:tcW w:w="4080" w:type="dxa"/>
            <w:vAlign w:val="bottom"/>
            <w:tcBorders>
              <w:top w:val="single" w:sz="8" w:color="00000A"/>
            </w:tcBorders>
          </w:tcPr>
          <w:p>
            <w:pPr>
              <w:ind w:left="20"/>
              <w:spacing w:after="0"/>
              <w:rPr>
                <w:sz w:val="20"/>
                <w:szCs w:val="20"/>
                <w:color w:val="auto"/>
              </w:rPr>
            </w:pPr>
            <w:r>
              <w:rPr>
                <w:rFonts w:ascii="Arial" w:cs="Arial" w:eastAsia="Arial" w:hAnsi="Arial"/>
                <w:sz w:val="20"/>
                <w:szCs w:val="20"/>
                <w:color w:val="auto"/>
              </w:rPr>
              <w:t>Sumitomo Mitsui Banking Corporation</w:t>
            </w:r>
          </w:p>
        </w:tc>
        <w:tc>
          <w:tcPr>
            <w:tcW w:w="2720" w:type="dxa"/>
            <w:vAlign w:val="bottom"/>
            <w:tcBorders>
              <w:top w:val="single" w:sz="8" w:color="00000A"/>
              <w:right w:val="single" w:sz="8" w:color="00000A"/>
            </w:tcBorders>
          </w:tcPr>
          <w:p>
            <w:pPr>
              <w:spacing w:after="0"/>
              <w:rPr>
                <w:sz w:val="22"/>
                <w:szCs w:val="22"/>
                <w:color w:val="auto"/>
              </w:rPr>
            </w:pPr>
          </w:p>
        </w:tc>
        <w:tc>
          <w:tcPr>
            <w:tcW w:w="620" w:type="dxa"/>
            <w:vAlign w:val="bottom"/>
            <w:tcBorders>
              <w:top w:val="single" w:sz="8" w:color="00000A"/>
            </w:tcBorders>
          </w:tcPr>
          <w:p>
            <w:pPr>
              <w:jc w:val="right"/>
              <w:ind w:right="452"/>
              <w:spacing w:after="0"/>
              <w:rPr>
                <w:sz w:val="20"/>
                <w:szCs w:val="20"/>
                <w:color w:val="auto"/>
              </w:rPr>
            </w:pPr>
            <w:r>
              <w:rPr>
                <w:rFonts w:ascii="Arial" w:cs="Arial" w:eastAsia="Arial" w:hAnsi="Arial"/>
                <w:sz w:val="15"/>
                <w:szCs w:val="15"/>
                <w:color w:val="auto"/>
                <w:w w:val="71"/>
              </w:rPr>
              <w:t>$</w:t>
            </w:r>
          </w:p>
        </w:tc>
        <w:tc>
          <w:tcPr>
            <w:tcW w:w="3720" w:type="dxa"/>
            <w:vAlign w:val="bottom"/>
            <w:tcBorders>
              <w:top w:val="single" w:sz="8" w:color="00000A"/>
              <w:right w:val="single" w:sz="8" w:color="00000A"/>
            </w:tcBorders>
          </w:tcPr>
          <w:p>
            <w:pPr>
              <w:jc w:val="right"/>
              <w:ind w:right="21"/>
              <w:spacing w:after="0"/>
              <w:rPr>
                <w:sz w:val="20"/>
                <w:szCs w:val="20"/>
                <w:color w:val="auto"/>
              </w:rPr>
            </w:pPr>
            <w:r>
              <w:rPr>
                <w:rFonts w:ascii="Arial" w:cs="Arial" w:eastAsia="Arial" w:hAnsi="Arial"/>
                <w:sz w:val="20"/>
                <w:szCs w:val="20"/>
                <w:color w:val="auto"/>
              </w:rPr>
              <w:t>58,296,529.97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
        </w:trPr>
        <w:tc>
          <w:tcPr>
            <w:tcW w:w="160" w:type="dxa"/>
            <w:vAlign w:val="bottom"/>
            <w:tcBorders>
              <w:right w:val="single" w:sz="8" w:color="00000A"/>
            </w:tcBorders>
          </w:tcPr>
          <w:p>
            <w:pPr>
              <w:spacing w:after="0"/>
              <w:rPr>
                <w:sz w:val="2"/>
                <w:szCs w:val="2"/>
                <w:color w:val="auto"/>
              </w:rPr>
            </w:pPr>
          </w:p>
        </w:tc>
        <w:tc>
          <w:tcPr>
            <w:tcW w:w="40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3720" w:type="dxa"/>
            <w:vAlign w:val="bottom"/>
            <w:tcBorders>
              <w:bottom w:val="single" w:sz="8" w:color="00000A"/>
              <w:right w:val="single" w:sz="8" w:color="00000A"/>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82"/>
        </w:trPr>
        <w:tc>
          <w:tcPr>
            <w:tcW w:w="160" w:type="dxa"/>
            <w:vAlign w:val="bottom"/>
            <w:tcBorders>
              <w:right w:val="single" w:sz="8" w:color="00000A"/>
            </w:tcBorders>
          </w:tcPr>
          <w:p>
            <w:pPr>
              <w:spacing w:after="0"/>
              <w:rPr>
                <w:sz w:val="24"/>
                <w:szCs w:val="24"/>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The Bank of Tokyo-Mitsubishi UFJ, Ltd.</w:t>
            </w:r>
          </w:p>
        </w:tc>
        <w:tc>
          <w:tcPr>
            <w:tcW w:w="2720" w:type="dxa"/>
            <w:vAlign w:val="bottom"/>
            <w:tcBorders>
              <w:bottom w:val="single" w:sz="8" w:color="CCEEFF"/>
              <w:right w:val="single" w:sz="8" w:color="00000A"/>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5"/>
                <w:szCs w:val="15"/>
                <w:color w:val="auto"/>
                <w:w w:val="71"/>
              </w:rPr>
              <w:t>$</w:t>
            </w:r>
          </w:p>
        </w:tc>
        <w:tc>
          <w:tcPr>
            <w:tcW w:w="3720" w:type="dxa"/>
            <w:vAlign w:val="bottom"/>
            <w:tcBorders>
              <w:bottom w:val="single" w:sz="8" w:color="CCEEFF"/>
              <w:right w:val="single" w:sz="8" w:color="00000A"/>
            </w:tcBorders>
            <w:shd w:val="clear" w:color="auto" w:fill="CCEEFF"/>
          </w:tcPr>
          <w:p>
            <w:pPr>
              <w:jc w:val="right"/>
              <w:ind w:right="21"/>
              <w:spacing w:after="0"/>
              <w:rPr>
                <w:sz w:val="20"/>
                <w:szCs w:val="20"/>
                <w:color w:val="auto"/>
              </w:rPr>
            </w:pPr>
            <w:r>
              <w:rPr>
                <w:rFonts w:ascii="Arial" w:cs="Arial" w:eastAsia="Arial" w:hAnsi="Arial"/>
                <w:sz w:val="20"/>
                <w:szCs w:val="20"/>
                <w:color w:val="auto"/>
              </w:rPr>
              <w:t>58,296,529.97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160" w:type="dxa"/>
            <w:vAlign w:val="bottom"/>
            <w:tcBorders>
              <w:right w:val="single" w:sz="8" w:color="00000A"/>
            </w:tcBorders>
          </w:tcPr>
          <w:p>
            <w:pPr>
              <w:spacing w:after="0"/>
              <w:rPr>
                <w:sz w:val="22"/>
                <w:szCs w:val="22"/>
                <w:color w:val="auto"/>
              </w:rPr>
            </w:pPr>
          </w:p>
        </w:tc>
        <w:tc>
          <w:tcPr>
            <w:tcW w:w="4080" w:type="dxa"/>
            <w:vAlign w:val="bottom"/>
            <w:tcBorders>
              <w:top w:val="single" w:sz="8" w:color="00000A"/>
            </w:tcBorders>
          </w:tcPr>
          <w:p>
            <w:pPr>
              <w:ind w:left="20"/>
              <w:spacing w:after="0"/>
              <w:rPr>
                <w:sz w:val="20"/>
                <w:szCs w:val="20"/>
                <w:color w:val="auto"/>
              </w:rPr>
            </w:pPr>
            <w:r>
              <w:rPr>
                <w:rFonts w:ascii="Arial" w:cs="Arial" w:eastAsia="Arial" w:hAnsi="Arial"/>
                <w:sz w:val="20"/>
                <w:szCs w:val="20"/>
                <w:color w:val="auto"/>
              </w:rPr>
              <w:t>Barclays Bank PLC</w:t>
            </w:r>
          </w:p>
        </w:tc>
        <w:tc>
          <w:tcPr>
            <w:tcW w:w="2720" w:type="dxa"/>
            <w:vAlign w:val="bottom"/>
            <w:tcBorders>
              <w:top w:val="single" w:sz="8" w:color="00000A"/>
              <w:right w:val="single" w:sz="8" w:color="00000A"/>
            </w:tcBorders>
          </w:tcPr>
          <w:p>
            <w:pPr>
              <w:spacing w:after="0"/>
              <w:rPr>
                <w:sz w:val="22"/>
                <w:szCs w:val="22"/>
                <w:color w:val="auto"/>
              </w:rPr>
            </w:pPr>
          </w:p>
        </w:tc>
        <w:tc>
          <w:tcPr>
            <w:tcW w:w="620" w:type="dxa"/>
            <w:vAlign w:val="bottom"/>
            <w:tcBorders>
              <w:top w:val="single" w:sz="8" w:color="00000A"/>
            </w:tcBorders>
          </w:tcPr>
          <w:p>
            <w:pPr>
              <w:jc w:val="right"/>
              <w:ind w:right="452"/>
              <w:spacing w:after="0"/>
              <w:rPr>
                <w:sz w:val="20"/>
                <w:szCs w:val="20"/>
                <w:color w:val="auto"/>
              </w:rPr>
            </w:pPr>
            <w:r>
              <w:rPr>
                <w:rFonts w:ascii="Arial" w:cs="Arial" w:eastAsia="Arial" w:hAnsi="Arial"/>
                <w:sz w:val="15"/>
                <w:szCs w:val="15"/>
                <w:color w:val="auto"/>
                <w:w w:val="71"/>
              </w:rPr>
              <w:t>$</w:t>
            </w:r>
          </w:p>
        </w:tc>
        <w:tc>
          <w:tcPr>
            <w:tcW w:w="3720" w:type="dxa"/>
            <w:vAlign w:val="bottom"/>
            <w:tcBorders>
              <w:top w:val="single" w:sz="8" w:color="00000A"/>
              <w:right w:val="single" w:sz="8" w:color="00000A"/>
            </w:tcBorders>
          </w:tcPr>
          <w:p>
            <w:pPr>
              <w:jc w:val="right"/>
              <w:ind w:right="21"/>
              <w:spacing w:after="0"/>
              <w:rPr>
                <w:sz w:val="20"/>
                <w:szCs w:val="20"/>
                <w:color w:val="auto"/>
              </w:rPr>
            </w:pPr>
            <w:r>
              <w:rPr>
                <w:rFonts w:ascii="Arial" w:cs="Arial" w:eastAsia="Arial" w:hAnsi="Arial"/>
                <w:sz w:val="20"/>
                <w:szCs w:val="20"/>
                <w:color w:val="auto"/>
              </w:rPr>
              <w:t>41,900,630.91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
        </w:trPr>
        <w:tc>
          <w:tcPr>
            <w:tcW w:w="160" w:type="dxa"/>
            <w:vAlign w:val="bottom"/>
            <w:tcBorders>
              <w:right w:val="single" w:sz="8" w:color="00000A"/>
            </w:tcBorders>
          </w:tcPr>
          <w:p>
            <w:pPr>
              <w:spacing w:after="0"/>
              <w:rPr>
                <w:sz w:val="2"/>
                <w:szCs w:val="2"/>
                <w:color w:val="auto"/>
              </w:rPr>
            </w:pPr>
          </w:p>
        </w:tc>
        <w:tc>
          <w:tcPr>
            <w:tcW w:w="40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3720" w:type="dxa"/>
            <w:vAlign w:val="bottom"/>
            <w:tcBorders>
              <w:bottom w:val="single" w:sz="8" w:color="00000A"/>
              <w:right w:val="single" w:sz="8" w:color="00000A"/>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82"/>
        </w:trPr>
        <w:tc>
          <w:tcPr>
            <w:tcW w:w="160" w:type="dxa"/>
            <w:vAlign w:val="bottom"/>
            <w:tcBorders>
              <w:right w:val="single" w:sz="8" w:color="00000A"/>
            </w:tcBorders>
          </w:tcPr>
          <w:p>
            <w:pPr>
              <w:spacing w:after="0"/>
              <w:rPr>
                <w:sz w:val="24"/>
                <w:szCs w:val="24"/>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Credit Suisse AG, Cayman Islands Branch</w:t>
            </w:r>
          </w:p>
        </w:tc>
        <w:tc>
          <w:tcPr>
            <w:tcW w:w="2720" w:type="dxa"/>
            <w:vAlign w:val="bottom"/>
            <w:tcBorders>
              <w:bottom w:val="single" w:sz="8" w:color="CCEEFF"/>
              <w:right w:val="single" w:sz="8" w:color="00000A"/>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5"/>
                <w:szCs w:val="15"/>
                <w:color w:val="auto"/>
                <w:w w:val="71"/>
              </w:rPr>
              <w:t>$</w:t>
            </w:r>
          </w:p>
        </w:tc>
        <w:tc>
          <w:tcPr>
            <w:tcW w:w="3720" w:type="dxa"/>
            <w:vAlign w:val="bottom"/>
            <w:tcBorders>
              <w:bottom w:val="single" w:sz="8" w:color="CCEEFF"/>
              <w:right w:val="single" w:sz="8" w:color="00000A"/>
            </w:tcBorders>
            <w:shd w:val="clear" w:color="auto" w:fill="CCEEFF"/>
          </w:tcPr>
          <w:p>
            <w:pPr>
              <w:jc w:val="right"/>
              <w:ind w:right="21"/>
              <w:spacing w:after="0"/>
              <w:rPr>
                <w:sz w:val="20"/>
                <w:szCs w:val="20"/>
                <w:color w:val="auto"/>
              </w:rPr>
            </w:pPr>
            <w:r>
              <w:rPr>
                <w:rFonts w:ascii="Arial" w:cs="Arial" w:eastAsia="Arial" w:hAnsi="Arial"/>
                <w:sz w:val="20"/>
                <w:szCs w:val="20"/>
                <w:color w:val="auto"/>
              </w:rPr>
              <w:t>41,900,630.91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160" w:type="dxa"/>
            <w:vAlign w:val="bottom"/>
            <w:tcBorders>
              <w:right w:val="single" w:sz="8" w:color="00000A"/>
            </w:tcBorders>
          </w:tcPr>
          <w:p>
            <w:pPr>
              <w:spacing w:after="0"/>
              <w:rPr>
                <w:sz w:val="22"/>
                <w:szCs w:val="22"/>
                <w:color w:val="auto"/>
              </w:rPr>
            </w:pPr>
          </w:p>
        </w:tc>
        <w:tc>
          <w:tcPr>
            <w:tcW w:w="4080" w:type="dxa"/>
            <w:vAlign w:val="bottom"/>
            <w:tcBorders>
              <w:top w:val="single" w:sz="8" w:color="00000A"/>
            </w:tcBorders>
          </w:tcPr>
          <w:p>
            <w:pPr>
              <w:ind w:left="20"/>
              <w:spacing w:after="0"/>
              <w:rPr>
                <w:sz w:val="20"/>
                <w:szCs w:val="20"/>
                <w:color w:val="auto"/>
              </w:rPr>
            </w:pPr>
            <w:r>
              <w:rPr>
                <w:rFonts w:ascii="Arial" w:cs="Arial" w:eastAsia="Arial" w:hAnsi="Arial"/>
                <w:sz w:val="20"/>
                <w:szCs w:val="20"/>
                <w:color w:val="auto"/>
              </w:rPr>
              <w:t>HSBC Bank PLC (Dublin Branch)</w:t>
            </w:r>
          </w:p>
        </w:tc>
        <w:tc>
          <w:tcPr>
            <w:tcW w:w="2720" w:type="dxa"/>
            <w:vAlign w:val="bottom"/>
            <w:tcBorders>
              <w:top w:val="single" w:sz="8" w:color="00000A"/>
              <w:right w:val="single" w:sz="8" w:color="00000A"/>
            </w:tcBorders>
          </w:tcPr>
          <w:p>
            <w:pPr>
              <w:spacing w:after="0"/>
              <w:rPr>
                <w:sz w:val="22"/>
                <w:szCs w:val="22"/>
                <w:color w:val="auto"/>
              </w:rPr>
            </w:pPr>
          </w:p>
        </w:tc>
        <w:tc>
          <w:tcPr>
            <w:tcW w:w="620" w:type="dxa"/>
            <w:vAlign w:val="bottom"/>
            <w:tcBorders>
              <w:top w:val="single" w:sz="8" w:color="00000A"/>
            </w:tcBorders>
          </w:tcPr>
          <w:p>
            <w:pPr>
              <w:jc w:val="right"/>
              <w:ind w:right="452"/>
              <w:spacing w:after="0"/>
              <w:rPr>
                <w:sz w:val="20"/>
                <w:szCs w:val="20"/>
                <w:color w:val="auto"/>
              </w:rPr>
            </w:pPr>
            <w:r>
              <w:rPr>
                <w:rFonts w:ascii="Arial" w:cs="Arial" w:eastAsia="Arial" w:hAnsi="Arial"/>
                <w:sz w:val="15"/>
                <w:szCs w:val="15"/>
                <w:color w:val="auto"/>
                <w:w w:val="71"/>
              </w:rPr>
              <w:t>$</w:t>
            </w:r>
          </w:p>
        </w:tc>
        <w:tc>
          <w:tcPr>
            <w:tcW w:w="3720" w:type="dxa"/>
            <w:vAlign w:val="bottom"/>
            <w:tcBorders>
              <w:top w:val="single" w:sz="8" w:color="00000A"/>
              <w:right w:val="single" w:sz="8" w:color="00000A"/>
            </w:tcBorders>
          </w:tcPr>
          <w:p>
            <w:pPr>
              <w:jc w:val="right"/>
              <w:ind w:right="21"/>
              <w:spacing w:after="0"/>
              <w:rPr>
                <w:sz w:val="20"/>
                <w:szCs w:val="20"/>
                <w:color w:val="auto"/>
              </w:rPr>
            </w:pPr>
            <w:r>
              <w:rPr>
                <w:rFonts w:ascii="Arial" w:cs="Arial" w:eastAsia="Arial" w:hAnsi="Arial"/>
                <w:sz w:val="20"/>
                <w:szCs w:val="20"/>
                <w:color w:val="auto"/>
              </w:rPr>
              <w:t>36,093,750.00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
        </w:trPr>
        <w:tc>
          <w:tcPr>
            <w:tcW w:w="160" w:type="dxa"/>
            <w:vAlign w:val="bottom"/>
            <w:tcBorders>
              <w:right w:val="single" w:sz="8" w:color="00000A"/>
            </w:tcBorders>
          </w:tcPr>
          <w:p>
            <w:pPr>
              <w:spacing w:after="0"/>
              <w:rPr>
                <w:sz w:val="2"/>
                <w:szCs w:val="2"/>
                <w:color w:val="auto"/>
              </w:rPr>
            </w:pPr>
          </w:p>
        </w:tc>
        <w:tc>
          <w:tcPr>
            <w:tcW w:w="40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3720" w:type="dxa"/>
            <w:vAlign w:val="bottom"/>
            <w:tcBorders>
              <w:bottom w:val="single" w:sz="8" w:color="00000A"/>
              <w:right w:val="single" w:sz="8" w:color="00000A"/>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82"/>
        </w:trPr>
        <w:tc>
          <w:tcPr>
            <w:tcW w:w="160" w:type="dxa"/>
            <w:vAlign w:val="bottom"/>
            <w:tcBorders>
              <w:right w:val="single" w:sz="8" w:color="00000A"/>
            </w:tcBorders>
          </w:tcPr>
          <w:p>
            <w:pPr>
              <w:spacing w:after="0"/>
              <w:rPr>
                <w:sz w:val="24"/>
                <w:szCs w:val="24"/>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HSBC Bank USA, N.A.</w:t>
            </w:r>
          </w:p>
        </w:tc>
        <w:tc>
          <w:tcPr>
            <w:tcW w:w="2720" w:type="dxa"/>
            <w:vAlign w:val="bottom"/>
            <w:tcBorders>
              <w:bottom w:val="single" w:sz="8" w:color="CCEEFF"/>
              <w:right w:val="single" w:sz="8" w:color="00000A"/>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5"/>
                <w:szCs w:val="15"/>
                <w:color w:val="auto"/>
                <w:w w:val="71"/>
              </w:rPr>
              <w:t>$</w:t>
            </w:r>
          </w:p>
        </w:tc>
        <w:tc>
          <w:tcPr>
            <w:tcW w:w="3720" w:type="dxa"/>
            <w:vAlign w:val="bottom"/>
            <w:tcBorders>
              <w:bottom w:val="single" w:sz="8" w:color="CCEEFF"/>
              <w:right w:val="single" w:sz="8" w:color="00000A"/>
            </w:tcBorders>
            <w:shd w:val="clear" w:color="auto" w:fill="CCEEFF"/>
          </w:tcPr>
          <w:p>
            <w:pPr>
              <w:jc w:val="right"/>
              <w:ind w:right="21"/>
              <w:spacing w:after="0"/>
              <w:rPr>
                <w:sz w:val="20"/>
                <w:szCs w:val="20"/>
                <w:color w:val="auto"/>
              </w:rPr>
            </w:pPr>
            <w:r>
              <w:rPr>
                <w:rFonts w:ascii="Arial" w:cs="Arial" w:eastAsia="Arial" w:hAnsi="Arial"/>
                <w:sz w:val="20"/>
                <w:szCs w:val="20"/>
                <w:color w:val="auto"/>
              </w:rPr>
              <w:t>5,806,880.91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160" w:type="dxa"/>
            <w:vAlign w:val="bottom"/>
            <w:tcBorders>
              <w:right w:val="single" w:sz="8" w:color="00000A"/>
            </w:tcBorders>
          </w:tcPr>
          <w:p>
            <w:pPr>
              <w:spacing w:after="0"/>
              <w:rPr>
                <w:sz w:val="22"/>
                <w:szCs w:val="22"/>
                <w:color w:val="auto"/>
              </w:rPr>
            </w:pPr>
          </w:p>
        </w:tc>
        <w:tc>
          <w:tcPr>
            <w:tcW w:w="4080" w:type="dxa"/>
            <w:vAlign w:val="bottom"/>
            <w:tcBorders>
              <w:top w:val="single" w:sz="8" w:color="00000A"/>
            </w:tcBorders>
          </w:tcPr>
          <w:p>
            <w:pPr>
              <w:ind w:left="20"/>
              <w:spacing w:after="0"/>
              <w:rPr>
                <w:sz w:val="20"/>
                <w:szCs w:val="20"/>
                <w:color w:val="auto"/>
              </w:rPr>
            </w:pPr>
            <w:r>
              <w:rPr>
                <w:rFonts w:ascii="Arial" w:cs="Arial" w:eastAsia="Arial" w:hAnsi="Arial"/>
                <w:sz w:val="20"/>
                <w:szCs w:val="20"/>
                <w:color w:val="auto"/>
              </w:rPr>
              <w:t>Morgan Stanley Bank, N.A.</w:t>
            </w:r>
          </w:p>
        </w:tc>
        <w:tc>
          <w:tcPr>
            <w:tcW w:w="2720" w:type="dxa"/>
            <w:vAlign w:val="bottom"/>
            <w:tcBorders>
              <w:top w:val="single" w:sz="8" w:color="00000A"/>
              <w:right w:val="single" w:sz="8" w:color="00000A"/>
            </w:tcBorders>
          </w:tcPr>
          <w:p>
            <w:pPr>
              <w:spacing w:after="0"/>
              <w:rPr>
                <w:sz w:val="22"/>
                <w:szCs w:val="22"/>
                <w:color w:val="auto"/>
              </w:rPr>
            </w:pPr>
          </w:p>
        </w:tc>
        <w:tc>
          <w:tcPr>
            <w:tcW w:w="620" w:type="dxa"/>
            <w:vAlign w:val="bottom"/>
            <w:tcBorders>
              <w:top w:val="single" w:sz="8" w:color="00000A"/>
            </w:tcBorders>
          </w:tcPr>
          <w:p>
            <w:pPr>
              <w:jc w:val="right"/>
              <w:ind w:right="452"/>
              <w:spacing w:after="0"/>
              <w:rPr>
                <w:sz w:val="20"/>
                <w:szCs w:val="20"/>
                <w:color w:val="auto"/>
              </w:rPr>
            </w:pPr>
            <w:r>
              <w:rPr>
                <w:rFonts w:ascii="Arial" w:cs="Arial" w:eastAsia="Arial" w:hAnsi="Arial"/>
                <w:sz w:val="15"/>
                <w:szCs w:val="15"/>
                <w:color w:val="auto"/>
                <w:w w:val="71"/>
              </w:rPr>
              <w:t>$</w:t>
            </w:r>
          </w:p>
        </w:tc>
        <w:tc>
          <w:tcPr>
            <w:tcW w:w="3720" w:type="dxa"/>
            <w:vAlign w:val="bottom"/>
            <w:tcBorders>
              <w:top w:val="single" w:sz="8" w:color="00000A"/>
              <w:right w:val="single" w:sz="8" w:color="00000A"/>
            </w:tcBorders>
          </w:tcPr>
          <w:p>
            <w:pPr>
              <w:jc w:val="right"/>
              <w:ind w:right="21"/>
              <w:spacing w:after="0"/>
              <w:rPr>
                <w:sz w:val="20"/>
                <w:szCs w:val="20"/>
                <w:color w:val="auto"/>
              </w:rPr>
            </w:pPr>
            <w:r>
              <w:rPr>
                <w:rFonts w:ascii="Arial" w:cs="Arial" w:eastAsia="Arial" w:hAnsi="Arial"/>
                <w:sz w:val="20"/>
                <w:szCs w:val="20"/>
                <w:color w:val="auto"/>
              </w:rPr>
              <w:t>41,900,630.91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
        </w:trPr>
        <w:tc>
          <w:tcPr>
            <w:tcW w:w="160" w:type="dxa"/>
            <w:vAlign w:val="bottom"/>
            <w:tcBorders>
              <w:right w:val="single" w:sz="8" w:color="00000A"/>
            </w:tcBorders>
          </w:tcPr>
          <w:p>
            <w:pPr>
              <w:spacing w:after="0"/>
              <w:rPr>
                <w:sz w:val="2"/>
                <w:szCs w:val="2"/>
                <w:color w:val="auto"/>
              </w:rPr>
            </w:pPr>
          </w:p>
        </w:tc>
        <w:tc>
          <w:tcPr>
            <w:tcW w:w="40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3720" w:type="dxa"/>
            <w:vAlign w:val="bottom"/>
            <w:tcBorders>
              <w:bottom w:val="single" w:sz="8" w:color="00000A"/>
              <w:right w:val="single" w:sz="8" w:color="00000A"/>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82"/>
        </w:trPr>
        <w:tc>
          <w:tcPr>
            <w:tcW w:w="160" w:type="dxa"/>
            <w:vAlign w:val="bottom"/>
            <w:tcBorders>
              <w:right w:val="single" w:sz="8" w:color="00000A"/>
            </w:tcBorders>
          </w:tcPr>
          <w:p>
            <w:pPr>
              <w:spacing w:after="0"/>
              <w:rPr>
                <w:sz w:val="24"/>
                <w:szCs w:val="24"/>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SunTrust Bank</w:t>
            </w:r>
          </w:p>
        </w:tc>
        <w:tc>
          <w:tcPr>
            <w:tcW w:w="2720" w:type="dxa"/>
            <w:vAlign w:val="bottom"/>
            <w:tcBorders>
              <w:bottom w:val="single" w:sz="8" w:color="CCEEFF"/>
              <w:right w:val="single" w:sz="8" w:color="00000A"/>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5"/>
                <w:szCs w:val="15"/>
                <w:color w:val="auto"/>
                <w:w w:val="71"/>
              </w:rPr>
              <w:t>$</w:t>
            </w:r>
          </w:p>
        </w:tc>
        <w:tc>
          <w:tcPr>
            <w:tcW w:w="3720" w:type="dxa"/>
            <w:vAlign w:val="bottom"/>
            <w:tcBorders>
              <w:bottom w:val="single" w:sz="8" w:color="CCEEFF"/>
              <w:right w:val="single" w:sz="8" w:color="00000A"/>
            </w:tcBorders>
            <w:shd w:val="clear" w:color="auto" w:fill="CCEEFF"/>
          </w:tcPr>
          <w:p>
            <w:pPr>
              <w:jc w:val="right"/>
              <w:ind w:right="21"/>
              <w:spacing w:after="0"/>
              <w:rPr>
                <w:sz w:val="20"/>
                <w:szCs w:val="20"/>
                <w:color w:val="auto"/>
              </w:rPr>
            </w:pPr>
            <w:r>
              <w:rPr>
                <w:rFonts w:ascii="Arial" w:cs="Arial" w:eastAsia="Arial" w:hAnsi="Arial"/>
                <w:sz w:val="20"/>
                <w:szCs w:val="20"/>
                <w:color w:val="auto"/>
              </w:rPr>
              <w:t>41,900,630.91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160" w:type="dxa"/>
            <w:vAlign w:val="bottom"/>
            <w:tcBorders>
              <w:right w:val="single" w:sz="8" w:color="00000A"/>
            </w:tcBorders>
          </w:tcPr>
          <w:p>
            <w:pPr>
              <w:spacing w:after="0"/>
              <w:rPr>
                <w:sz w:val="22"/>
                <w:szCs w:val="22"/>
                <w:color w:val="auto"/>
              </w:rPr>
            </w:pPr>
          </w:p>
        </w:tc>
        <w:tc>
          <w:tcPr>
            <w:tcW w:w="4080" w:type="dxa"/>
            <w:vAlign w:val="bottom"/>
            <w:tcBorders>
              <w:top w:val="single" w:sz="8" w:color="00000A"/>
            </w:tcBorders>
          </w:tcPr>
          <w:p>
            <w:pPr>
              <w:ind w:left="20"/>
              <w:spacing w:after="0"/>
              <w:rPr>
                <w:sz w:val="20"/>
                <w:szCs w:val="20"/>
                <w:color w:val="auto"/>
              </w:rPr>
            </w:pPr>
            <w:r>
              <w:rPr>
                <w:rFonts w:ascii="Arial" w:cs="Arial" w:eastAsia="Arial" w:hAnsi="Arial"/>
                <w:sz w:val="20"/>
                <w:szCs w:val="20"/>
                <w:color w:val="auto"/>
                <w:w w:val="97"/>
              </w:rPr>
              <w:t>Taiwan Cooperative Bank, Ltd., Seattle Branch</w:t>
            </w:r>
          </w:p>
        </w:tc>
        <w:tc>
          <w:tcPr>
            <w:tcW w:w="2720" w:type="dxa"/>
            <w:vAlign w:val="bottom"/>
            <w:tcBorders>
              <w:top w:val="single" w:sz="8" w:color="00000A"/>
              <w:right w:val="single" w:sz="8" w:color="00000A"/>
            </w:tcBorders>
          </w:tcPr>
          <w:p>
            <w:pPr>
              <w:spacing w:after="0"/>
              <w:rPr>
                <w:sz w:val="22"/>
                <w:szCs w:val="22"/>
                <w:color w:val="auto"/>
              </w:rPr>
            </w:pPr>
          </w:p>
        </w:tc>
        <w:tc>
          <w:tcPr>
            <w:tcW w:w="620" w:type="dxa"/>
            <w:vAlign w:val="bottom"/>
            <w:tcBorders>
              <w:top w:val="single" w:sz="8" w:color="00000A"/>
            </w:tcBorders>
          </w:tcPr>
          <w:p>
            <w:pPr>
              <w:jc w:val="right"/>
              <w:ind w:right="452"/>
              <w:spacing w:after="0"/>
              <w:rPr>
                <w:sz w:val="20"/>
                <w:szCs w:val="20"/>
                <w:color w:val="auto"/>
              </w:rPr>
            </w:pPr>
            <w:r>
              <w:rPr>
                <w:rFonts w:ascii="Arial" w:cs="Arial" w:eastAsia="Arial" w:hAnsi="Arial"/>
                <w:sz w:val="15"/>
                <w:szCs w:val="15"/>
                <w:color w:val="auto"/>
                <w:w w:val="71"/>
              </w:rPr>
              <w:t>$</w:t>
            </w:r>
          </w:p>
        </w:tc>
        <w:tc>
          <w:tcPr>
            <w:tcW w:w="3720" w:type="dxa"/>
            <w:vAlign w:val="bottom"/>
            <w:tcBorders>
              <w:top w:val="single" w:sz="8" w:color="00000A"/>
              <w:right w:val="single" w:sz="8" w:color="00000A"/>
            </w:tcBorders>
          </w:tcPr>
          <w:p>
            <w:pPr>
              <w:jc w:val="right"/>
              <w:ind w:right="21"/>
              <w:spacing w:after="0"/>
              <w:rPr>
                <w:sz w:val="20"/>
                <w:szCs w:val="20"/>
                <w:color w:val="auto"/>
              </w:rPr>
            </w:pPr>
            <w:r>
              <w:rPr>
                <w:rFonts w:ascii="Arial" w:cs="Arial" w:eastAsia="Arial" w:hAnsi="Arial"/>
                <w:sz w:val="20"/>
                <w:szCs w:val="20"/>
                <w:color w:val="auto"/>
              </w:rPr>
              <w:t>19,427,692.31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
        </w:trPr>
        <w:tc>
          <w:tcPr>
            <w:tcW w:w="160" w:type="dxa"/>
            <w:vAlign w:val="bottom"/>
            <w:tcBorders>
              <w:right w:val="single" w:sz="8" w:color="00000A"/>
            </w:tcBorders>
          </w:tcPr>
          <w:p>
            <w:pPr>
              <w:spacing w:after="0"/>
              <w:rPr>
                <w:sz w:val="2"/>
                <w:szCs w:val="2"/>
                <w:color w:val="auto"/>
              </w:rPr>
            </w:pPr>
          </w:p>
        </w:tc>
        <w:tc>
          <w:tcPr>
            <w:tcW w:w="40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3720" w:type="dxa"/>
            <w:vAlign w:val="bottom"/>
            <w:tcBorders>
              <w:bottom w:val="single" w:sz="8" w:color="00000A"/>
              <w:right w:val="single" w:sz="8" w:color="00000A"/>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82"/>
        </w:trPr>
        <w:tc>
          <w:tcPr>
            <w:tcW w:w="160" w:type="dxa"/>
            <w:vAlign w:val="bottom"/>
            <w:tcBorders>
              <w:right w:val="single" w:sz="8" w:color="00000A"/>
            </w:tcBorders>
          </w:tcPr>
          <w:p>
            <w:pPr>
              <w:spacing w:after="0"/>
              <w:rPr>
                <w:sz w:val="24"/>
                <w:szCs w:val="24"/>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Citizens Bank, N.A.</w:t>
            </w:r>
          </w:p>
        </w:tc>
        <w:tc>
          <w:tcPr>
            <w:tcW w:w="2720" w:type="dxa"/>
            <w:vAlign w:val="bottom"/>
            <w:tcBorders>
              <w:bottom w:val="single" w:sz="8" w:color="CCEEFF"/>
              <w:right w:val="single" w:sz="8" w:color="00000A"/>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5"/>
                <w:szCs w:val="15"/>
                <w:color w:val="auto"/>
                <w:w w:val="71"/>
              </w:rPr>
              <w:t>$</w:t>
            </w:r>
          </w:p>
        </w:tc>
        <w:tc>
          <w:tcPr>
            <w:tcW w:w="3720" w:type="dxa"/>
            <w:vAlign w:val="bottom"/>
            <w:tcBorders>
              <w:bottom w:val="single" w:sz="8" w:color="CCEEFF"/>
              <w:right w:val="single" w:sz="8" w:color="00000A"/>
            </w:tcBorders>
            <w:shd w:val="clear" w:color="auto" w:fill="CCEEFF"/>
          </w:tcPr>
          <w:p>
            <w:pPr>
              <w:jc w:val="right"/>
              <w:ind w:right="21"/>
              <w:spacing w:after="0"/>
              <w:rPr>
                <w:sz w:val="20"/>
                <w:szCs w:val="20"/>
                <w:color w:val="auto"/>
              </w:rPr>
            </w:pPr>
            <w:r>
              <w:rPr>
                <w:rFonts w:ascii="Arial" w:cs="Arial" w:eastAsia="Arial" w:hAnsi="Arial"/>
                <w:sz w:val="20"/>
                <w:szCs w:val="20"/>
                <w:color w:val="auto"/>
              </w:rPr>
              <w:t>18,217,665.62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160" w:type="dxa"/>
            <w:vAlign w:val="bottom"/>
            <w:tcBorders>
              <w:right w:val="single" w:sz="8" w:color="00000A"/>
            </w:tcBorders>
          </w:tcPr>
          <w:p>
            <w:pPr>
              <w:spacing w:after="0"/>
              <w:rPr>
                <w:sz w:val="22"/>
                <w:szCs w:val="22"/>
                <w:color w:val="auto"/>
              </w:rPr>
            </w:pPr>
          </w:p>
        </w:tc>
        <w:tc>
          <w:tcPr>
            <w:tcW w:w="4080" w:type="dxa"/>
            <w:vAlign w:val="bottom"/>
            <w:tcBorders>
              <w:top w:val="single" w:sz="8" w:color="00000A"/>
            </w:tcBorders>
          </w:tcPr>
          <w:p>
            <w:pPr>
              <w:ind w:left="20"/>
              <w:spacing w:after="0"/>
              <w:rPr>
                <w:sz w:val="20"/>
                <w:szCs w:val="20"/>
                <w:color w:val="auto"/>
              </w:rPr>
            </w:pPr>
            <w:r>
              <w:rPr>
                <w:rFonts w:ascii="Arial" w:cs="Arial" w:eastAsia="Arial" w:hAnsi="Arial"/>
                <w:sz w:val="20"/>
                <w:szCs w:val="20"/>
                <w:color w:val="auto"/>
              </w:rPr>
              <w:t>Associated Bank, National Association</w:t>
            </w:r>
          </w:p>
        </w:tc>
        <w:tc>
          <w:tcPr>
            <w:tcW w:w="2720" w:type="dxa"/>
            <w:vAlign w:val="bottom"/>
            <w:tcBorders>
              <w:top w:val="single" w:sz="8" w:color="00000A"/>
              <w:right w:val="single" w:sz="8" w:color="00000A"/>
            </w:tcBorders>
          </w:tcPr>
          <w:p>
            <w:pPr>
              <w:spacing w:after="0"/>
              <w:rPr>
                <w:sz w:val="22"/>
                <w:szCs w:val="22"/>
                <w:color w:val="auto"/>
              </w:rPr>
            </w:pPr>
          </w:p>
        </w:tc>
        <w:tc>
          <w:tcPr>
            <w:tcW w:w="620" w:type="dxa"/>
            <w:vAlign w:val="bottom"/>
            <w:tcBorders>
              <w:top w:val="single" w:sz="8" w:color="00000A"/>
            </w:tcBorders>
          </w:tcPr>
          <w:p>
            <w:pPr>
              <w:jc w:val="right"/>
              <w:ind w:right="452"/>
              <w:spacing w:after="0"/>
              <w:rPr>
                <w:sz w:val="20"/>
                <w:szCs w:val="20"/>
                <w:color w:val="auto"/>
              </w:rPr>
            </w:pPr>
            <w:r>
              <w:rPr>
                <w:rFonts w:ascii="Arial" w:cs="Arial" w:eastAsia="Arial" w:hAnsi="Arial"/>
                <w:sz w:val="15"/>
                <w:szCs w:val="15"/>
                <w:color w:val="auto"/>
                <w:w w:val="71"/>
              </w:rPr>
              <w:t>$</w:t>
            </w:r>
          </w:p>
        </w:tc>
        <w:tc>
          <w:tcPr>
            <w:tcW w:w="3720" w:type="dxa"/>
            <w:vAlign w:val="bottom"/>
            <w:tcBorders>
              <w:top w:val="single" w:sz="8" w:color="00000A"/>
              <w:right w:val="single" w:sz="8" w:color="00000A"/>
            </w:tcBorders>
          </w:tcPr>
          <w:p>
            <w:pPr>
              <w:jc w:val="right"/>
              <w:ind w:right="21"/>
              <w:spacing w:after="0"/>
              <w:rPr>
                <w:sz w:val="20"/>
                <w:szCs w:val="20"/>
                <w:color w:val="auto"/>
              </w:rPr>
            </w:pPr>
            <w:r>
              <w:rPr>
                <w:rFonts w:ascii="Arial" w:cs="Arial" w:eastAsia="Arial" w:hAnsi="Arial"/>
                <w:sz w:val="20"/>
                <w:szCs w:val="20"/>
                <w:color w:val="auto"/>
              </w:rPr>
              <w:t>10,930,599.37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
        </w:trPr>
        <w:tc>
          <w:tcPr>
            <w:tcW w:w="160" w:type="dxa"/>
            <w:vAlign w:val="bottom"/>
            <w:tcBorders>
              <w:right w:val="single" w:sz="8" w:color="00000A"/>
            </w:tcBorders>
          </w:tcPr>
          <w:p>
            <w:pPr>
              <w:spacing w:after="0"/>
              <w:rPr>
                <w:sz w:val="2"/>
                <w:szCs w:val="2"/>
                <w:color w:val="auto"/>
              </w:rPr>
            </w:pPr>
          </w:p>
        </w:tc>
        <w:tc>
          <w:tcPr>
            <w:tcW w:w="40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3720" w:type="dxa"/>
            <w:vAlign w:val="bottom"/>
            <w:tcBorders>
              <w:bottom w:val="single" w:sz="8" w:color="00000A"/>
              <w:right w:val="single" w:sz="8" w:color="00000A"/>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82"/>
        </w:trPr>
        <w:tc>
          <w:tcPr>
            <w:tcW w:w="160" w:type="dxa"/>
            <w:vAlign w:val="bottom"/>
            <w:tcBorders>
              <w:right w:val="single" w:sz="8" w:color="00000A"/>
            </w:tcBorders>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4"/>
                <w:szCs w:val="24"/>
                <w:color w:val="auto"/>
              </w:rPr>
            </w:pPr>
          </w:p>
        </w:tc>
        <w:tc>
          <w:tcPr>
            <w:tcW w:w="2720" w:type="dxa"/>
            <w:vAlign w:val="bottom"/>
            <w:tcBorders>
              <w:bottom w:val="single" w:sz="8" w:color="CCEEFF"/>
              <w:right w:val="single" w:sz="8" w:color="00000A"/>
            </w:tcBorders>
            <w:shd w:val="clear" w:color="auto" w:fill="CCEEFF"/>
          </w:tcPr>
          <w:p>
            <w:pPr>
              <w:ind w:left="2200"/>
              <w:spacing w:after="0"/>
              <w:rPr>
                <w:sz w:val="20"/>
                <w:szCs w:val="20"/>
                <w:color w:val="auto"/>
              </w:rPr>
            </w:pPr>
            <w:r>
              <w:rPr>
                <w:rFonts w:ascii="Arial" w:cs="Arial" w:eastAsia="Arial" w:hAnsi="Arial"/>
                <w:sz w:val="20"/>
                <w:szCs w:val="20"/>
                <w:b w:val="1"/>
                <w:bCs w:val="1"/>
                <w:color w:val="auto"/>
              </w:rPr>
              <w:t>Total</w:t>
            </w:r>
          </w:p>
        </w:tc>
        <w:tc>
          <w:tcPr>
            <w:tcW w:w="62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5"/>
                <w:szCs w:val="15"/>
                <w:b w:val="1"/>
                <w:bCs w:val="1"/>
                <w:color w:val="auto"/>
                <w:w w:val="71"/>
              </w:rPr>
              <w:t>$</w:t>
            </w:r>
          </w:p>
        </w:tc>
        <w:tc>
          <w:tcPr>
            <w:tcW w:w="3720" w:type="dxa"/>
            <w:vAlign w:val="bottom"/>
            <w:tcBorders>
              <w:bottom w:val="single" w:sz="8" w:color="CCEEFF"/>
              <w:right w:val="single" w:sz="8" w:color="00000A"/>
            </w:tcBorders>
            <w:shd w:val="clear" w:color="auto" w:fill="CCEEFF"/>
          </w:tcPr>
          <w:p>
            <w:pPr>
              <w:jc w:val="right"/>
              <w:ind w:right="21"/>
              <w:spacing w:after="0"/>
              <w:rPr>
                <w:sz w:val="20"/>
                <w:szCs w:val="20"/>
                <w:color w:val="auto"/>
              </w:rPr>
            </w:pPr>
            <w:r>
              <w:rPr>
                <w:rFonts w:ascii="Arial" w:cs="Arial" w:eastAsia="Arial" w:hAnsi="Arial"/>
                <w:sz w:val="20"/>
                <w:szCs w:val="20"/>
                <w:b w:val="1"/>
                <w:bCs w:val="1"/>
                <w:color w:val="auto"/>
              </w:rPr>
              <w:t>721,875,000.00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8"/>
        </w:trPr>
        <w:tc>
          <w:tcPr>
            <w:tcW w:w="160" w:type="dxa"/>
            <w:vAlign w:val="bottom"/>
          </w:tcPr>
          <w:p>
            <w:pPr>
              <w:spacing w:after="0"/>
              <w:rPr>
                <w:sz w:val="24"/>
                <w:szCs w:val="24"/>
                <w:color w:val="auto"/>
              </w:rPr>
            </w:pPr>
          </w:p>
        </w:tc>
        <w:tc>
          <w:tcPr>
            <w:tcW w:w="4080" w:type="dxa"/>
            <w:vAlign w:val="bottom"/>
            <w:tcBorders>
              <w:top w:val="single" w:sz="8" w:color="00000A"/>
              <w:bottom w:val="single" w:sz="8" w:color="00000A"/>
            </w:tcBorders>
          </w:tcPr>
          <w:p>
            <w:pPr>
              <w:spacing w:after="0"/>
              <w:rPr>
                <w:sz w:val="24"/>
                <w:szCs w:val="24"/>
                <w:color w:val="auto"/>
              </w:rPr>
            </w:pPr>
          </w:p>
        </w:tc>
        <w:tc>
          <w:tcPr>
            <w:tcW w:w="2720" w:type="dxa"/>
            <w:vAlign w:val="bottom"/>
            <w:tcBorders>
              <w:top w:val="single" w:sz="8" w:color="00000A"/>
              <w:bottom w:val="single" w:sz="8" w:color="00000A"/>
            </w:tcBorders>
          </w:tcPr>
          <w:p>
            <w:pPr>
              <w:spacing w:after="0"/>
              <w:rPr>
                <w:sz w:val="24"/>
                <w:szCs w:val="24"/>
                <w:color w:val="auto"/>
              </w:rPr>
            </w:pPr>
          </w:p>
        </w:tc>
        <w:tc>
          <w:tcPr>
            <w:tcW w:w="620" w:type="dxa"/>
            <w:vAlign w:val="bottom"/>
            <w:tcBorders>
              <w:top w:val="single" w:sz="8" w:color="00000A"/>
              <w:bottom w:val="single" w:sz="8" w:color="00000A"/>
            </w:tcBorders>
          </w:tcPr>
          <w:p>
            <w:pPr>
              <w:spacing w:after="0"/>
              <w:rPr>
                <w:sz w:val="24"/>
                <w:szCs w:val="24"/>
                <w:color w:val="auto"/>
              </w:rPr>
            </w:pPr>
          </w:p>
        </w:tc>
        <w:tc>
          <w:tcPr>
            <w:tcW w:w="3720" w:type="dxa"/>
            <w:vAlign w:val="bottom"/>
            <w:tcBorders>
              <w:top w:val="single" w:sz="8" w:color="00000A"/>
              <w:bottom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160" w:type="dxa"/>
            <w:vAlign w:val="bottom"/>
            <w:tcBorders>
              <w:right w:val="single" w:sz="8" w:color="00000A"/>
            </w:tcBorders>
          </w:tcPr>
          <w:p>
            <w:pPr>
              <w:spacing w:after="0"/>
              <w:rPr>
                <w:sz w:val="22"/>
                <w:szCs w:val="22"/>
                <w:color w:val="auto"/>
              </w:rPr>
            </w:pPr>
          </w:p>
        </w:tc>
        <w:tc>
          <w:tcPr>
            <w:tcW w:w="4080" w:type="dxa"/>
            <w:vAlign w:val="bottom"/>
            <w:shd w:val="clear" w:color="auto" w:fill="CCCCCC"/>
          </w:tcPr>
          <w:p>
            <w:pPr>
              <w:ind w:left="3060"/>
              <w:spacing w:after="0"/>
              <w:rPr>
                <w:sz w:val="20"/>
                <w:szCs w:val="20"/>
                <w:color w:val="auto"/>
              </w:rPr>
            </w:pPr>
            <w:r>
              <w:rPr>
                <w:rFonts w:ascii="Arial" w:cs="Arial" w:eastAsia="Arial" w:hAnsi="Arial"/>
                <w:sz w:val="20"/>
                <w:szCs w:val="20"/>
                <w:b w:val="1"/>
                <w:bCs w:val="1"/>
                <w:color w:val="auto"/>
              </w:rPr>
              <w:t>Lender</w:t>
            </w:r>
          </w:p>
        </w:tc>
        <w:tc>
          <w:tcPr>
            <w:tcW w:w="2720" w:type="dxa"/>
            <w:vAlign w:val="bottom"/>
            <w:tcBorders>
              <w:right w:val="single" w:sz="8" w:color="00000A"/>
            </w:tcBorders>
            <w:shd w:val="clear" w:color="auto" w:fill="CCCCCC"/>
          </w:tcPr>
          <w:p>
            <w:pPr>
              <w:spacing w:after="0"/>
              <w:rPr>
                <w:sz w:val="22"/>
                <w:szCs w:val="22"/>
                <w:color w:val="auto"/>
              </w:rPr>
            </w:pPr>
          </w:p>
        </w:tc>
        <w:tc>
          <w:tcPr>
            <w:tcW w:w="620" w:type="dxa"/>
            <w:vAlign w:val="bottom"/>
            <w:shd w:val="clear" w:color="auto" w:fill="CCCCCC"/>
          </w:tcPr>
          <w:p>
            <w:pPr>
              <w:spacing w:after="0"/>
              <w:rPr>
                <w:sz w:val="22"/>
                <w:szCs w:val="22"/>
                <w:color w:val="auto"/>
              </w:rPr>
            </w:pPr>
          </w:p>
        </w:tc>
        <w:tc>
          <w:tcPr>
            <w:tcW w:w="3760" w:type="dxa"/>
            <w:vAlign w:val="bottom"/>
            <w:tcBorders>
              <w:right w:val="single" w:sz="8" w:color="00000A"/>
            </w:tcBorders>
            <w:gridSpan w:val="2"/>
            <w:shd w:val="clear" w:color="auto" w:fill="CCCCCC"/>
          </w:tcPr>
          <w:p>
            <w:pPr>
              <w:jc w:val="center"/>
              <w:ind w:right="700"/>
              <w:spacing w:after="0"/>
              <w:rPr>
                <w:sz w:val="20"/>
                <w:szCs w:val="20"/>
                <w:color w:val="auto"/>
              </w:rPr>
            </w:pPr>
            <w:r>
              <w:rPr>
                <w:rFonts w:ascii="Arial" w:cs="Arial" w:eastAsia="Arial" w:hAnsi="Arial"/>
                <w:sz w:val="20"/>
                <w:szCs w:val="20"/>
                <w:b w:val="1"/>
                <w:bCs w:val="1"/>
                <w:color w:val="auto"/>
                <w:w w:val="90"/>
              </w:rPr>
              <w:t>Revolving Commitment</w:t>
            </w:r>
          </w:p>
        </w:tc>
        <w:tc>
          <w:tcPr>
            <w:tcW w:w="80" w:type="dxa"/>
            <w:vAlign w:val="bottom"/>
          </w:tcPr>
          <w:p>
            <w:pPr>
              <w:spacing w:after="0"/>
              <w:rPr>
                <w:sz w:val="22"/>
                <w:szCs w:val="22"/>
                <w:color w:val="auto"/>
              </w:rPr>
            </w:pPr>
          </w:p>
        </w:tc>
      </w:tr>
      <w:tr>
        <w:trPr>
          <w:trHeight w:val="253"/>
        </w:trPr>
        <w:tc>
          <w:tcPr>
            <w:tcW w:w="160" w:type="dxa"/>
            <w:vAlign w:val="bottom"/>
            <w:tcBorders>
              <w:right w:val="single" w:sz="8" w:color="00000A"/>
            </w:tcBorders>
          </w:tcPr>
          <w:p>
            <w:pPr>
              <w:spacing w:after="0"/>
              <w:rPr>
                <w:sz w:val="21"/>
                <w:szCs w:val="21"/>
                <w:color w:val="auto"/>
              </w:rPr>
            </w:pPr>
          </w:p>
        </w:tc>
        <w:tc>
          <w:tcPr>
            <w:tcW w:w="4080" w:type="dxa"/>
            <w:vAlign w:val="bottom"/>
            <w:tcBorders>
              <w:bottom w:val="single" w:sz="8" w:color="00000A"/>
            </w:tcBorders>
            <w:shd w:val="clear" w:color="auto" w:fill="CCCCCC"/>
          </w:tcPr>
          <w:p>
            <w:pPr>
              <w:spacing w:after="0"/>
              <w:rPr>
                <w:sz w:val="21"/>
                <w:szCs w:val="21"/>
                <w:color w:val="auto"/>
              </w:rPr>
            </w:pPr>
          </w:p>
        </w:tc>
        <w:tc>
          <w:tcPr>
            <w:tcW w:w="2720" w:type="dxa"/>
            <w:vAlign w:val="bottom"/>
            <w:tcBorders>
              <w:bottom w:val="single" w:sz="8" w:color="00000A"/>
              <w:right w:val="single" w:sz="8" w:color="00000A"/>
            </w:tcBorders>
            <w:shd w:val="clear" w:color="auto" w:fill="CCCCCC"/>
          </w:tcPr>
          <w:p>
            <w:pPr>
              <w:spacing w:after="0"/>
              <w:rPr>
                <w:sz w:val="21"/>
                <w:szCs w:val="21"/>
                <w:color w:val="auto"/>
              </w:rPr>
            </w:pPr>
          </w:p>
        </w:tc>
        <w:tc>
          <w:tcPr>
            <w:tcW w:w="620" w:type="dxa"/>
            <w:vAlign w:val="bottom"/>
            <w:tcBorders>
              <w:bottom w:val="single" w:sz="8" w:color="00000A"/>
            </w:tcBorders>
            <w:shd w:val="clear" w:color="auto" w:fill="CCCCCC"/>
          </w:tcPr>
          <w:p>
            <w:pPr>
              <w:spacing w:after="0"/>
              <w:rPr>
                <w:sz w:val="21"/>
                <w:szCs w:val="21"/>
                <w:color w:val="auto"/>
              </w:rPr>
            </w:pPr>
          </w:p>
        </w:tc>
        <w:tc>
          <w:tcPr>
            <w:tcW w:w="3720" w:type="dxa"/>
            <w:vAlign w:val="bottom"/>
            <w:tcBorders>
              <w:bottom w:val="single" w:sz="8" w:color="00000A"/>
              <w:right w:val="single" w:sz="8" w:color="CCCCCC"/>
            </w:tcBorders>
            <w:shd w:val="clear" w:color="auto" w:fill="CCCCCC"/>
          </w:tcPr>
          <w:p>
            <w:pPr>
              <w:spacing w:after="0"/>
              <w:rPr>
                <w:sz w:val="21"/>
                <w:szCs w:val="21"/>
                <w:color w:val="auto"/>
              </w:rPr>
            </w:pPr>
          </w:p>
        </w:tc>
        <w:tc>
          <w:tcPr>
            <w:tcW w:w="40" w:type="dxa"/>
            <w:vAlign w:val="bottom"/>
            <w:tcBorders>
              <w:bottom w:val="single" w:sz="8" w:color="00000A"/>
              <w:right w:val="single" w:sz="8" w:color="00000A"/>
            </w:tcBorders>
            <w:shd w:val="clear" w:color="auto" w:fill="CCCCCC"/>
          </w:tcPr>
          <w:p>
            <w:pPr>
              <w:spacing w:after="0"/>
              <w:rPr>
                <w:sz w:val="21"/>
                <w:szCs w:val="21"/>
                <w:color w:val="auto"/>
              </w:rPr>
            </w:pPr>
          </w:p>
        </w:tc>
        <w:tc>
          <w:tcPr>
            <w:tcW w:w="80" w:type="dxa"/>
            <w:vAlign w:val="bottom"/>
          </w:tcPr>
          <w:p>
            <w:pPr>
              <w:spacing w:after="0"/>
              <w:rPr>
                <w:sz w:val="21"/>
                <w:szCs w:val="21"/>
                <w:color w:val="auto"/>
              </w:rPr>
            </w:pPr>
          </w:p>
        </w:tc>
      </w:tr>
      <w:tr>
        <w:trPr>
          <w:trHeight w:val="282"/>
        </w:trPr>
        <w:tc>
          <w:tcPr>
            <w:tcW w:w="160" w:type="dxa"/>
            <w:vAlign w:val="bottom"/>
            <w:tcBorders>
              <w:right w:val="single" w:sz="8" w:color="00000A"/>
            </w:tcBorders>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Bank of America, N.A.</w:t>
            </w:r>
          </w:p>
        </w:tc>
        <w:tc>
          <w:tcPr>
            <w:tcW w:w="2720" w:type="dxa"/>
            <w:vAlign w:val="bottom"/>
            <w:tcBorders>
              <w:bottom w:val="single" w:sz="8" w:color="CCEEFF"/>
              <w:right w:val="single" w:sz="8" w:color="00000A"/>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20"/>
                <w:szCs w:val="20"/>
                <w:color w:val="auto"/>
                <w:w w:val="71"/>
              </w:rPr>
              <w:t>$</w:t>
            </w:r>
          </w:p>
        </w:tc>
        <w:tc>
          <w:tcPr>
            <w:tcW w:w="3720" w:type="dxa"/>
            <w:vAlign w:val="bottom"/>
            <w:tcBorders>
              <w:bottom w:val="single" w:sz="8" w:color="CCEEFF"/>
              <w:right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231,072,555.20</w:t>
            </w:r>
          </w:p>
        </w:tc>
        <w:tc>
          <w:tcPr>
            <w:tcW w:w="40" w:type="dxa"/>
            <w:vAlign w:val="bottom"/>
            <w:tcBorders>
              <w:bottom w:val="single" w:sz="8" w:color="CCEEFF"/>
              <w:right w:val="single" w:sz="8" w:color="00000A"/>
            </w:tcBorders>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160" w:type="dxa"/>
            <w:vAlign w:val="bottom"/>
            <w:tcBorders>
              <w:right w:val="single" w:sz="8" w:color="00000A"/>
            </w:tcBorders>
          </w:tcPr>
          <w:p>
            <w:pPr>
              <w:spacing w:after="0"/>
              <w:rPr>
                <w:sz w:val="22"/>
                <w:szCs w:val="22"/>
                <w:color w:val="auto"/>
              </w:rPr>
            </w:pPr>
          </w:p>
        </w:tc>
        <w:tc>
          <w:tcPr>
            <w:tcW w:w="4080" w:type="dxa"/>
            <w:vAlign w:val="bottom"/>
            <w:tcBorders>
              <w:top w:val="single" w:sz="8" w:color="00000A"/>
            </w:tcBorders>
          </w:tcPr>
          <w:p>
            <w:pPr>
              <w:spacing w:after="0"/>
              <w:rPr>
                <w:sz w:val="20"/>
                <w:szCs w:val="20"/>
                <w:color w:val="auto"/>
              </w:rPr>
            </w:pPr>
            <w:r>
              <w:rPr>
                <w:rFonts w:ascii="Arial" w:cs="Arial" w:eastAsia="Arial" w:hAnsi="Arial"/>
                <w:sz w:val="20"/>
                <w:szCs w:val="20"/>
                <w:color w:val="auto"/>
              </w:rPr>
              <w:t>Citibank, N.A.</w:t>
            </w:r>
          </w:p>
        </w:tc>
        <w:tc>
          <w:tcPr>
            <w:tcW w:w="2720" w:type="dxa"/>
            <w:vAlign w:val="bottom"/>
            <w:tcBorders>
              <w:top w:val="single" w:sz="8" w:color="00000A"/>
              <w:right w:val="single" w:sz="8" w:color="00000A"/>
            </w:tcBorders>
          </w:tcPr>
          <w:p>
            <w:pPr>
              <w:spacing w:after="0"/>
              <w:rPr>
                <w:sz w:val="22"/>
                <w:szCs w:val="22"/>
                <w:color w:val="auto"/>
              </w:rPr>
            </w:pPr>
          </w:p>
        </w:tc>
        <w:tc>
          <w:tcPr>
            <w:tcW w:w="620" w:type="dxa"/>
            <w:vAlign w:val="bottom"/>
            <w:tcBorders>
              <w:top w:val="single" w:sz="8" w:color="00000A"/>
            </w:tcBorders>
          </w:tcPr>
          <w:p>
            <w:pPr>
              <w:jc w:val="right"/>
              <w:ind w:right="432"/>
              <w:spacing w:after="0"/>
              <w:rPr>
                <w:sz w:val="20"/>
                <w:szCs w:val="20"/>
                <w:color w:val="auto"/>
              </w:rPr>
            </w:pPr>
            <w:r>
              <w:rPr>
                <w:rFonts w:ascii="Arial" w:cs="Arial" w:eastAsia="Arial" w:hAnsi="Arial"/>
                <w:sz w:val="20"/>
                <w:szCs w:val="20"/>
                <w:color w:val="auto"/>
                <w:w w:val="71"/>
              </w:rPr>
              <w:t>$</w:t>
            </w:r>
          </w:p>
        </w:tc>
        <w:tc>
          <w:tcPr>
            <w:tcW w:w="3720" w:type="dxa"/>
            <w:vAlign w:val="bottom"/>
            <w:tcBorders>
              <w:top w:val="single" w:sz="8" w:color="00000A"/>
            </w:tcBorders>
          </w:tcPr>
          <w:p>
            <w:pPr>
              <w:jc w:val="right"/>
              <w:ind w:right="1"/>
              <w:spacing w:after="0"/>
              <w:rPr>
                <w:sz w:val="20"/>
                <w:szCs w:val="20"/>
                <w:color w:val="auto"/>
              </w:rPr>
            </w:pPr>
            <w:r>
              <w:rPr>
                <w:rFonts w:ascii="Arial" w:cs="Arial" w:eastAsia="Arial" w:hAnsi="Arial"/>
                <w:sz w:val="20"/>
                <w:szCs w:val="20"/>
                <w:color w:val="auto"/>
              </w:rPr>
              <w:t>100,946,372.24</w:t>
            </w:r>
          </w:p>
        </w:tc>
        <w:tc>
          <w:tcPr>
            <w:tcW w:w="40" w:type="dxa"/>
            <w:vAlign w:val="bottom"/>
            <w:tcBorders>
              <w:top w:val="single" w:sz="8" w:color="00000A"/>
              <w:right w:val="single" w:sz="8" w:color="00000A"/>
            </w:tcBorders>
          </w:tcPr>
          <w:p>
            <w:pPr>
              <w:spacing w:after="0"/>
              <w:rPr>
                <w:sz w:val="22"/>
                <w:szCs w:val="22"/>
                <w:color w:val="auto"/>
              </w:rPr>
            </w:pPr>
          </w:p>
        </w:tc>
        <w:tc>
          <w:tcPr>
            <w:tcW w:w="80" w:type="dxa"/>
            <w:vAlign w:val="bottom"/>
          </w:tcPr>
          <w:p>
            <w:pPr>
              <w:spacing w:after="0"/>
              <w:rPr>
                <w:sz w:val="22"/>
                <w:szCs w:val="22"/>
                <w:color w:val="auto"/>
              </w:rPr>
            </w:pPr>
          </w:p>
        </w:tc>
      </w:tr>
      <w:tr>
        <w:trPr>
          <w:trHeight w:val="23"/>
        </w:trPr>
        <w:tc>
          <w:tcPr>
            <w:tcW w:w="160" w:type="dxa"/>
            <w:vAlign w:val="bottom"/>
            <w:tcBorders>
              <w:right w:val="single" w:sz="8" w:color="00000A"/>
            </w:tcBorders>
          </w:tcPr>
          <w:p>
            <w:pPr>
              <w:spacing w:after="0"/>
              <w:rPr>
                <w:sz w:val="2"/>
                <w:szCs w:val="2"/>
                <w:color w:val="auto"/>
              </w:rPr>
            </w:pPr>
          </w:p>
        </w:tc>
        <w:tc>
          <w:tcPr>
            <w:tcW w:w="40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37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80" w:type="dxa"/>
            <w:vAlign w:val="bottom"/>
          </w:tcPr>
          <w:p>
            <w:pPr>
              <w:spacing w:after="0"/>
              <w:rPr>
                <w:sz w:val="2"/>
                <w:szCs w:val="2"/>
                <w:color w:val="auto"/>
              </w:rPr>
            </w:pPr>
          </w:p>
        </w:tc>
      </w:tr>
      <w:tr>
        <w:trPr>
          <w:trHeight w:val="282"/>
        </w:trPr>
        <w:tc>
          <w:tcPr>
            <w:tcW w:w="160" w:type="dxa"/>
            <w:vAlign w:val="bottom"/>
            <w:tcBorders>
              <w:right w:val="single" w:sz="8" w:color="00000A"/>
            </w:tcBorders>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DNB (UK) Limited</w:t>
            </w:r>
          </w:p>
        </w:tc>
        <w:tc>
          <w:tcPr>
            <w:tcW w:w="2720" w:type="dxa"/>
            <w:vAlign w:val="bottom"/>
            <w:tcBorders>
              <w:bottom w:val="single" w:sz="8" w:color="CCEEFF"/>
              <w:right w:val="single" w:sz="8" w:color="00000A"/>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20"/>
                <w:szCs w:val="20"/>
                <w:color w:val="auto"/>
                <w:w w:val="71"/>
              </w:rPr>
              <w:t>$</w:t>
            </w:r>
          </w:p>
        </w:tc>
        <w:tc>
          <w:tcPr>
            <w:tcW w:w="3720" w:type="dxa"/>
            <w:vAlign w:val="bottom"/>
            <w:tcBorders>
              <w:bottom w:val="single" w:sz="8" w:color="CCEEFF"/>
              <w:right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100,946,372.24</w:t>
            </w:r>
          </w:p>
        </w:tc>
        <w:tc>
          <w:tcPr>
            <w:tcW w:w="40" w:type="dxa"/>
            <w:vAlign w:val="bottom"/>
            <w:tcBorders>
              <w:bottom w:val="single" w:sz="8" w:color="CCEEFF"/>
              <w:right w:val="single" w:sz="8" w:color="00000A"/>
            </w:tcBorders>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160" w:type="dxa"/>
            <w:vAlign w:val="bottom"/>
            <w:tcBorders>
              <w:right w:val="single" w:sz="8" w:color="00000A"/>
            </w:tcBorders>
          </w:tcPr>
          <w:p>
            <w:pPr>
              <w:spacing w:after="0"/>
              <w:rPr>
                <w:sz w:val="22"/>
                <w:szCs w:val="22"/>
                <w:color w:val="auto"/>
              </w:rPr>
            </w:pPr>
          </w:p>
        </w:tc>
        <w:tc>
          <w:tcPr>
            <w:tcW w:w="4080" w:type="dxa"/>
            <w:vAlign w:val="bottom"/>
            <w:tcBorders>
              <w:top w:val="single" w:sz="8" w:color="00000A"/>
            </w:tcBorders>
          </w:tcPr>
          <w:p>
            <w:pPr>
              <w:spacing w:after="0"/>
              <w:rPr>
                <w:sz w:val="20"/>
                <w:szCs w:val="20"/>
                <w:color w:val="auto"/>
              </w:rPr>
            </w:pPr>
            <w:r>
              <w:rPr>
                <w:rFonts w:ascii="Arial" w:cs="Arial" w:eastAsia="Arial" w:hAnsi="Arial"/>
                <w:sz w:val="20"/>
                <w:szCs w:val="20"/>
                <w:color w:val="auto"/>
              </w:rPr>
              <w:t>JPMorgan Chase Bank, N.A.</w:t>
            </w:r>
          </w:p>
        </w:tc>
        <w:tc>
          <w:tcPr>
            <w:tcW w:w="2720" w:type="dxa"/>
            <w:vAlign w:val="bottom"/>
            <w:tcBorders>
              <w:top w:val="single" w:sz="8" w:color="00000A"/>
              <w:right w:val="single" w:sz="8" w:color="00000A"/>
            </w:tcBorders>
          </w:tcPr>
          <w:p>
            <w:pPr>
              <w:spacing w:after="0"/>
              <w:rPr>
                <w:sz w:val="22"/>
                <w:szCs w:val="22"/>
                <w:color w:val="auto"/>
              </w:rPr>
            </w:pPr>
          </w:p>
        </w:tc>
        <w:tc>
          <w:tcPr>
            <w:tcW w:w="620" w:type="dxa"/>
            <w:vAlign w:val="bottom"/>
            <w:tcBorders>
              <w:top w:val="single" w:sz="8" w:color="00000A"/>
            </w:tcBorders>
          </w:tcPr>
          <w:p>
            <w:pPr>
              <w:jc w:val="right"/>
              <w:ind w:right="432"/>
              <w:spacing w:after="0"/>
              <w:rPr>
                <w:sz w:val="20"/>
                <w:szCs w:val="20"/>
                <w:color w:val="auto"/>
              </w:rPr>
            </w:pPr>
            <w:r>
              <w:rPr>
                <w:rFonts w:ascii="Arial" w:cs="Arial" w:eastAsia="Arial" w:hAnsi="Arial"/>
                <w:sz w:val="20"/>
                <w:szCs w:val="20"/>
                <w:color w:val="auto"/>
                <w:w w:val="71"/>
              </w:rPr>
              <w:t>$</w:t>
            </w:r>
          </w:p>
        </w:tc>
        <w:tc>
          <w:tcPr>
            <w:tcW w:w="3720" w:type="dxa"/>
            <w:vAlign w:val="bottom"/>
            <w:tcBorders>
              <w:top w:val="single" w:sz="8" w:color="00000A"/>
            </w:tcBorders>
          </w:tcPr>
          <w:p>
            <w:pPr>
              <w:jc w:val="right"/>
              <w:ind w:right="1"/>
              <w:spacing w:after="0"/>
              <w:rPr>
                <w:sz w:val="20"/>
                <w:szCs w:val="20"/>
                <w:color w:val="auto"/>
              </w:rPr>
            </w:pPr>
            <w:r>
              <w:rPr>
                <w:rFonts w:ascii="Arial" w:cs="Arial" w:eastAsia="Arial" w:hAnsi="Arial"/>
                <w:sz w:val="20"/>
                <w:szCs w:val="20"/>
                <w:color w:val="auto"/>
              </w:rPr>
              <w:t>100,946,372.24</w:t>
            </w:r>
          </w:p>
        </w:tc>
        <w:tc>
          <w:tcPr>
            <w:tcW w:w="40" w:type="dxa"/>
            <w:vAlign w:val="bottom"/>
            <w:tcBorders>
              <w:top w:val="single" w:sz="8" w:color="00000A"/>
              <w:right w:val="single" w:sz="8" w:color="00000A"/>
            </w:tcBorders>
          </w:tcPr>
          <w:p>
            <w:pPr>
              <w:spacing w:after="0"/>
              <w:rPr>
                <w:sz w:val="22"/>
                <w:szCs w:val="22"/>
                <w:color w:val="auto"/>
              </w:rPr>
            </w:pPr>
          </w:p>
        </w:tc>
        <w:tc>
          <w:tcPr>
            <w:tcW w:w="80" w:type="dxa"/>
            <w:vAlign w:val="bottom"/>
          </w:tcPr>
          <w:p>
            <w:pPr>
              <w:spacing w:after="0"/>
              <w:rPr>
                <w:sz w:val="22"/>
                <w:szCs w:val="22"/>
                <w:color w:val="auto"/>
              </w:rPr>
            </w:pPr>
          </w:p>
        </w:tc>
      </w:tr>
      <w:tr>
        <w:trPr>
          <w:trHeight w:val="23"/>
        </w:trPr>
        <w:tc>
          <w:tcPr>
            <w:tcW w:w="160" w:type="dxa"/>
            <w:vAlign w:val="bottom"/>
            <w:tcBorders>
              <w:right w:val="single" w:sz="8" w:color="00000A"/>
            </w:tcBorders>
          </w:tcPr>
          <w:p>
            <w:pPr>
              <w:spacing w:after="0"/>
              <w:rPr>
                <w:sz w:val="2"/>
                <w:szCs w:val="2"/>
                <w:color w:val="auto"/>
              </w:rPr>
            </w:pPr>
          </w:p>
        </w:tc>
        <w:tc>
          <w:tcPr>
            <w:tcW w:w="40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37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80" w:type="dxa"/>
            <w:vAlign w:val="bottom"/>
          </w:tcPr>
          <w:p>
            <w:pPr>
              <w:spacing w:after="0"/>
              <w:rPr>
                <w:sz w:val="2"/>
                <w:szCs w:val="2"/>
                <w:color w:val="auto"/>
              </w:rPr>
            </w:pPr>
          </w:p>
        </w:tc>
      </w:tr>
      <w:tr>
        <w:trPr>
          <w:trHeight w:val="282"/>
        </w:trPr>
        <w:tc>
          <w:tcPr>
            <w:tcW w:w="160" w:type="dxa"/>
            <w:vAlign w:val="bottom"/>
            <w:tcBorders>
              <w:right w:val="single" w:sz="8" w:color="00000A"/>
            </w:tcBorders>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Royal Bank of Canada</w:t>
            </w:r>
          </w:p>
        </w:tc>
        <w:tc>
          <w:tcPr>
            <w:tcW w:w="2720" w:type="dxa"/>
            <w:vAlign w:val="bottom"/>
            <w:tcBorders>
              <w:bottom w:val="single" w:sz="8" w:color="CCEEFF"/>
              <w:right w:val="single" w:sz="8" w:color="00000A"/>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20"/>
                <w:szCs w:val="20"/>
                <w:color w:val="auto"/>
                <w:w w:val="71"/>
              </w:rPr>
              <w:t>$</w:t>
            </w:r>
          </w:p>
        </w:tc>
        <w:tc>
          <w:tcPr>
            <w:tcW w:w="3720" w:type="dxa"/>
            <w:vAlign w:val="bottom"/>
            <w:tcBorders>
              <w:bottom w:val="single" w:sz="8" w:color="CCEEFF"/>
              <w:right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100,946,372.24</w:t>
            </w:r>
          </w:p>
        </w:tc>
        <w:tc>
          <w:tcPr>
            <w:tcW w:w="40" w:type="dxa"/>
            <w:vAlign w:val="bottom"/>
            <w:tcBorders>
              <w:bottom w:val="single" w:sz="8" w:color="CCEEFF"/>
              <w:right w:val="single" w:sz="8" w:color="00000A"/>
            </w:tcBorders>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160" w:type="dxa"/>
            <w:vAlign w:val="bottom"/>
            <w:tcBorders>
              <w:right w:val="single" w:sz="8" w:color="00000A"/>
            </w:tcBorders>
          </w:tcPr>
          <w:p>
            <w:pPr>
              <w:spacing w:after="0"/>
              <w:rPr>
                <w:sz w:val="22"/>
                <w:szCs w:val="22"/>
                <w:color w:val="auto"/>
              </w:rPr>
            </w:pPr>
          </w:p>
        </w:tc>
        <w:tc>
          <w:tcPr>
            <w:tcW w:w="4080" w:type="dxa"/>
            <w:vAlign w:val="bottom"/>
            <w:tcBorders>
              <w:top w:val="single" w:sz="8" w:color="00000A"/>
            </w:tcBorders>
          </w:tcPr>
          <w:p>
            <w:pPr>
              <w:spacing w:after="0"/>
              <w:rPr>
                <w:sz w:val="20"/>
                <w:szCs w:val="20"/>
                <w:color w:val="auto"/>
              </w:rPr>
            </w:pPr>
            <w:r>
              <w:rPr>
                <w:rFonts w:ascii="Arial" w:cs="Arial" w:eastAsia="Arial" w:hAnsi="Arial"/>
                <w:sz w:val="20"/>
                <w:szCs w:val="20"/>
                <w:color w:val="auto"/>
              </w:rPr>
              <w:t>Sumitomo Mitsui Banking Corporation</w:t>
            </w:r>
          </w:p>
        </w:tc>
        <w:tc>
          <w:tcPr>
            <w:tcW w:w="2720" w:type="dxa"/>
            <w:vAlign w:val="bottom"/>
            <w:tcBorders>
              <w:top w:val="single" w:sz="8" w:color="00000A"/>
              <w:right w:val="single" w:sz="8" w:color="00000A"/>
            </w:tcBorders>
          </w:tcPr>
          <w:p>
            <w:pPr>
              <w:spacing w:after="0"/>
              <w:rPr>
                <w:sz w:val="22"/>
                <w:szCs w:val="22"/>
                <w:color w:val="auto"/>
              </w:rPr>
            </w:pPr>
          </w:p>
        </w:tc>
        <w:tc>
          <w:tcPr>
            <w:tcW w:w="620" w:type="dxa"/>
            <w:vAlign w:val="bottom"/>
            <w:tcBorders>
              <w:top w:val="single" w:sz="8" w:color="00000A"/>
            </w:tcBorders>
          </w:tcPr>
          <w:p>
            <w:pPr>
              <w:jc w:val="right"/>
              <w:ind w:right="432"/>
              <w:spacing w:after="0"/>
              <w:rPr>
                <w:sz w:val="20"/>
                <w:szCs w:val="20"/>
                <w:color w:val="auto"/>
              </w:rPr>
            </w:pPr>
            <w:r>
              <w:rPr>
                <w:rFonts w:ascii="Arial" w:cs="Arial" w:eastAsia="Arial" w:hAnsi="Arial"/>
                <w:sz w:val="20"/>
                <w:szCs w:val="20"/>
                <w:color w:val="auto"/>
                <w:w w:val="71"/>
              </w:rPr>
              <w:t>$</w:t>
            </w:r>
          </w:p>
        </w:tc>
        <w:tc>
          <w:tcPr>
            <w:tcW w:w="3720" w:type="dxa"/>
            <w:vAlign w:val="bottom"/>
            <w:tcBorders>
              <w:top w:val="single" w:sz="8" w:color="00000A"/>
            </w:tcBorders>
          </w:tcPr>
          <w:p>
            <w:pPr>
              <w:jc w:val="right"/>
              <w:ind w:right="1"/>
              <w:spacing w:after="0"/>
              <w:rPr>
                <w:sz w:val="20"/>
                <w:szCs w:val="20"/>
                <w:color w:val="auto"/>
              </w:rPr>
            </w:pPr>
            <w:r>
              <w:rPr>
                <w:rFonts w:ascii="Arial" w:cs="Arial" w:eastAsia="Arial" w:hAnsi="Arial"/>
                <w:sz w:val="20"/>
                <w:szCs w:val="20"/>
                <w:color w:val="auto"/>
              </w:rPr>
              <w:t>100,946,372.24</w:t>
            </w:r>
          </w:p>
        </w:tc>
        <w:tc>
          <w:tcPr>
            <w:tcW w:w="40" w:type="dxa"/>
            <w:vAlign w:val="bottom"/>
            <w:tcBorders>
              <w:top w:val="single" w:sz="8" w:color="00000A"/>
              <w:right w:val="single" w:sz="8" w:color="00000A"/>
            </w:tcBorders>
          </w:tcPr>
          <w:p>
            <w:pPr>
              <w:spacing w:after="0"/>
              <w:rPr>
                <w:sz w:val="22"/>
                <w:szCs w:val="22"/>
                <w:color w:val="auto"/>
              </w:rPr>
            </w:pPr>
          </w:p>
        </w:tc>
        <w:tc>
          <w:tcPr>
            <w:tcW w:w="80" w:type="dxa"/>
            <w:vAlign w:val="bottom"/>
          </w:tcPr>
          <w:p>
            <w:pPr>
              <w:spacing w:after="0"/>
              <w:rPr>
                <w:sz w:val="22"/>
                <w:szCs w:val="22"/>
                <w:color w:val="auto"/>
              </w:rPr>
            </w:pPr>
          </w:p>
        </w:tc>
      </w:tr>
      <w:tr>
        <w:trPr>
          <w:trHeight w:val="23"/>
        </w:trPr>
        <w:tc>
          <w:tcPr>
            <w:tcW w:w="160" w:type="dxa"/>
            <w:vAlign w:val="bottom"/>
            <w:tcBorders>
              <w:right w:val="single" w:sz="8" w:color="00000A"/>
            </w:tcBorders>
          </w:tcPr>
          <w:p>
            <w:pPr>
              <w:spacing w:after="0"/>
              <w:rPr>
                <w:sz w:val="2"/>
                <w:szCs w:val="2"/>
                <w:color w:val="auto"/>
              </w:rPr>
            </w:pPr>
          </w:p>
        </w:tc>
        <w:tc>
          <w:tcPr>
            <w:tcW w:w="40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37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80" w:type="dxa"/>
            <w:vAlign w:val="bottom"/>
          </w:tcPr>
          <w:p>
            <w:pPr>
              <w:spacing w:after="0"/>
              <w:rPr>
                <w:sz w:val="2"/>
                <w:szCs w:val="2"/>
                <w:color w:val="auto"/>
              </w:rPr>
            </w:pPr>
          </w:p>
        </w:tc>
      </w:tr>
      <w:tr>
        <w:trPr>
          <w:trHeight w:val="282"/>
        </w:trPr>
        <w:tc>
          <w:tcPr>
            <w:tcW w:w="160" w:type="dxa"/>
            <w:vAlign w:val="bottom"/>
            <w:tcBorders>
              <w:right w:val="single" w:sz="8" w:color="00000A"/>
            </w:tcBorders>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The Bank of Tokyo-Mitsubishi UFJ, Ltd.</w:t>
            </w:r>
          </w:p>
        </w:tc>
        <w:tc>
          <w:tcPr>
            <w:tcW w:w="2720" w:type="dxa"/>
            <w:vAlign w:val="bottom"/>
            <w:tcBorders>
              <w:bottom w:val="single" w:sz="8" w:color="CCEEFF"/>
              <w:right w:val="single" w:sz="8" w:color="00000A"/>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20"/>
                <w:szCs w:val="20"/>
                <w:color w:val="auto"/>
                <w:w w:val="71"/>
              </w:rPr>
              <w:t>$</w:t>
            </w:r>
          </w:p>
        </w:tc>
        <w:tc>
          <w:tcPr>
            <w:tcW w:w="3720" w:type="dxa"/>
            <w:vAlign w:val="bottom"/>
            <w:tcBorders>
              <w:bottom w:val="single" w:sz="8" w:color="CCEEFF"/>
              <w:right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100,946,372.24</w:t>
            </w:r>
          </w:p>
        </w:tc>
        <w:tc>
          <w:tcPr>
            <w:tcW w:w="40" w:type="dxa"/>
            <w:vAlign w:val="bottom"/>
            <w:tcBorders>
              <w:bottom w:val="single" w:sz="8" w:color="CCEEFF"/>
              <w:right w:val="single" w:sz="8" w:color="00000A"/>
            </w:tcBorders>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160" w:type="dxa"/>
            <w:vAlign w:val="bottom"/>
            <w:tcBorders>
              <w:right w:val="single" w:sz="8" w:color="00000A"/>
            </w:tcBorders>
          </w:tcPr>
          <w:p>
            <w:pPr>
              <w:spacing w:after="0"/>
              <w:rPr>
                <w:sz w:val="22"/>
                <w:szCs w:val="22"/>
                <w:color w:val="auto"/>
              </w:rPr>
            </w:pPr>
          </w:p>
        </w:tc>
        <w:tc>
          <w:tcPr>
            <w:tcW w:w="4080" w:type="dxa"/>
            <w:vAlign w:val="bottom"/>
            <w:tcBorders>
              <w:top w:val="single" w:sz="8" w:color="00000A"/>
            </w:tcBorders>
          </w:tcPr>
          <w:p>
            <w:pPr>
              <w:spacing w:after="0"/>
              <w:rPr>
                <w:sz w:val="20"/>
                <w:szCs w:val="20"/>
                <w:color w:val="auto"/>
              </w:rPr>
            </w:pPr>
            <w:r>
              <w:rPr>
                <w:rFonts w:ascii="Arial" w:cs="Arial" w:eastAsia="Arial" w:hAnsi="Arial"/>
                <w:sz w:val="20"/>
                <w:szCs w:val="20"/>
                <w:color w:val="auto"/>
              </w:rPr>
              <w:t>Barclays Bank PLC</w:t>
            </w:r>
          </w:p>
        </w:tc>
        <w:tc>
          <w:tcPr>
            <w:tcW w:w="2720" w:type="dxa"/>
            <w:vAlign w:val="bottom"/>
            <w:tcBorders>
              <w:top w:val="single" w:sz="8" w:color="00000A"/>
              <w:right w:val="single" w:sz="8" w:color="00000A"/>
            </w:tcBorders>
          </w:tcPr>
          <w:p>
            <w:pPr>
              <w:spacing w:after="0"/>
              <w:rPr>
                <w:sz w:val="22"/>
                <w:szCs w:val="22"/>
                <w:color w:val="auto"/>
              </w:rPr>
            </w:pPr>
          </w:p>
        </w:tc>
        <w:tc>
          <w:tcPr>
            <w:tcW w:w="620" w:type="dxa"/>
            <w:vAlign w:val="bottom"/>
            <w:tcBorders>
              <w:top w:val="single" w:sz="8" w:color="00000A"/>
            </w:tcBorders>
          </w:tcPr>
          <w:p>
            <w:pPr>
              <w:jc w:val="right"/>
              <w:ind w:right="432"/>
              <w:spacing w:after="0"/>
              <w:rPr>
                <w:sz w:val="20"/>
                <w:szCs w:val="20"/>
                <w:color w:val="auto"/>
              </w:rPr>
            </w:pPr>
            <w:r>
              <w:rPr>
                <w:rFonts w:ascii="Arial" w:cs="Arial" w:eastAsia="Arial" w:hAnsi="Arial"/>
                <w:sz w:val="20"/>
                <w:szCs w:val="20"/>
                <w:color w:val="auto"/>
                <w:w w:val="71"/>
              </w:rPr>
              <w:t>$</w:t>
            </w:r>
          </w:p>
        </w:tc>
        <w:tc>
          <w:tcPr>
            <w:tcW w:w="3720" w:type="dxa"/>
            <w:vAlign w:val="bottom"/>
            <w:tcBorders>
              <w:top w:val="single" w:sz="8" w:color="00000A"/>
            </w:tcBorders>
          </w:tcPr>
          <w:p>
            <w:pPr>
              <w:jc w:val="right"/>
              <w:ind w:right="1"/>
              <w:spacing w:after="0"/>
              <w:rPr>
                <w:sz w:val="20"/>
                <w:szCs w:val="20"/>
                <w:color w:val="auto"/>
              </w:rPr>
            </w:pPr>
            <w:r>
              <w:rPr>
                <w:rFonts w:ascii="Arial" w:cs="Arial" w:eastAsia="Arial" w:hAnsi="Arial"/>
                <w:sz w:val="20"/>
                <w:szCs w:val="20"/>
                <w:color w:val="auto"/>
              </w:rPr>
              <w:t>72,555,205.05</w:t>
            </w:r>
          </w:p>
        </w:tc>
        <w:tc>
          <w:tcPr>
            <w:tcW w:w="40" w:type="dxa"/>
            <w:vAlign w:val="bottom"/>
            <w:tcBorders>
              <w:top w:val="single" w:sz="8" w:color="00000A"/>
              <w:right w:val="single" w:sz="8" w:color="00000A"/>
            </w:tcBorders>
          </w:tcPr>
          <w:p>
            <w:pPr>
              <w:spacing w:after="0"/>
              <w:rPr>
                <w:sz w:val="22"/>
                <w:szCs w:val="22"/>
                <w:color w:val="auto"/>
              </w:rPr>
            </w:pPr>
          </w:p>
        </w:tc>
        <w:tc>
          <w:tcPr>
            <w:tcW w:w="80" w:type="dxa"/>
            <w:vAlign w:val="bottom"/>
          </w:tcPr>
          <w:p>
            <w:pPr>
              <w:spacing w:after="0"/>
              <w:rPr>
                <w:sz w:val="22"/>
                <w:szCs w:val="22"/>
                <w:color w:val="auto"/>
              </w:rPr>
            </w:pPr>
          </w:p>
        </w:tc>
      </w:tr>
      <w:tr>
        <w:trPr>
          <w:trHeight w:val="23"/>
        </w:trPr>
        <w:tc>
          <w:tcPr>
            <w:tcW w:w="160" w:type="dxa"/>
            <w:vAlign w:val="bottom"/>
            <w:tcBorders>
              <w:right w:val="single" w:sz="8" w:color="00000A"/>
            </w:tcBorders>
          </w:tcPr>
          <w:p>
            <w:pPr>
              <w:spacing w:after="0"/>
              <w:rPr>
                <w:sz w:val="2"/>
                <w:szCs w:val="2"/>
                <w:color w:val="auto"/>
              </w:rPr>
            </w:pPr>
          </w:p>
        </w:tc>
        <w:tc>
          <w:tcPr>
            <w:tcW w:w="40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37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80" w:type="dxa"/>
            <w:vAlign w:val="bottom"/>
          </w:tcPr>
          <w:p>
            <w:pPr>
              <w:spacing w:after="0"/>
              <w:rPr>
                <w:sz w:val="2"/>
                <w:szCs w:val="2"/>
                <w:color w:val="auto"/>
              </w:rPr>
            </w:pPr>
          </w:p>
        </w:tc>
      </w:tr>
      <w:tr>
        <w:trPr>
          <w:trHeight w:val="282"/>
        </w:trPr>
        <w:tc>
          <w:tcPr>
            <w:tcW w:w="160" w:type="dxa"/>
            <w:vAlign w:val="bottom"/>
            <w:tcBorders>
              <w:right w:val="single" w:sz="8" w:color="00000A"/>
            </w:tcBorders>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Credit Suisse AG, Cayman Islands Branch</w:t>
            </w:r>
          </w:p>
        </w:tc>
        <w:tc>
          <w:tcPr>
            <w:tcW w:w="2720" w:type="dxa"/>
            <w:vAlign w:val="bottom"/>
            <w:tcBorders>
              <w:bottom w:val="single" w:sz="8" w:color="CCEEFF"/>
              <w:right w:val="single" w:sz="8" w:color="00000A"/>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20"/>
                <w:szCs w:val="20"/>
                <w:color w:val="auto"/>
                <w:w w:val="71"/>
              </w:rPr>
              <w:t>$</w:t>
            </w:r>
          </w:p>
        </w:tc>
        <w:tc>
          <w:tcPr>
            <w:tcW w:w="3720" w:type="dxa"/>
            <w:vAlign w:val="bottom"/>
            <w:tcBorders>
              <w:bottom w:val="single" w:sz="8" w:color="CCEEFF"/>
              <w:right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72,555,205.05</w:t>
            </w:r>
          </w:p>
        </w:tc>
        <w:tc>
          <w:tcPr>
            <w:tcW w:w="40" w:type="dxa"/>
            <w:vAlign w:val="bottom"/>
            <w:tcBorders>
              <w:bottom w:val="single" w:sz="8" w:color="CCEEFF"/>
              <w:right w:val="single" w:sz="8" w:color="00000A"/>
            </w:tcBorders>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160" w:type="dxa"/>
            <w:vAlign w:val="bottom"/>
            <w:tcBorders>
              <w:right w:val="single" w:sz="8" w:color="00000A"/>
            </w:tcBorders>
          </w:tcPr>
          <w:p>
            <w:pPr>
              <w:spacing w:after="0"/>
              <w:rPr>
                <w:sz w:val="22"/>
                <w:szCs w:val="22"/>
                <w:color w:val="auto"/>
              </w:rPr>
            </w:pPr>
          </w:p>
        </w:tc>
        <w:tc>
          <w:tcPr>
            <w:tcW w:w="4080" w:type="dxa"/>
            <w:vAlign w:val="bottom"/>
            <w:tcBorders>
              <w:top w:val="single" w:sz="8" w:color="00000A"/>
            </w:tcBorders>
          </w:tcPr>
          <w:p>
            <w:pPr>
              <w:spacing w:after="0"/>
              <w:rPr>
                <w:sz w:val="20"/>
                <w:szCs w:val="20"/>
                <w:color w:val="auto"/>
              </w:rPr>
            </w:pPr>
            <w:r>
              <w:rPr>
                <w:rFonts w:ascii="Arial" w:cs="Arial" w:eastAsia="Arial" w:hAnsi="Arial"/>
                <w:sz w:val="20"/>
                <w:szCs w:val="20"/>
                <w:color w:val="auto"/>
              </w:rPr>
              <w:t>HSBC Bank PLC (Dublin Branch)</w:t>
            </w:r>
          </w:p>
        </w:tc>
        <w:tc>
          <w:tcPr>
            <w:tcW w:w="2720" w:type="dxa"/>
            <w:vAlign w:val="bottom"/>
            <w:tcBorders>
              <w:top w:val="single" w:sz="8" w:color="00000A"/>
              <w:right w:val="single" w:sz="8" w:color="00000A"/>
            </w:tcBorders>
          </w:tcPr>
          <w:p>
            <w:pPr>
              <w:spacing w:after="0"/>
              <w:rPr>
                <w:sz w:val="22"/>
                <w:szCs w:val="22"/>
                <w:color w:val="auto"/>
              </w:rPr>
            </w:pPr>
          </w:p>
        </w:tc>
        <w:tc>
          <w:tcPr>
            <w:tcW w:w="620" w:type="dxa"/>
            <w:vAlign w:val="bottom"/>
            <w:tcBorders>
              <w:top w:val="single" w:sz="8" w:color="00000A"/>
            </w:tcBorders>
          </w:tcPr>
          <w:p>
            <w:pPr>
              <w:jc w:val="right"/>
              <w:ind w:right="432"/>
              <w:spacing w:after="0"/>
              <w:rPr>
                <w:sz w:val="20"/>
                <w:szCs w:val="20"/>
                <w:color w:val="auto"/>
              </w:rPr>
            </w:pPr>
            <w:r>
              <w:rPr>
                <w:rFonts w:ascii="Arial" w:cs="Arial" w:eastAsia="Arial" w:hAnsi="Arial"/>
                <w:sz w:val="20"/>
                <w:szCs w:val="20"/>
                <w:color w:val="auto"/>
                <w:w w:val="71"/>
              </w:rPr>
              <w:t>$</w:t>
            </w:r>
          </w:p>
        </w:tc>
        <w:tc>
          <w:tcPr>
            <w:tcW w:w="3720" w:type="dxa"/>
            <w:vAlign w:val="bottom"/>
            <w:tcBorders>
              <w:top w:val="single" w:sz="8" w:color="00000A"/>
            </w:tcBorders>
          </w:tcPr>
          <w:p>
            <w:pPr>
              <w:jc w:val="right"/>
              <w:ind w:right="1"/>
              <w:spacing w:after="0"/>
              <w:rPr>
                <w:sz w:val="20"/>
                <w:szCs w:val="20"/>
                <w:color w:val="auto"/>
              </w:rPr>
            </w:pPr>
            <w:r>
              <w:rPr>
                <w:rFonts w:ascii="Arial" w:cs="Arial" w:eastAsia="Arial" w:hAnsi="Arial"/>
                <w:sz w:val="20"/>
                <w:szCs w:val="20"/>
                <w:color w:val="auto"/>
              </w:rPr>
              <w:t>38,437,500.00</w:t>
            </w:r>
          </w:p>
        </w:tc>
        <w:tc>
          <w:tcPr>
            <w:tcW w:w="40" w:type="dxa"/>
            <w:vAlign w:val="bottom"/>
            <w:tcBorders>
              <w:top w:val="single" w:sz="8" w:color="00000A"/>
              <w:right w:val="single" w:sz="8" w:color="00000A"/>
            </w:tcBorders>
          </w:tcPr>
          <w:p>
            <w:pPr>
              <w:spacing w:after="0"/>
              <w:rPr>
                <w:sz w:val="22"/>
                <w:szCs w:val="22"/>
                <w:color w:val="auto"/>
              </w:rPr>
            </w:pPr>
          </w:p>
        </w:tc>
        <w:tc>
          <w:tcPr>
            <w:tcW w:w="80" w:type="dxa"/>
            <w:vAlign w:val="bottom"/>
          </w:tcPr>
          <w:p>
            <w:pPr>
              <w:spacing w:after="0"/>
              <w:rPr>
                <w:sz w:val="22"/>
                <w:szCs w:val="22"/>
                <w:color w:val="auto"/>
              </w:rPr>
            </w:pPr>
          </w:p>
        </w:tc>
      </w:tr>
      <w:tr>
        <w:trPr>
          <w:trHeight w:val="23"/>
        </w:trPr>
        <w:tc>
          <w:tcPr>
            <w:tcW w:w="160" w:type="dxa"/>
            <w:vAlign w:val="bottom"/>
            <w:tcBorders>
              <w:right w:val="single" w:sz="8" w:color="00000A"/>
            </w:tcBorders>
          </w:tcPr>
          <w:p>
            <w:pPr>
              <w:spacing w:after="0"/>
              <w:rPr>
                <w:sz w:val="2"/>
                <w:szCs w:val="2"/>
                <w:color w:val="auto"/>
              </w:rPr>
            </w:pPr>
          </w:p>
        </w:tc>
        <w:tc>
          <w:tcPr>
            <w:tcW w:w="40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37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80" w:type="dxa"/>
            <w:vAlign w:val="bottom"/>
          </w:tcPr>
          <w:p>
            <w:pPr>
              <w:spacing w:after="0"/>
              <w:rPr>
                <w:sz w:val="2"/>
                <w:szCs w:val="2"/>
                <w:color w:val="auto"/>
              </w:rPr>
            </w:pPr>
          </w:p>
        </w:tc>
      </w:tr>
      <w:tr>
        <w:trPr>
          <w:trHeight w:val="282"/>
        </w:trPr>
        <w:tc>
          <w:tcPr>
            <w:tcW w:w="160" w:type="dxa"/>
            <w:vAlign w:val="bottom"/>
            <w:tcBorders>
              <w:right w:val="single" w:sz="8" w:color="00000A"/>
            </w:tcBorders>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HSBC Bank USA, N.A.</w:t>
            </w:r>
          </w:p>
        </w:tc>
        <w:tc>
          <w:tcPr>
            <w:tcW w:w="2720" w:type="dxa"/>
            <w:vAlign w:val="bottom"/>
            <w:tcBorders>
              <w:bottom w:val="single" w:sz="8" w:color="CCEEFF"/>
              <w:right w:val="single" w:sz="8" w:color="00000A"/>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20"/>
                <w:szCs w:val="20"/>
                <w:color w:val="auto"/>
                <w:w w:val="71"/>
              </w:rPr>
              <w:t>$</w:t>
            </w:r>
          </w:p>
        </w:tc>
        <w:tc>
          <w:tcPr>
            <w:tcW w:w="3720" w:type="dxa"/>
            <w:vAlign w:val="bottom"/>
            <w:tcBorders>
              <w:bottom w:val="single" w:sz="8" w:color="CCEEFF"/>
              <w:right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34,117,705.05</w:t>
            </w:r>
          </w:p>
        </w:tc>
        <w:tc>
          <w:tcPr>
            <w:tcW w:w="40" w:type="dxa"/>
            <w:vAlign w:val="bottom"/>
            <w:tcBorders>
              <w:bottom w:val="single" w:sz="8" w:color="CCEEFF"/>
              <w:right w:val="single" w:sz="8" w:color="00000A"/>
            </w:tcBorders>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160" w:type="dxa"/>
            <w:vAlign w:val="bottom"/>
            <w:tcBorders>
              <w:right w:val="single" w:sz="8" w:color="00000A"/>
            </w:tcBorders>
          </w:tcPr>
          <w:p>
            <w:pPr>
              <w:spacing w:after="0"/>
              <w:rPr>
                <w:sz w:val="22"/>
                <w:szCs w:val="22"/>
                <w:color w:val="auto"/>
              </w:rPr>
            </w:pPr>
          </w:p>
        </w:tc>
        <w:tc>
          <w:tcPr>
            <w:tcW w:w="4080" w:type="dxa"/>
            <w:vAlign w:val="bottom"/>
            <w:tcBorders>
              <w:top w:val="single" w:sz="8" w:color="00000A"/>
            </w:tcBorders>
          </w:tcPr>
          <w:p>
            <w:pPr>
              <w:spacing w:after="0"/>
              <w:rPr>
                <w:sz w:val="20"/>
                <w:szCs w:val="20"/>
                <w:color w:val="auto"/>
              </w:rPr>
            </w:pPr>
            <w:r>
              <w:rPr>
                <w:rFonts w:ascii="Arial" w:cs="Arial" w:eastAsia="Arial" w:hAnsi="Arial"/>
                <w:sz w:val="20"/>
                <w:szCs w:val="20"/>
                <w:color w:val="auto"/>
              </w:rPr>
              <w:t>Morgan Stanley Bank, N.A.</w:t>
            </w:r>
          </w:p>
        </w:tc>
        <w:tc>
          <w:tcPr>
            <w:tcW w:w="2720" w:type="dxa"/>
            <w:vAlign w:val="bottom"/>
            <w:tcBorders>
              <w:top w:val="single" w:sz="8" w:color="00000A"/>
              <w:right w:val="single" w:sz="8" w:color="00000A"/>
            </w:tcBorders>
          </w:tcPr>
          <w:p>
            <w:pPr>
              <w:spacing w:after="0"/>
              <w:rPr>
                <w:sz w:val="22"/>
                <w:szCs w:val="22"/>
                <w:color w:val="auto"/>
              </w:rPr>
            </w:pPr>
          </w:p>
        </w:tc>
        <w:tc>
          <w:tcPr>
            <w:tcW w:w="620" w:type="dxa"/>
            <w:vAlign w:val="bottom"/>
            <w:tcBorders>
              <w:top w:val="single" w:sz="8" w:color="00000A"/>
            </w:tcBorders>
          </w:tcPr>
          <w:p>
            <w:pPr>
              <w:jc w:val="right"/>
              <w:ind w:right="432"/>
              <w:spacing w:after="0"/>
              <w:rPr>
                <w:sz w:val="20"/>
                <w:szCs w:val="20"/>
                <w:color w:val="auto"/>
              </w:rPr>
            </w:pPr>
            <w:r>
              <w:rPr>
                <w:rFonts w:ascii="Arial" w:cs="Arial" w:eastAsia="Arial" w:hAnsi="Arial"/>
                <w:sz w:val="20"/>
                <w:szCs w:val="20"/>
                <w:color w:val="auto"/>
                <w:w w:val="71"/>
              </w:rPr>
              <w:t>$</w:t>
            </w:r>
          </w:p>
        </w:tc>
        <w:tc>
          <w:tcPr>
            <w:tcW w:w="3720" w:type="dxa"/>
            <w:vAlign w:val="bottom"/>
            <w:tcBorders>
              <w:top w:val="single" w:sz="8" w:color="00000A"/>
            </w:tcBorders>
          </w:tcPr>
          <w:p>
            <w:pPr>
              <w:jc w:val="right"/>
              <w:ind w:right="1"/>
              <w:spacing w:after="0"/>
              <w:rPr>
                <w:sz w:val="20"/>
                <w:szCs w:val="20"/>
                <w:color w:val="auto"/>
              </w:rPr>
            </w:pPr>
            <w:r>
              <w:rPr>
                <w:rFonts w:ascii="Arial" w:cs="Arial" w:eastAsia="Arial" w:hAnsi="Arial"/>
                <w:sz w:val="20"/>
                <w:szCs w:val="20"/>
                <w:color w:val="auto"/>
              </w:rPr>
              <w:t>72,555,205.05</w:t>
            </w:r>
          </w:p>
        </w:tc>
        <w:tc>
          <w:tcPr>
            <w:tcW w:w="40" w:type="dxa"/>
            <w:vAlign w:val="bottom"/>
            <w:tcBorders>
              <w:top w:val="single" w:sz="8" w:color="00000A"/>
              <w:right w:val="single" w:sz="8" w:color="00000A"/>
            </w:tcBorders>
          </w:tcPr>
          <w:p>
            <w:pPr>
              <w:spacing w:after="0"/>
              <w:rPr>
                <w:sz w:val="22"/>
                <w:szCs w:val="22"/>
                <w:color w:val="auto"/>
              </w:rPr>
            </w:pPr>
          </w:p>
        </w:tc>
        <w:tc>
          <w:tcPr>
            <w:tcW w:w="80" w:type="dxa"/>
            <w:vAlign w:val="bottom"/>
          </w:tcPr>
          <w:p>
            <w:pPr>
              <w:spacing w:after="0"/>
              <w:rPr>
                <w:sz w:val="22"/>
                <w:szCs w:val="22"/>
                <w:color w:val="auto"/>
              </w:rPr>
            </w:pPr>
          </w:p>
        </w:tc>
      </w:tr>
      <w:tr>
        <w:trPr>
          <w:trHeight w:val="23"/>
        </w:trPr>
        <w:tc>
          <w:tcPr>
            <w:tcW w:w="160" w:type="dxa"/>
            <w:vAlign w:val="bottom"/>
            <w:tcBorders>
              <w:right w:val="single" w:sz="8" w:color="00000A"/>
            </w:tcBorders>
          </w:tcPr>
          <w:p>
            <w:pPr>
              <w:spacing w:after="0"/>
              <w:rPr>
                <w:sz w:val="2"/>
                <w:szCs w:val="2"/>
                <w:color w:val="auto"/>
              </w:rPr>
            </w:pPr>
          </w:p>
        </w:tc>
        <w:tc>
          <w:tcPr>
            <w:tcW w:w="40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37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80" w:type="dxa"/>
            <w:vAlign w:val="bottom"/>
          </w:tcPr>
          <w:p>
            <w:pPr>
              <w:spacing w:after="0"/>
              <w:rPr>
                <w:sz w:val="2"/>
                <w:szCs w:val="2"/>
                <w:color w:val="auto"/>
              </w:rPr>
            </w:pPr>
          </w:p>
        </w:tc>
      </w:tr>
      <w:tr>
        <w:trPr>
          <w:trHeight w:val="282"/>
        </w:trPr>
        <w:tc>
          <w:tcPr>
            <w:tcW w:w="160" w:type="dxa"/>
            <w:vAlign w:val="bottom"/>
            <w:tcBorders>
              <w:right w:val="single" w:sz="8" w:color="00000A"/>
            </w:tcBorders>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SunTrust Bank</w:t>
            </w:r>
          </w:p>
        </w:tc>
        <w:tc>
          <w:tcPr>
            <w:tcW w:w="2720" w:type="dxa"/>
            <w:vAlign w:val="bottom"/>
            <w:tcBorders>
              <w:bottom w:val="single" w:sz="8" w:color="CCEEFF"/>
              <w:right w:val="single" w:sz="8" w:color="00000A"/>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20"/>
                <w:szCs w:val="20"/>
                <w:color w:val="auto"/>
                <w:w w:val="71"/>
              </w:rPr>
              <w:t>$</w:t>
            </w:r>
          </w:p>
        </w:tc>
        <w:tc>
          <w:tcPr>
            <w:tcW w:w="3720" w:type="dxa"/>
            <w:vAlign w:val="bottom"/>
            <w:tcBorders>
              <w:bottom w:val="single" w:sz="8" w:color="CCEEFF"/>
              <w:right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72,555,205.05</w:t>
            </w:r>
          </w:p>
        </w:tc>
        <w:tc>
          <w:tcPr>
            <w:tcW w:w="40" w:type="dxa"/>
            <w:vAlign w:val="bottom"/>
            <w:tcBorders>
              <w:bottom w:val="single" w:sz="8" w:color="CCEEFF"/>
              <w:right w:val="single" w:sz="8" w:color="00000A"/>
            </w:tcBorders>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160" w:type="dxa"/>
            <w:vAlign w:val="bottom"/>
            <w:tcBorders>
              <w:right w:val="single" w:sz="8" w:color="00000A"/>
            </w:tcBorders>
          </w:tcPr>
          <w:p>
            <w:pPr>
              <w:spacing w:after="0"/>
              <w:rPr>
                <w:sz w:val="22"/>
                <w:szCs w:val="22"/>
                <w:color w:val="auto"/>
              </w:rPr>
            </w:pPr>
          </w:p>
        </w:tc>
        <w:tc>
          <w:tcPr>
            <w:tcW w:w="4080" w:type="dxa"/>
            <w:vAlign w:val="bottom"/>
            <w:tcBorders>
              <w:top w:val="single" w:sz="8" w:color="00000A"/>
            </w:tcBorders>
          </w:tcPr>
          <w:p>
            <w:pPr>
              <w:spacing w:after="0"/>
              <w:rPr>
                <w:sz w:val="20"/>
                <w:szCs w:val="20"/>
                <w:color w:val="auto"/>
              </w:rPr>
            </w:pPr>
            <w:r>
              <w:rPr>
                <w:rFonts w:ascii="Arial" w:cs="Arial" w:eastAsia="Arial" w:hAnsi="Arial"/>
                <w:sz w:val="20"/>
                <w:szCs w:val="20"/>
                <w:color w:val="auto"/>
              </w:rPr>
              <w:t>Citizens Bank, N.A.</w:t>
            </w:r>
          </w:p>
        </w:tc>
        <w:tc>
          <w:tcPr>
            <w:tcW w:w="2720" w:type="dxa"/>
            <w:vAlign w:val="bottom"/>
            <w:tcBorders>
              <w:top w:val="single" w:sz="8" w:color="00000A"/>
              <w:right w:val="single" w:sz="8" w:color="00000A"/>
            </w:tcBorders>
          </w:tcPr>
          <w:p>
            <w:pPr>
              <w:spacing w:after="0"/>
              <w:rPr>
                <w:sz w:val="22"/>
                <w:szCs w:val="22"/>
                <w:color w:val="auto"/>
              </w:rPr>
            </w:pPr>
          </w:p>
        </w:tc>
        <w:tc>
          <w:tcPr>
            <w:tcW w:w="620" w:type="dxa"/>
            <w:vAlign w:val="bottom"/>
            <w:tcBorders>
              <w:top w:val="single" w:sz="8" w:color="00000A"/>
            </w:tcBorders>
          </w:tcPr>
          <w:p>
            <w:pPr>
              <w:jc w:val="right"/>
              <w:ind w:right="432"/>
              <w:spacing w:after="0"/>
              <w:rPr>
                <w:sz w:val="20"/>
                <w:szCs w:val="20"/>
                <w:color w:val="auto"/>
              </w:rPr>
            </w:pPr>
            <w:r>
              <w:rPr>
                <w:rFonts w:ascii="Arial" w:cs="Arial" w:eastAsia="Arial" w:hAnsi="Arial"/>
                <w:sz w:val="20"/>
                <w:szCs w:val="20"/>
                <w:color w:val="auto"/>
                <w:w w:val="71"/>
              </w:rPr>
              <w:t>$</w:t>
            </w:r>
          </w:p>
        </w:tc>
        <w:tc>
          <w:tcPr>
            <w:tcW w:w="3720" w:type="dxa"/>
            <w:vAlign w:val="bottom"/>
            <w:tcBorders>
              <w:top w:val="single" w:sz="8" w:color="00000A"/>
            </w:tcBorders>
          </w:tcPr>
          <w:p>
            <w:pPr>
              <w:jc w:val="right"/>
              <w:ind w:right="1"/>
              <w:spacing w:after="0"/>
              <w:rPr>
                <w:sz w:val="20"/>
                <w:szCs w:val="20"/>
                <w:color w:val="auto"/>
              </w:rPr>
            </w:pPr>
            <w:r>
              <w:rPr>
                <w:rFonts w:ascii="Arial" w:cs="Arial" w:eastAsia="Arial" w:hAnsi="Arial"/>
                <w:sz w:val="20"/>
                <w:szCs w:val="20"/>
                <w:color w:val="auto"/>
              </w:rPr>
              <w:t>31,545,741.32</w:t>
            </w:r>
          </w:p>
        </w:tc>
        <w:tc>
          <w:tcPr>
            <w:tcW w:w="40" w:type="dxa"/>
            <w:vAlign w:val="bottom"/>
            <w:tcBorders>
              <w:top w:val="single" w:sz="8" w:color="00000A"/>
              <w:right w:val="single" w:sz="8" w:color="00000A"/>
            </w:tcBorders>
          </w:tcPr>
          <w:p>
            <w:pPr>
              <w:spacing w:after="0"/>
              <w:rPr>
                <w:sz w:val="22"/>
                <w:szCs w:val="22"/>
                <w:color w:val="auto"/>
              </w:rPr>
            </w:pPr>
          </w:p>
        </w:tc>
        <w:tc>
          <w:tcPr>
            <w:tcW w:w="80" w:type="dxa"/>
            <w:vAlign w:val="bottom"/>
          </w:tcPr>
          <w:p>
            <w:pPr>
              <w:spacing w:after="0"/>
              <w:rPr>
                <w:sz w:val="22"/>
                <w:szCs w:val="22"/>
                <w:color w:val="auto"/>
              </w:rPr>
            </w:pPr>
          </w:p>
        </w:tc>
      </w:tr>
      <w:tr>
        <w:trPr>
          <w:trHeight w:val="23"/>
        </w:trPr>
        <w:tc>
          <w:tcPr>
            <w:tcW w:w="160" w:type="dxa"/>
            <w:vAlign w:val="bottom"/>
            <w:tcBorders>
              <w:right w:val="single" w:sz="8" w:color="00000A"/>
            </w:tcBorders>
          </w:tcPr>
          <w:p>
            <w:pPr>
              <w:spacing w:after="0"/>
              <w:rPr>
                <w:sz w:val="2"/>
                <w:szCs w:val="2"/>
                <w:color w:val="auto"/>
              </w:rPr>
            </w:pPr>
          </w:p>
        </w:tc>
        <w:tc>
          <w:tcPr>
            <w:tcW w:w="40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37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80" w:type="dxa"/>
            <w:vAlign w:val="bottom"/>
          </w:tcPr>
          <w:p>
            <w:pPr>
              <w:spacing w:after="0"/>
              <w:rPr>
                <w:sz w:val="2"/>
                <w:szCs w:val="2"/>
                <w:color w:val="auto"/>
              </w:rPr>
            </w:pPr>
          </w:p>
        </w:tc>
      </w:tr>
      <w:tr>
        <w:trPr>
          <w:trHeight w:val="282"/>
        </w:trPr>
        <w:tc>
          <w:tcPr>
            <w:tcW w:w="160" w:type="dxa"/>
            <w:vAlign w:val="bottom"/>
            <w:tcBorders>
              <w:right w:val="single" w:sz="8" w:color="00000A"/>
            </w:tcBorders>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Associated Bank, National Association</w:t>
            </w:r>
          </w:p>
        </w:tc>
        <w:tc>
          <w:tcPr>
            <w:tcW w:w="2720" w:type="dxa"/>
            <w:vAlign w:val="bottom"/>
            <w:tcBorders>
              <w:bottom w:val="single" w:sz="8" w:color="CCEEFF"/>
              <w:right w:val="single" w:sz="8" w:color="00000A"/>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20"/>
                <w:szCs w:val="20"/>
                <w:color w:val="auto"/>
                <w:w w:val="71"/>
              </w:rPr>
              <w:t>$</w:t>
            </w:r>
          </w:p>
        </w:tc>
        <w:tc>
          <w:tcPr>
            <w:tcW w:w="3720" w:type="dxa"/>
            <w:vAlign w:val="bottom"/>
            <w:tcBorders>
              <w:bottom w:val="single" w:sz="8" w:color="CCEEFF"/>
              <w:right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18,927,444.79</w:t>
            </w:r>
          </w:p>
        </w:tc>
        <w:tc>
          <w:tcPr>
            <w:tcW w:w="40" w:type="dxa"/>
            <w:vAlign w:val="bottom"/>
            <w:tcBorders>
              <w:bottom w:val="single" w:sz="8" w:color="CCEEFF"/>
              <w:right w:val="single" w:sz="8" w:color="00000A"/>
            </w:tcBorders>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160" w:type="dxa"/>
            <w:vAlign w:val="bottom"/>
            <w:tcBorders>
              <w:right w:val="single" w:sz="8" w:color="00000A"/>
            </w:tcBorders>
          </w:tcPr>
          <w:p>
            <w:pPr>
              <w:spacing w:after="0"/>
              <w:rPr>
                <w:sz w:val="22"/>
                <w:szCs w:val="22"/>
                <w:color w:val="auto"/>
              </w:rPr>
            </w:pPr>
          </w:p>
        </w:tc>
        <w:tc>
          <w:tcPr>
            <w:tcW w:w="4080" w:type="dxa"/>
            <w:vAlign w:val="bottom"/>
            <w:tcBorders>
              <w:top w:val="single" w:sz="8" w:color="00000A"/>
            </w:tcBorders>
          </w:tcPr>
          <w:p>
            <w:pPr>
              <w:spacing w:after="0"/>
              <w:rPr>
                <w:sz w:val="22"/>
                <w:szCs w:val="22"/>
                <w:color w:val="auto"/>
              </w:rPr>
            </w:pPr>
          </w:p>
        </w:tc>
        <w:tc>
          <w:tcPr>
            <w:tcW w:w="2720" w:type="dxa"/>
            <w:vAlign w:val="bottom"/>
            <w:tcBorders>
              <w:top w:val="single" w:sz="8" w:color="00000A"/>
              <w:right w:val="single" w:sz="8" w:color="00000A"/>
            </w:tcBorders>
          </w:tcPr>
          <w:p>
            <w:pPr>
              <w:ind w:left="2220"/>
              <w:spacing w:after="0"/>
              <w:rPr>
                <w:sz w:val="20"/>
                <w:szCs w:val="20"/>
                <w:color w:val="auto"/>
              </w:rPr>
            </w:pPr>
            <w:r>
              <w:rPr>
                <w:rFonts w:ascii="Arial" w:cs="Arial" w:eastAsia="Arial" w:hAnsi="Arial"/>
                <w:sz w:val="20"/>
                <w:szCs w:val="20"/>
                <w:b w:val="1"/>
                <w:bCs w:val="1"/>
                <w:color w:val="auto"/>
                <w:w w:val="96"/>
              </w:rPr>
              <w:t>Total</w:t>
            </w:r>
          </w:p>
        </w:tc>
        <w:tc>
          <w:tcPr>
            <w:tcW w:w="620" w:type="dxa"/>
            <w:vAlign w:val="bottom"/>
            <w:tcBorders>
              <w:top w:val="single" w:sz="8" w:color="00000A"/>
            </w:tcBorders>
          </w:tcPr>
          <w:p>
            <w:pPr>
              <w:jc w:val="right"/>
              <w:ind w:right="432"/>
              <w:spacing w:after="0"/>
              <w:rPr>
                <w:sz w:val="20"/>
                <w:szCs w:val="20"/>
                <w:color w:val="auto"/>
              </w:rPr>
            </w:pPr>
            <w:r>
              <w:rPr>
                <w:rFonts w:ascii="Arial" w:cs="Arial" w:eastAsia="Arial" w:hAnsi="Arial"/>
                <w:sz w:val="20"/>
                <w:szCs w:val="20"/>
                <w:b w:val="1"/>
                <w:bCs w:val="1"/>
                <w:color w:val="auto"/>
                <w:w w:val="71"/>
              </w:rPr>
              <w:t>$</w:t>
            </w:r>
          </w:p>
        </w:tc>
        <w:tc>
          <w:tcPr>
            <w:tcW w:w="3720" w:type="dxa"/>
            <w:vAlign w:val="bottom"/>
            <w:tcBorders>
              <w:top w:val="single" w:sz="8" w:color="00000A"/>
            </w:tcBorders>
          </w:tcPr>
          <w:p>
            <w:pPr>
              <w:jc w:val="right"/>
              <w:ind w:right="1"/>
              <w:spacing w:after="0"/>
              <w:rPr>
                <w:sz w:val="20"/>
                <w:szCs w:val="20"/>
                <w:color w:val="auto"/>
              </w:rPr>
            </w:pPr>
            <w:r>
              <w:rPr>
                <w:rFonts w:ascii="Arial" w:cs="Arial" w:eastAsia="Arial" w:hAnsi="Arial"/>
                <w:sz w:val="20"/>
                <w:szCs w:val="20"/>
                <w:b w:val="1"/>
                <w:bCs w:val="1"/>
                <w:color w:val="auto"/>
              </w:rPr>
              <w:t>1,250,000,000.00</w:t>
            </w:r>
          </w:p>
        </w:tc>
        <w:tc>
          <w:tcPr>
            <w:tcW w:w="40" w:type="dxa"/>
            <w:vAlign w:val="bottom"/>
            <w:tcBorders>
              <w:top w:val="single" w:sz="8" w:color="00000A"/>
              <w:right w:val="single" w:sz="8" w:color="00000A"/>
            </w:tcBorders>
          </w:tcPr>
          <w:p>
            <w:pPr>
              <w:spacing w:after="0"/>
              <w:rPr>
                <w:sz w:val="22"/>
                <w:szCs w:val="22"/>
                <w:color w:val="auto"/>
              </w:rPr>
            </w:pPr>
          </w:p>
        </w:tc>
        <w:tc>
          <w:tcPr>
            <w:tcW w:w="80" w:type="dxa"/>
            <w:vAlign w:val="bottom"/>
          </w:tcPr>
          <w:p>
            <w:pPr>
              <w:spacing w:after="0"/>
              <w:rPr>
                <w:sz w:val="22"/>
                <w:szCs w:val="22"/>
                <w:color w:val="auto"/>
              </w:rPr>
            </w:pPr>
          </w:p>
        </w:tc>
      </w:tr>
      <w:tr>
        <w:trPr>
          <w:trHeight w:val="23"/>
        </w:trPr>
        <w:tc>
          <w:tcPr>
            <w:tcW w:w="160" w:type="dxa"/>
            <w:vAlign w:val="bottom"/>
            <w:tcBorders>
              <w:right w:val="single" w:sz="8" w:color="00000A"/>
            </w:tcBorders>
          </w:tcPr>
          <w:p>
            <w:pPr>
              <w:spacing w:after="0"/>
              <w:rPr>
                <w:sz w:val="2"/>
                <w:szCs w:val="2"/>
                <w:color w:val="auto"/>
              </w:rPr>
            </w:pPr>
          </w:p>
        </w:tc>
        <w:tc>
          <w:tcPr>
            <w:tcW w:w="40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37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80" w:type="dxa"/>
            <w:vAlign w:val="bottom"/>
          </w:tcPr>
          <w:p>
            <w:pPr>
              <w:spacing w:after="0"/>
              <w:rPr>
                <w:sz w:val="2"/>
                <w:szCs w:val="2"/>
                <w:color w:val="auto"/>
              </w:rPr>
            </w:pPr>
          </w:p>
        </w:tc>
      </w:tr>
      <w:tr>
        <w:trPr>
          <w:trHeight w:val="352"/>
        </w:trPr>
        <w:tc>
          <w:tcPr>
            <w:tcW w:w="16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0"/>
          <w:szCs w:val="20"/>
          <w:color w:val="auto"/>
        </w:rPr>
        <w:t>SCHEDULE III</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Schedule 5.06</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Litigation</w:t>
      </w:r>
    </w:p>
    <w:p>
      <w:pPr>
        <w:spacing w:after="0" w:line="330" w:lineRule="exact"/>
        <w:rPr>
          <w:sz w:val="20"/>
          <w:szCs w:val="20"/>
          <w:color w:val="auto"/>
        </w:rPr>
      </w:pPr>
    </w:p>
    <w:p>
      <w:pPr>
        <w:ind w:firstLine="432"/>
        <w:spacing w:after="0" w:line="285" w:lineRule="auto"/>
        <w:rPr>
          <w:sz w:val="20"/>
          <w:szCs w:val="20"/>
          <w:color w:val="auto"/>
        </w:rPr>
      </w:pPr>
      <w:r>
        <w:rPr>
          <w:rFonts w:ascii="Arial" w:cs="Arial" w:eastAsia="Arial" w:hAnsi="Arial"/>
          <w:sz w:val="18"/>
          <w:szCs w:val="18"/>
          <w:i w:val="1"/>
          <w:iCs w:val="1"/>
          <w:color w:val="auto"/>
        </w:rPr>
        <w:t xml:space="preserve">Xyrem ANDA Matters. </w:t>
      </w:r>
      <w:r>
        <w:rPr>
          <w:rFonts w:ascii="Arial" w:cs="Arial" w:eastAsia="Arial" w:hAnsi="Arial"/>
          <w:sz w:val="18"/>
          <w:szCs w:val="18"/>
          <w:color w:val="auto"/>
        </w:rPr>
        <w:t>On October 18, 2010, the U.S. Borrower received a notice of Paragraph IV Patent Certification (“</w:t>
      </w:r>
      <w:r>
        <w:rPr>
          <w:rFonts w:ascii="Arial" w:cs="Arial" w:eastAsia="Arial" w:hAnsi="Arial"/>
          <w:sz w:val="18"/>
          <w:szCs w:val="18"/>
          <w:u w:val="single" w:color="auto"/>
          <w:color w:val="auto"/>
        </w:rPr>
        <w:t>Paragraph IV</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Certification</w:t>
      </w:r>
      <w:r>
        <w:rPr>
          <w:rFonts w:ascii="Arial" w:cs="Arial" w:eastAsia="Arial" w:hAnsi="Arial"/>
          <w:sz w:val="18"/>
          <w:szCs w:val="18"/>
          <w:color w:val="auto"/>
        </w:rPr>
        <w:t>”), from Roxane Laboratories, Inc. (“</w:t>
      </w:r>
      <w:r>
        <w:rPr>
          <w:rFonts w:ascii="Arial" w:cs="Arial" w:eastAsia="Arial" w:hAnsi="Arial"/>
          <w:sz w:val="18"/>
          <w:szCs w:val="18"/>
          <w:u w:val="single" w:color="auto"/>
          <w:color w:val="auto"/>
        </w:rPr>
        <w:t>Roxane</w:t>
      </w:r>
      <w:r>
        <w:rPr>
          <w:rFonts w:ascii="Arial" w:cs="Arial" w:eastAsia="Arial" w:hAnsi="Arial"/>
          <w:sz w:val="18"/>
          <w:szCs w:val="18"/>
          <w:color w:val="auto"/>
        </w:rPr>
        <w:t>”), that it had submitted an abbreviated new drug application (“</w:t>
      </w:r>
      <w:r>
        <w:rPr>
          <w:rFonts w:ascii="Arial" w:cs="Arial" w:eastAsia="Arial" w:hAnsi="Arial"/>
          <w:sz w:val="18"/>
          <w:szCs w:val="18"/>
          <w:u w:val="single" w:color="auto"/>
          <w:color w:val="auto"/>
        </w:rPr>
        <w:t>ANDA</w:t>
      </w:r>
      <w:r>
        <w:rPr>
          <w:rFonts w:ascii="Arial" w:cs="Arial" w:eastAsia="Arial" w:hAnsi="Arial"/>
          <w:sz w:val="18"/>
          <w:szCs w:val="18"/>
          <w:color w:val="auto"/>
        </w:rPr>
        <w:t>”) to the U.S. Food and Drug Administration (“</w:t>
      </w:r>
      <w:r>
        <w:rPr>
          <w:rFonts w:ascii="Arial" w:cs="Arial" w:eastAsia="Arial" w:hAnsi="Arial"/>
          <w:sz w:val="18"/>
          <w:szCs w:val="18"/>
          <w:u w:val="single" w:color="auto"/>
          <w:color w:val="auto"/>
        </w:rPr>
        <w:t>FDA</w:t>
      </w:r>
      <w:r>
        <w:rPr>
          <w:rFonts w:ascii="Arial" w:cs="Arial" w:eastAsia="Arial" w:hAnsi="Arial"/>
          <w:sz w:val="18"/>
          <w:szCs w:val="18"/>
          <w:color w:val="auto"/>
        </w:rPr>
        <w:t>”), requesting approval to market a generic version of Xyrem. Roxane’s initial notice alleged that all five patents then listed for Xyrem in the FDA’s publication “Approved Drug Products with Therapeutic Equivalence Evaluations” (“</w:t>
      </w:r>
      <w:r>
        <w:rPr>
          <w:rFonts w:ascii="Arial" w:cs="Arial" w:eastAsia="Arial" w:hAnsi="Arial"/>
          <w:sz w:val="18"/>
          <w:szCs w:val="18"/>
          <w:u w:val="single" w:color="auto"/>
          <w:color w:val="auto"/>
        </w:rPr>
        <w:t>Orange Book</w:t>
      </w:r>
      <w:r>
        <w:rPr>
          <w:rFonts w:ascii="Arial" w:cs="Arial" w:eastAsia="Arial" w:hAnsi="Arial"/>
          <w:sz w:val="18"/>
          <w:szCs w:val="18"/>
          <w:color w:val="auto"/>
        </w:rPr>
        <w:t>”) on the date of the notice are invalid, unenforceable or not infringed by Roxane’s proposed generic product. On November 22, 2010, the U.S. Borrower filed a lawsuit against Roxane in response to Roxane’s initial notice in the U.S. District Court for the District of New Jersey (“</w:t>
      </w:r>
      <w:r>
        <w:rPr>
          <w:rFonts w:ascii="Arial" w:cs="Arial" w:eastAsia="Arial" w:hAnsi="Arial"/>
          <w:sz w:val="18"/>
          <w:szCs w:val="18"/>
          <w:u w:val="single" w:color="auto"/>
          <w:color w:val="auto"/>
        </w:rPr>
        <w:t>District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Court</w:t>
      </w:r>
      <w:r>
        <w:rPr>
          <w:rFonts w:ascii="Arial" w:cs="Arial" w:eastAsia="Arial" w:hAnsi="Arial"/>
          <w:sz w:val="18"/>
          <w:szCs w:val="18"/>
          <w:color w:val="auto"/>
        </w:rPr>
        <w:t>”) seeking a permanent injunction to prevent Roxane from introducing a generic version of Xyrem that would infringe the U.S. Borrower’s patents. In accordance with the Drug Price Competition and Patent Term Restoration Act of 1984 (“</w:t>
      </w:r>
      <w:r>
        <w:rPr>
          <w:rFonts w:ascii="Arial" w:cs="Arial" w:eastAsia="Arial" w:hAnsi="Arial"/>
          <w:sz w:val="18"/>
          <w:szCs w:val="18"/>
          <w:u w:val="single" w:color="auto"/>
          <w:color w:val="auto"/>
        </w:rPr>
        <w:t>Hatch-Waxman Act</w:t>
      </w:r>
      <w:r>
        <w:rPr>
          <w:rFonts w:ascii="Arial" w:cs="Arial" w:eastAsia="Arial" w:hAnsi="Arial"/>
          <w:sz w:val="18"/>
          <w:szCs w:val="18"/>
          <w:color w:val="auto"/>
        </w:rPr>
        <w:t>”) as a result of the U.S. Borrower’s having filed a timely lawsuit against Roxane, FDA approval of Roxane’s ANDA was stayed for 30 months, or until April 2013. That stay has expired. Additional patents covering Xyrem have been issued since December 2010, and after receiving Paragraph IV Certification notices from Roxane with respect to those patents, the U.S. Borrower filed additional lawsuits against Roxane to include these additional patents in the litigation. All of the lawsuits filed against Roxane between 2010 and 2012 have been consolidated by the District Court into a single case (the “</w:t>
      </w:r>
      <w:r>
        <w:rPr>
          <w:rFonts w:ascii="Arial" w:cs="Arial" w:eastAsia="Arial" w:hAnsi="Arial"/>
          <w:sz w:val="18"/>
          <w:szCs w:val="18"/>
          <w:u w:val="single" w:color="auto"/>
          <w:color w:val="auto"/>
        </w:rPr>
        <w:t>First Roxane Consolidated Case</w:t>
      </w:r>
      <w:r>
        <w:rPr>
          <w:rFonts w:ascii="Arial" w:cs="Arial" w:eastAsia="Arial" w:hAnsi="Arial"/>
          <w:sz w:val="18"/>
          <w:szCs w:val="18"/>
          <w:color w:val="auto"/>
        </w:rPr>
        <w:t>”). In the First Roxane Consolidated Case, the U.S. Borrower alleges that 10 of the U.S. Borrower’s patents covering Xyrem are or will be infringed by Roxane’s ANDA and seeks a permanent injunction to prevent Roxane from launching a generic version of Xyrem that would infringe these patents.</w:t>
      </w:r>
    </w:p>
    <w:p>
      <w:pPr>
        <w:spacing w:after="0" w:line="68" w:lineRule="exact"/>
        <w:rPr>
          <w:sz w:val="20"/>
          <w:szCs w:val="20"/>
          <w:color w:val="auto"/>
        </w:rPr>
      </w:pPr>
    </w:p>
    <w:p>
      <w:pPr>
        <w:ind w:right="200" w:firstLine="432"/>
        <w:spacing w:after="0" w:line="259" w:lineRule="auto"/>
        <w:rPr>
          <w:sz w:val="20"/>
          <w:szCs w:val="20"/>
          <w:color w:val="auto"/>
        </w:rPr>
      </w:pPr>
      <w:r>
        <w:rPr>
          <w:rFonts w:ascii="Arial" w:cs="Arial" w:eastAsia="Arial" w:hAnsi="Arial"/>
          <w:sz w:val="20"/>
          <w:szCs w:val="20"/>
          <w:color w:val="auto"/>
        </w:rPr>
        <w:t>After receiving additional Paragraph IV Certification notices from Roxane, the U.S. Borrower filed three actions against Roxane in the District Court on February 20, 2015, June 1, 2015 and January 27, 2016 that have since been consolidated (the “</w:t>
      </w:r>
      <w:r>
        <w:rPr>
          <w:rFonts w:ascii="Arial" w:cs="Arial" w:eastAsia="Arial" w:hAnsi="Arial"/>
          <w:sz w:val="20"/>
          <w:szCs w:val="20"/>
          <w:u w:val="single" w:color="auto"/>
          <w:color w:val="auto"/>
        </w:rPr>
        <w:t>Second Roxane Consolidated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Case</w:t>
      </w:r>
      <w:r>
        <w:rPr>
          <w:rFonts w:ascii="Arial" w:cs="Arial" w:eastAsia="Arial" w:hAnsi="Arial"/>
          <w:sz w:val="20"/>
          <w:szCs w:val="20"/>
          <w:color w:val="auto"/>
        </w:rPr>
        <w:t>”). In the Second Roxane Consolidated Case, the U.S. Borrower alleges that five of the U.S. Borrower’s patents covering Xyrem are or will be infringed by Roxane’s ANDA and seeks a permanent injunction to prevent Roxane from introducing a generic version of Xyrem that would infringe those patents.</w:t>
      </w:r>
    </w:p>
    <w:p>
      <w:pPr>
        <w:spacing w:after="0" w:line="191" w:lineRule="exact"/>
        <w:rPr>
          <w:sz w:val="20"/>
          <w:szCs w:val="20"/>
          <w:color w:val="auto"/>
        </w:rPr>
      </w:pPr>
    </w:p>
    <w:p>
      <w:pPr>
        <w:ind w:right="180" w:firstLine="432"/>
        <w:spacing w:after="0" w:line="260" w:lineRule="auto"/>
        <w:rPr>
          <w:sz w:val="20"/>
          <w:szCs w:val="20"/>
          <w:color w:val="auto"/>
        </w:rPr>
      </w:pPr>
      <w:r>
        <w:rPr>
          <w:rFonts w:ascii="Arial" w:cs="Arial" w:eastAsia="Arial" w:hAnsi="Arial"/>
          <w:sz w:val="20"/>
          <w:szCs w:val="20"/>
          <w:color w:val="auto"/>
        </w:rPr>
        <w:t>In December 2013, the District Court permitted Roxane to amend its answer in the First Roxane Consolidated Case to allege certain equitable defenses, and the parties were given additional time for discovery on those new defenses. In addition, in March 2014, the District Court granted the U.S. Borrower’s motion to bifurcate and stay the portion of the First Roxane Consolidated Case regarding patents related to the distribution system for Xyrem.</w:t>
      </w:r>
    </w:p>
    <w:p>
      <w:pPr>
        <w:spacing w:after="0" w:line="192"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20"/>
          <w:szCs w:val="20"/>
          <w:color w:val="auto"/>
        </w:rPr>
        <w:t>In April 2015, Roxane moved in the Second Roxane Consolidated Case to dismiss claims involving the U.S. Borrower’s patent covering a part of the Xyrem label that instructs prescribers on adjusting the dose of Xyrem when it is being co-administered with divalproex sodium (also known as valproate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80" w:name="page181"/>
    <w:bookmarkEnd w:id="180"/>
    <w:p>
      <w:pPr>
        <w:spacing w:after="0" w:line="260" w:lineRule="auto"/>
        <w:rPr>
          <w:sz w:val="20"/>
          <w:szCs w:val="20"/>
          <w:color w:val="auto"/>
        </w:rPr>
      </w:pPr>
      <w:r>
        <w:rPr>
          <w:rFonts w:ascii="Arial" w:cs="Arial" w:eastAsia="Arial" w:hAnsi="Arial"/>
          <w:sz w:val="20"/>
          <w:szCs w:val="20"/>
          <w:color w:val="auto"/>
        </w:rPr>
        <w:t xml:space="preserve">valproic acid) on the grounds that this patent does not cover patentable subject matter. In October 2015, the District Court administratively terminated this motion to dismiss (without prejudice) pending the outcome of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w:t>
      </w:r>
      <w:r>
        <w:rPr>
          <w:rFonts w:ascii="Arial" w:cs="Arial" w:eastAsia="Arial" w:hAnsi="Arial"/>
          <w:sz w:val="20"/>
          <w:szCs w:val="20"/>
          <w:u w:val="single" w:color="auto"/>
          <w:color w:val="auto"/>
        </w:rPr>
        <w:t>IPR</w:t>
      </w:r>
      <w:r>
        <w:rPr>
          <w:rFonts w:ascii="Arial" w:cs="Arial" w:eastAsia="Arial" w:hAnsi="Arial"/>
          <w:sz w:val="20"/>
          <w:szCs w:val="20"/>
          <w:color w:val="auto"/>
        </w:rPr>
        <w:t>”) proceedings before the Patent Trial or Appeal Board (“</w:t>
      </w:r>
      <w:r>
        <w:rPr>
          <w:rFonts w:ascii="Arial" w:cs="Arial" w:eastAsia="Arial" w:hAnsi="Arial"/>
          <w:sz w:val="20"/>
          <w:szCs w:val="20"/>
          <w:u w:val="single" w:color="auto"/>
          <w:color w:val="auto"/>
        </w:rPr>
        <w:t>PTAB</w:t>
      </w:r>
      <w:r>
        <w:rPr>
          <w:rFonts w:ascii="Arial" w:cs="Arial" w:eastAsia="Arial" w:hAnsi="Arial"/>
          <w:sz w:val="20"/>
          <w:szCs w:val="20"/>
          <w:color w:val="auto"/>
        </w:rPr>
        <w:t>”) relating to the patent that was the subject of Roxane’s motion. Such IPR proceedings were filed by Par, Ranbaxy and Amneal and are discussed below.</w:t>
      </w:r>
    </w:p>
    <w:p>
      <w:pPr>
        <w:spacing w:after="0" w:line="192" w:lineRule="exact"/>
        <w:rPr>
          <w:sz w:val="20"/>
          <w:szCs w:val="20"/>
          <w:color w:val="auto"/>
        </w:rPr>
      </w:pPr>
    </w:p>
    <w:p>
      <w:pPr>
        <w:ind w:right="340" w:firstLine="432"/>
        <w:spacing w:after="0" w:line="307" w:lineRule="auto"/>
        <w:rPr>
          <w:sz w:val="20"/>
          <w:szCs w:val="20"/>
          <w:color w:val="auto"/>
        </w:rPr>
      </w:pPr>
      <w:r>
        <w:rPr>
          <w:rFonts w:ascii="Arial" w:cs="Arial" w:eastAsia="Arial" w:hAnsi="Arial"/>
          <w:sz w:val="18"/>
          <w:szCs w:val="18"/>
          <w:color w:val="auto"/>
        </w:rPr>
        <w:t>In June 2016, the District Court determined that it would try the patents at issue in the First Roxane Consolidated Case and Second Roxane Consolidated Case together. Although no trial date has been scheduled, the U.S. Borrower anticipates that trial on the patents in the First Roxane Consolidated Case and Second Roxane Consolidated Case could occur as early as the second quarter of 2017.</w:t>
      </w:r>
    </w:p>
    <w:p>
      <w:pPr>
        <w:spacing w:after="0" w:line="151" w:lineRule="exact"/>
        <w:rPr>
          <w:sz w:val="20"/>
          <w:szCs w:val="20"/>
          <w:color w:val="auto"/>
        </w:rPr>
      </w:pPr>
    </w:p>
    <w:p>
      <w:pPr>
        <w:ind w:right="140" w:firstLine="432"/>
        <w:spacing w:after="0" w:line="264" w:lineRule="auto"/>
        <w:rPr>
          <w:sz w:val="20"/>
          <w:szCs w:val="20"/>
          <w:color w:val="auto"/>
        </w:rPr>
      </w:pPr>
      <w:r>
        <w:rPr>
          <w:rFonts w:ascii="Arial" w:cs="Arial" w:eastAsia="Arial" w:hAnsi="Arial"/>
          <w:sz w:val="20"/>
          <w:szCs w:val="20"/>
          <w:color w:val="auto"/>
        </w:rPr>
        <w:t>The actual timing of events in the U.S. Borrower’s litigation with Roxane may be significantly earlier or later than the U.S. Borrower currently anticipate. The U.S. Borrower cannot predict the specific timing or outcome of events in these matters or the impact of these matters on other ongoing proceedings with any ANDA filer.</w:t>
      </w:r>
    </w:p>
    <w:p>
      <w:pPr>
        <w:spacing w:after="0" w:line="186" w:lineRule="exact"/>
        <w:rPr>
          <w:sz w:val="20"/>
          <w:szCs w:val="20"/>
          <w:color w:val="auto"/>
        </w:rPr>
      </w:pPr>
    </w:p>
    <w:p>
      <w:pPr>
        <w:ind w:right="20" w:firstLine="432"/>
        <w:spacing w:after="0" w:line="256" w:lineRule="auto"/>
        <w:rPr>
          <w:sz w:val="20"/>
          <w:szCs w:val="20"/>
          <w:color w:val="auto"/>
        </w:rPr>
      </w:pPr>
      <w:r>
        <w:rPr>
          <w:rFonts w:ascii="Arial" w:cs="Arial" w:eastAsia="Arial" w:hAnsi="Arial"/>
          <w:sz w:val="20"/>
          <w:szCs w:val="20"/>
          <w:color w:val="auto"/>
        </w:rPr>
        <w:t>On December 10, 2012, the U.S. Borrower received notice of Paragraph IV Certification from Amneal Pharmaceuticals, LLC (“</w:t>
      </w:r>
      <w:r>
        <w:rPr>
          <w:rFonts w:ascii="Arial" w:cs="Arial" w:eastAsia="Arial" w:hAnsi="Arial"/>
          <w:sz w:val="20"/>
          <w:szCs w:val="20"/>
          <w:u w:val="single" w:color="auto"/>
          <w:color w:val="auto"/>
        </w:rPr>
        <w:t>Amneal</w:t>
      </w:r>
      <w:r>
        <w:rPr>
          <w:rFonts w:ascii="Arial" w:cs="Arial" w:eastAsia="Arial" w:hAnsi="Arial"/>
          <w:sz w:val="20"/>
          <w:szCs w:val="20"/>
          <w:color w:val="auto"/>
        </w:rPr>
        <w:t>”) that it had submitted an ANDA to the FDA requesting approval to market a generic version of Xyrem. On January 18, 2013, the U.S. Borrower filed a lawsuit against Amneal in the District Court alleging that the U.S. Borrower’s patents covering Xyrem are infringed or will be infringed by Amneal’s ANDA and seeking a permanent injunction to prevent Amneal from introducing a generic version of Xyrem that would infringe these patents. On November 21, 2013, the U.S. Borrower received notice of Paragraph IV Certification from Par Pharmaceutical, Inc. (“</w:t>
      </w:r>
      <w:r>
        <w:rPr>
          <w:rFonts w:ascii="Arial" w:cs="Arial" w:eastAsia="Arial" w:hAnsi="Arial"/>
          <w:sz w:val="20"/>
          <w:szCs w:val="20"/>
          <w:u w:val="single" w:color="auto"/>
          <w:color w:val="auto"/>
        </w:rPr>
        <w:t>Par</w:t>
      </w:r>
      <w:r>
        <w:rPr>
          <w:rFonts w:ascii="Arial" w:cs="Arial" w:eastAsia="Arial" w:hAnsi="Arial"/>
          <w:sz w:val="20"/>
          <w:szCs w:val="20"/>
          <w:color w:val="auto"/>
        </w:rPr>
        <w:t>”) that it had submitted an ANDA to the FDA requesting approval to market a generic version of Xyrem. On December 27, 2013, the U.S. Borrower filed a lawsuit against Par in the District Court alleging that the U.S. Borrower’s patents covering Xyrem are infringed or will be infringed by Par’s ANDA and seeking a permanent injunction to prevent Par from introducing a generic version of Xyrem that would infringe these patents.</w:t>
      </w:r>
    </w:p>
    <w:p>
      <w:pPr>
        <w:spacing w:after="0" w:line="196" w:lineRule="exact"/>
        <w:rPr>
          <w:sz w:val="20"/>
          <w:szCs w:val="20"/>
          <w:color w:val="auto"/>
        </w:rPr>
      </w:pPr>
    </w:p>
    <w:p>
      <w:pPr>
        <w:ind w:right="260" w:firstLine="432"/>
        <w:spacing w:after="0" w:line="307" w:lineRule="auto"/>
        <w:rPr>
          <w:sz w:val="20"/>
          <w:szCs w:val="20"/>
          <w:color w:val="auto"/>
        </w:rPr>
      </w:pPr>
      <w:r>
        <w:rPr>
          <w:rFonts w:ascii="Arial" w:cs="Arial" w:eastAsia="Arial" w:hAnsi="Arial"/>
          <w:sz w:val="18"/>
          <w:szCs w:val="18"/>
          <w:color w:val="auto"/>
        </w:rPr>
        <w:t>In April 2014, Amneal asked the District Court to consolidate its case with the Par case, stating that both cases would proceed on the schedule for the Par case. The District Court granted this request in May 2014. The order consolidating the cases provides that Amneal’s 30-month stay period will be extended to coincide with the date of Par’s 30-month stay period. That stay expired May 20, 2016.</w:t>
      </w:r>
    </w:p>
    <w:p>
      <w:pPr>
        <w:spacing w:after="0" w:line="151" w:lineRule="exact"/>
        <w:rPr>
          <w:sz w:val="20"/>
          <w:szCs w:val="20"/>
          <w:color w:val="auto"/>
        </w:rPr>
      </w:pPr>
    </w:p>
    <w:p>
      <w:pPr>
        <w:ind w:right="160" w:firstLine="432"/>
        <w:spacing w:after="0" w:line="257" w:lineRule="auto"/>
        <w:rPr>
          <w:sz w:val="20"/>
          <w:szCs w:val="20"/>
          <w:color w:val="auto"/>
        </w:rPr>
      </w:pPr>
      <w:r>
        <w:rPr>
          <w:rFonts w:ascii="Arial" w:cs="Arial" w:eastAsia="Arial" w:hAnsi="Arial"/>
          <w:sz w:val="20"/>
          <w:szCs w:val="20"/>
          <w:color w:val="auto"/>
        </w:rPr>
        <w:t>Additional patents covering Xyrem have issued since April 2014 and have been listed in the Orange Book for Xyrem. Amneal and Par have given us additional notices of Paragraph IV Certifications regarding such patents, and the U.S. Borrower has filed additional lawsuits against Amneal and Par in the District Court alleging that the U.S. Borrower’s patents covering Xyrem are infringed or will be infringed by Amneal’s and Par’s ANDAs and seeking a permanent injunction to prevent Amneal and Par from introducing a generic version of Xyrem that will infringe these patents. In March 2016, Par moved to dismiss claims involving the U.S. Borrower’s patents covering a part of the Xyrem label that instructs prescribers on adjusting the dose of Xyrem when it is being co-administered with divalproex sodium (also known as valproate or valproic acid).</w:t>
      </w:r>
    </w:p>
    <w:p>
      <w:pPr>
        <w:spacing w:after="0" w:line="194" w:lineRule="exact"/>
        <w:rPr>
          <w:sz w:val="20"/>
          <w:szCs w:val="20"/>
          <w:color w:val="auto"/>
        </w:rPr>
      </w:pPr>
    </w:p>
    <w:p>
      <w:pPr>
        <w:ind w:right="20" w:firstLine="432"/>
        <w:spacing w:after="0" w:line="275" w:lineRule="auto"/>
        <w:rPr>
          <w:sz w:val="20"/>
          <w:szCs w:val="20"/>
          <w:color w:val="auto"/>
        </w:rPr>
      </w:pPr>
      <w:r>
        <w:rPr>
          <w:rFonts w:ascii="Arial" w:cs="Arial" w:eastAsia="Arial" w:hAnsi="Arial"/>
          <w:sz w:val="20"/>
          <w:szCs w:val="20"/>
          <w:color w:val="auto"/>
        </w:rPr>
        <w:t>On June 4, 2014, the U.S. Borrower received a notice of Paragraph IV Certification from Ranbaxy Laboratories Limited (“</w:t>
      </w:r>
      <w:r>
        <w:rPr>
          <w:rFonts w:ascii="Arial" w:cs="Arial" w:eastAsia="Arial" w:hAnsi="Arial"/>
          <w:sz w:val="20"/>
          <w:szCs w:val="20"/>
          <w:u w:val="single" w:color="auto"/>
          <w:color w:val="auto"/>
        </w:rPr>
        <w:t>Ranbaxy</w:t>
      </w:r>
      <w:r>
        <w:rPr>
          <w:rFonts w:ascii="Arial" w:cs="Arial" w:eastAsia="Arial" w:hAnsi="Arial"/>
          <w:sz w:val="20"/>
          <w:szCs w:val="20"/>
          <w:color w:val="auto"/>
        </w:rPr>
        <w:t>”) that it had submitted an ANDA to the FDA requesting approval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87" w:right="259" w:bottom="1440" w:gutter="0" w:footer="0" w:header="0"/>
        </w:sectPr>
      </w:pPr>
    </w:p>
    <w:bookmarkStart w:id="181" w:name="page182"/>
    <w:bookmarkEnd w:id="181"/>
    <w:p>
      <w:pPr>
        <w:ind w:right="40"/>
        <w:spacing w:after="0" w:line="290" w:lineRule="auto"/>
        <w:rPr>
          <w:sz w:val="20"/>
          <w:szCs w:val="20"/>
          <w:color w:val="auto"/>
        </w:rPr>
      </w:pPr>
      <w:r>
        <w:rPr>
          <w:rFonts w:ascii="Arial" w:cs="Arial" w:eastAsia="Arial" w:hAnsi="Arial"/>
          <w:sz w:val="18"/>
          <w:szCs w:val="18"/>
          <w:color w:val="auto"/>
        </w:rPr>
        <w:t>market a generic version of Xyrem. On July 15, 2014, the U.S. Borrower filed a lawsuit against Ranbaxy in the District Court alleging that the U.S. Borrower’s patents covering Xyrem are infringed or will be infringed by Ranbaxy’s ANDA and seeking a permanent injunction to prevent Ranbaxy from introducing a generic version of Xyrem that will infringe these patents. Since June 2014, the U.S. Borrower has received additional notices of Paragraph IV Certification from Ranbaxy regarding newly issued patents for Xyrem listed in the Orange Book, and the U.S. Borrower has filed additional lawsuits against Ranbaxy in the District Court alleging that the U.S. Borrower’s patents covering Xyrem are infringed or will be infringed by Ranbaxy’s ANDA and seeking a permanent injunction to prevent Ranbaxy from introducing a generic version of Xyrem that will infringe these patents. In May 2016, the Ranbaxy litigation was settled as described below.</w:t>
      </w:r>
    </w:p>
    <w:p>
      <w:pPr>
        <w:spacing w:after="0" w:line="167" w:lineRule="exact"/>
        <w:rPr>
          <w:sz w:val="20"/>
          <w:szCs w:val="20"/>
          <w:color w:val="auto"/>
        </w:rPr>
      </w:pPr>
    </w:p>
    <w:p>
      <w:pPr>
        <w:ind w:firstLine="432"/>
        <w:spacing w:after="0" w:line="286" w:lineRule="auto"/>
        <w:rPr>
          <w:sz w:val="20"/>
          <w:szCs w:val="20"/>
          <w:color w:val="auto"/>
        </w:rPr>
      </w:pPr>
      <w:r>
        <w:rPr>
          <w:rFonts w:ascii="Arial" w:cs="Arial" w:eastAsia="Arial" w:hAnsi="Arial"/>
          <w:sz w:val="18"/>
          <w:szCs w:val="18"/>
          <w:color w:val="auto"/>
        </w:rPr>
        <w:t>On October 30, 2014, the U.S. Borrower received a notice of Paragraph IV Certification from Watson Laboratories, Inc. (“</w:t>
      </w:r>
      <w:r>
        <w:rPr>
          <w:rFonts w:ascii="Arial" w:cs="Arial" w:eastAsia="Arial" w:hAnsi="Arial"/>
          <w:sz w:val="18"/>
          <w:szCs w:val="18"/>
          <w:u w:val="single" w:color="auto"/>
          <w:color w:val="auto"/>
        </w:rPr>
        <w:t>Watson</w:t>
      </w:r>
      <w:r>
        <w:rPr>
          <w:rFonts w:ascii="Arial" w:cs="Arial" w:eastAsia="Arial" w:hAnsi="Arial"/>
          <w:sz w:val="18"/>
          <w:szCs w:val="18"/>
          <w:color w:val="auto"/>
        </w:rPr>
        <w:t>”) that it had submitted an ANDA to the FDA requesting approval to market a generic version of Xyrem. On December 11, 2014, the U.S. Borrower filed a lawsuit against Watson in the District Court alleging that the U.S. Borrower’s patents covering Xyrem are or will be infringed by Watson’s ANDA and seeking a permanent injunction to prevent Watson from introducing a generic version of Xyrem that would infringe these patents. In March 2015, Watson moved to dismiss the portion of the case based on the U.S. Borrower’s Orange Book-listed patents covering the distribution system for Xyrem on the grounds that these patents do not cover patentable subject matter. In November 2015, the District Court administratively terminated this motion to dismiss (without prejudice) pending the outcome of IPR proceedings before the PTAB relating to the patents that were the subject of Watson’s motion. Since March 2015, the U.S. Borrower has received an additional notice of Paragraph IV Certification from Watson regarding newly issued patents for Xyrem listed in the Orange Book, and the U.S. Borrower has filed an additional lawsuit against Watson in the District Court alleging that the U.S. Borrower’s patents covering Xyrem are or will be infringed by Watson’s ANDA and seeking a permanent injunction to prevent Watson from introducing a generic version of Xyrem that would infringe these patents.</w:t>
      </w:r>
    </w:p>
    <w:p>
      <w:pPr>
        <w:spacing w:after="0" w:line="177" w:lineRule="exact"/>
        <w:rPr>
          <w:sz w:val="20"/>
          <w:szCs w:val="20"/>
          <w:color w:val="auto"/>
        </w:rPr>
      </w:pPr>
    </w:p>
    <w:p>
      <w:pPr>
        <w:ind w:right="340" w:firstLine="405"/>
        <w:spacing w:after="0" w:line="275" w:lineRule="auto"/>
        <w:rPr>
          <w:sz w:val="20"/>
          <w:szCs w:val="20"/>
          <w:color w:val="auto"/>
        </w:rPr>
      </w:pPr>
      <w:r>
        <w:rPr>
          <w:rFonts w:ascii="Arial" w:cs="Arial" w:eastAsia="Arial" w:hAnsi="Arial"/>
          <w:sz w:val="20"/>
          <w:szCs w:val="20"/>
          <w:color w:val="auto"/>
        </w:rPr>
        <w:t>In April 2015, the District Court issued an order that consolidated all then-pending lawsuits against Amneal, Par, Ranbaxy and Watson into one case.</w:t>
      </w:r>
    </w:p>
    <w:p>
      <w:pPr>
        <w:spacing w:after="0" w:line="175" w:lineRule="exact"/>
        <w:rPr>
          <w:sz w:val="20"/>
          <w:szCs w:val="20"/>
          <w:color w:val="auto"/>
        </w:rPr>
      </w:pPr>
    </w:p>
    <w:p>
      <w:pPr>
        <w:ind w:right="180" w:firstLine="405"/>
        <w:spacing w:after="0" w:line="271" w:lineRule="auto"/>
        <w:rPr>
          <w:sz w:val="20"/>
          <w:szCs w:val="20"/>
          <w:color w:val="auto"/>
        </w:rPr>
      </w:pPr>
      <w:r>
        <w:rPr>
          <w:rFonts w:ascii="Arial" w:cs="Arial" w:eastAsia="Arial" w:hAnsi="Arial"/>
          <w:sz w:val="19"/>
          <w:szCs w:val="19"/>
          <w:color w:val="auto"/>
        </w:rPr>
        <w:t>On June 8, 2015, the U.S. Borrower received a Paragraph IV Certification from Wockhardt Bio AG (“</w:t>
      </w:r>
      <w:r>
        <w:rPr>
          <w:rFonts w:ascii="Arial" w:cs="Arial" w:eastAsia="Arial" w:hAnsi="Arial"/>
          <w:sz w:val="19"/>
          <w:szCs w:val="19"/>
          <w:u w:val="single" w:color="auto"/>
          <w:color w:val="auto"/>
        </w:rPr>
        <w:t>Wockhardt</w:t>
      </w:r>
      <w:r>
        <w:rPr>
          <w:rFonts w:ascii="Arial" w:cs="Arial" w:eastAsia="Arial" w:hAnsi="Arial"/>
          <w:sz w:val="19"/>
          <w:szCs w:val="19"/>
          <w:color w:val="auto"/>
        </w:rPr>
        <w:t>”) that it had submitted an ANDA to the FDA requesting approval to market a generic version of Xyrem. On July 17, 2015, the U.S. Borrower filed a lawsuit in the District Court alleging that the U.S. Borrower’s patents covering Xyrem were or would be infringed by Wockhardt’s ANDA and seeking a permanent injunction to prevent Wockhardt from introducing a generic version of Xyrem that would infringe the U.S. Borrower’s patents. On November 26, 2015, the U.S. Borrower received an additional notice of Paragraph IV Certification from Wockhardt regarding newly issued patents listed in the Orange Book, and the U.S. Borrower filed an additional lawsuit against Wockhardt in the District Court alleging that the U.S. Borrower’s patents covering Xyrem were or would be infringed by Wockhardt’s ANDA and seeking a permanent injunction to prevent Wockhardt from introducing a generic version of Xyrem that would infringe these patents. In April 2016, the Wockhardt litigation was settled as set forth below.</w:t>
      </w:r>
    </w:p>
    <w:p>
      <w:pPr>
        <w:spacing w:after="0" w:line="184" w:lineRule="exact"/>
        <w:rPr>
          <w:sz w:val="20"/>
          <w:szCs w:val="20"/>
          <w:color w:val="auto"/>
        </w:rPr>
      </w:pPr>
    </w:p>
    <w:p>
      <w:pPr>
        <w:ind w:right="200" w:firstLine="405"/>
        <w:spacing w:after="0" w:line="275" w:lineRule="auto"/>
        <w:rPr>
          <w:sz w:val="20"/>
          <w:szCs w:val="20"/>
          <w:color w:val="auto"/>
        </w:rPr>
      </w:pPr>
      <w:r>
        <w:rPr>
          <w:rFonts w:ascii="Arial" w:cs="Arial" w:eastAsia="Arial" w:hAnsi="Arial"/>
          <w:sz w:val="20"/>
          <w:szCs w:val="20"/>
          <w:color w:val="auto"/>
        </w:rPr>
        <w:t>On July 23, 2015, the U.S. Borrower received a Paragraph IV Certification from Lupin Inc. (“</w:t>
      </w:r>
      <w:r>
        <w:rPr>
          <w:rFonts w:ascii="Arial" w:cs="Arial" w:eastAsia="Arial" w:hAnsi="Arial"/>
          <w:sz w:val="20"/>
          <w:szCs w:val="20"/>
          <w:u w:val="single" w:color="auto"/>
          <w:color w:val="auto"/>
        </w:rPr>
        <w:t>Lupin</w:t>
      </w:r>
      <w:r>
        <w:rPr>
          <w:rFonts w:ascii="Arial" w:cs="Arial" w:eastAsia="Arial" w:hAnsi="Arial"/>
          <w:sz w:val="20"/>
          <w:szCs w:val="20"/>
          <w:color w:val="auto"/>
        </w:rPr>
        <w:t>”) that it had submitted an ANDA to the FDA requesting approval to market a generic version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182" w:name="page183"/>
    <w:bookmarkEnd w:id="182"/>
    <w:p>
      <w:pPr>
        <w:ind w:right="200"/>
        <w:spacing w:after="0" w:line="264" w:lineRule="auto"/>
        <w:rPr>
          <w:sz w:val="20"/>
          <w:szCs w:val="20"/>
          <w:color w:val="auto"/>
        </w:rPr>
      </w:pPr>
      <w:r>
        <w:rPr>
          <w:rFonts w:ascii="Arial" w:cs="Arial" w:eastAsia="Arial" w:hAnsi="Arial"/>
          <w:sz w:val="20"/>
          <w:szCs w:val="20"/>
          <w:color w:val="auto"/>
        </w:rPr>
        <w:t>Xyrem. On September 2, 2015, the U.S. Borrower filed a lawsuit in the District Court alleging that the U.S. Borrower’s patents covering Xyrem are or will be infringed by Lupin’s ANDA and seeking a permanent injunction to prevent Lupin from introducing a generic version of Xyrem that would infringe the U.S. Borrower’s patents.</w:t>
      </w:r>
    </w:p>
    <w:p>
      <w:pPr>
        <w:spacing w:after="0" w:line="186" w:lineRule="exact"/>
        <w:rPr>
          <w:sz w:val="20"/>
          <w:szCs w:val="20"/>
          <w:color w:val="auto"/>
        </w:rPr>
      </w:pPr>
    </w:p>
    <w:p>
      <w:pPr>
        <w:ind w:right="20" w:firstLine="405"/>
        <w:spacing w:after="0" w:line="259" w:lineRule="auto"/>
        <w:rPr>
          <w:sz w:val="20"/>
          <w:szCs w:val="20"/>
          <w:color w:val="auto"/>
        </w:rPr>
      </w:pPr>
      <w:r>
        <w:rPr>
          <w:rFonts w:ascii="Arial" w:cs="Arial" w:eastAsia="Arial" w:hAnsi="Arial"/>
          <w:sz w:val="20"/>
          <w:szCs w:val="20"/>
          <w:color w:val="auto"/>
        </w:rPr>
        <w:t>In January 2016, the District Court issued an order consolidating all of the cases then pending against Amneal, Par, Ranbaxy, Watson, Wockhardt and Lupin into a single case for all purposes. In April 2016, the District Court issued orders consolidating two cases against Amneal and Ranbaxy relating to later-issued patents with the previously consolidated case against Amneal, Par, Ranbaxy, Watson and Lupin. In June 2016, the District Court issued an order consolidating a case against Watson relating to a later-issued patent with the previously consolidated case against Amneal, Par, Watson, and Lupin.</w:t>
      </w:r>
    </w:p>
    <w:p>
      <w:pPr>
        <w:spacing w:after="0" w:line="83" w:lineRule="exact"/>
        <w:rPr>
          <w:sz w:val="20"/>
          <w:szCs w:val="20"/>
          <w:color w:val="auto"/>
        </w:rPr>
      </w:pPr>
    </w:p>
    <w:p>
      <w:pPr>
        <w:ind w:firstLine="405"/>
        <w:spacing w:after="0" w:line="298" w:lineRule="auto"/>
        <w:rPr>
          <w:sz w:val="20"/>
          <w:szCs w:val="20"/>
          <w:color w:val="auto"/>
        </w:rPr>
      </w:pPr>
      <w:r>
        <w:rPr>
          <w:rFonts w:ascii="Arial" w:cs="Arial" w:eastAsia="Arial" w:hAnsi="Arial"/>
          <w:sz w:val="18"/>
          <w:szCs w:val="18"/>
          <w:color w:val="auto"/>
        </w:rPr>
        <w:t>The U.S. Borrower entered into settlement agreements with Wockhardt and Ranbaxy on April 18, 2016 and May 9, 2016, respectively, that resolved the U.S. Borrower’s patent litigation against Wockhardt and Ranbaxy. Under the settlement agreements, the U.S. Borrower granted each of Wockhardt and Ranbaxy a license to manufacture, market, and sell its generic version of Xyrem on or after December 31, 2025, or earlier depending on the occurrence of certain events. The specific terms of the settlement agreements are confidential.</w:t>
      </w:r>
    </w:p>
    <w:p>
      <w:pPr>
        <w:spacing w:after="0" w:line="52" w:lineRule="exact"/>
        <w:rPr>
          <w:sz w:val="20"/>
          <w:szCs w:val="20"/>
          <w:color w:val="auto"/>
        </w:rPr>
      </w:pPr>
    </w:p>
    <w:p>
      <w:pPr>
        <w:jc w:val="both"/>
        <w:ind w:right="60" w:firstLine="405"/>
        <w:spacing w:after="0" w:line="284" w:lineRule="auto"/>
        <w:rPr>
          <w:sz w:val="20"/>
          <w:szCs w:val="20"/>
          <w:color w:val="auto"/>
        </w:rPr>
      </w:pPr>
      <w:r>
        <w:rPr>
          <w:rFonts w:ascii="Arial" w:cs="Arial" w:eastAsia="Arial" w:hAnsi="Arial"/>
          <w:sz w:val="19"/>
          <w:szCs w:val="19"/>
          <w:color w:val="auto"/>
        </w:rPr>
        <w:t>The settlements with Wockhardt and Ranbaxy do not resolve the litigation against Amneal, Par, Watson and Lupin, which is ongoing. The U.S. Borrower cannot predict the specific timing or outcome of events in this matter with respect to the remaining defendants or the impact of developments involving any specific parties or patents on other ongoing proceedings with any ANDA filer.</w:t>
      </w:r>
    </w:p>
    <w:p>
      <w:pPr>
        <w:spacing w:after="0" w:line="62" w:lineRule="exact"/>
        <w:rPr>
          <w:sz w:val="20"/>
          <w:szCs w:val="20"/>
          <w:color w:val="auto"/>
        </w:rPr>
      </w:pPr>
    </w:p>
    <w:p>
      <w:pPr>
        <w:ind w:firstLine="405"/>
        <w:spacing w:after="0" w:line="257" w:lineRule="auto"/>
        <w:rPr>
          <w:sz w:val="20"/>
          <w:szCs w:val="20"/>
          <w:color w:val="auto"/>
        </w:rPr>
      </w:pPr>
      <w:r>
        <w:rPr>
          <w:rFonts w:ascii="Arial" w:cs="Arial" w:eastAsia="Arial" w:hAnsi="Arial"/>
          <w:sz w:val="20"/>
          <w:szCs w:val="20"/>
          <w:i w:val="1"/>
          <w:iCs w:val="1"/>
          <w:color w:val="auto"/>
        </w:rPr>
        <w:t xml:space="preserve">Xyrem Post-Grant Patent Review Matters. </w:t>
      </w:r>
      <w:r>
        <w:rPr>
          <w:rFonts w:ascii="Arial" w:cs="Arial" w:eastAsia="Arial" w:hAnsi="Arial"/>
          <w:sz w:val="20"/>
          <w:szCs w:val="20"/>
          <w:color w:val="auto"/>
        </w:rPr>
        <w:t>In January 2015, certain of the ANDA filers filed petitions for IPR with respect to the validity</w:t>
      </w:r>
      <w:r>
        <w:rPr>
          <w:rFonts w:ascii="Arial" w:cs="Arial" w:eastAsia="Arial" w:hAnsi="Arial"/>
          <w:sz w:val="20"/>
          <w:szCs w:val="20"/>
          <w:i w:val="1"/>
          <w:iCs w:val="1"/>
          <w:color w:val="auto"/>
        </w:rPr>
        <w:t xml:space="preserve"> </w:t>
      </w:r>
      <w:r>
        <w:rPr>
          <w:rFonts w:ascii="Arial" w:cs="Arial" w:eastAsia="Arial" w:hAnsi="Arial"/>
          <w:sz w:val="20"/>
          <w:szCs w:val="20"/>
          <w:color w:val="auto"/>
        </w:rPr>
        <w:t>of six patents covering the distribution system for Xyrem. In July 2015, the PTAB issued decisions instituting IPR trials with respect to these petitions, and the U.S. Borrower expect the PTAB to issue final decisions on the validity of the patents in July 2016. In September 2015, certain of the ANDA filers filed a petition for IPR with respect to the validity of an additional patent covering the distribution system for Xyrem. In March 2016, the PTAB issued a decision instituting an IPR trial with respect to three claims of the patent subject to this petition, and the U.S. Borrower expect the PTAB to issue final decisions on the validity of these claims in March 2017. The PTAB denied the petition with respect to the other 25 claims of the patent.</w:t>
      </w:r>
    </w:p>
    <w:p>
      <w:pPr>
        <w:spacing w:after="0" w:line="59" w:lineRule="exact"/>
        <w:rPr>
          <w:sz w:val="20"/>
          <w:szCs w:val="20"/>
          <w:color w:val="auto"/>
        </w:rPr>
      </w:pPr>
    </w:p>
    <w:p>
      <w:pPr>
        <w:ind w:right="120" w:firstLine="405"/>
        <w:spacing w:after="0" w:line="289" w:lineRule="auto"/>
        <w:rPr>
          <w:sz w:val="20"/>
          <w:szCs w:val="20"/>
          <w:color w:val="auto"/>
        </w:rPr>
      </w:pPr>
      <w:r>
        <w:rPr>
          <w:rFonts w:ascii="Arial" w:cs="Arial" w:eastAsia="Arial" w:hAnsi="Arial"/>
          <w:sz w:val="18"/>
          <w:szCs w:val="18"/>
          <w:color w:val="auto"/>
        </w:rPr>
        <w:t>In October 2015, Ranbaxy and Par filed petitions for IPR with respect to the validity of one of the U.S. Borrower’s patents covering a method for prescribing Xyrem when it is being co-administered with divalproex sodium, and Amneal filed an IPR petition on the same patent in February 2016. In April 2016, the PTAB denied Par’s petition in its entirety and issued a decision on Ranbaxy’s petition, instituting an IPR trial with respect to 16 of the claims under the patent subject to this petition and denying the petition with respect to the other 18 claims. The U.S. Borrower expects a decision on the Amneal petition in August 2016. In March 2016, Ranbaxy filed a petition for IPR with respect to the validity of the second of the U.S. Borrower’s patents covering a method for prescribing Xyrem when it is being co-administered with divalproex sodium. In connection with settlement of the U.S. Borrower’s litigation with Ranbaxy in May 2016, the U.S. Borrower filed a joint motion with Ranbaxy to terminate both of the IPR petitions filed by Ranbaxy which the PTAB subsequently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183" w:name="page184"/>
    <w:bookmarkEnd w:id="183"/>
    <w:p>
      <w:pPr>
        <w:ind w:right="20" w:firstLine="405"/>
        <w:spacing w:after="0" w:line="307" w:lineRule="auto"/>
        <w:rPr>
          <w:sz w:val="20"/>
          <w:szCs w:val="20"/>
          <w:color w:val="auto"/>
        </w:rPr>
      </w:pPr>
      <w:r>
        <w:rPr>
          <w:rFonts w:ascii="Arial" w:cs="Arial" w:eastAsia="Arial" w:hAnsi="Arial"/>
          <w:sz w:val="18"/>
          <w:szCs w:val="18"/>
          <w:color w:val="auto"/>
        </w:rPr>
        <w:t>In December 2015, Wockhardt filed a petition for IPR with respect to the validity of one of the U.S. Borrower’s patents covering the formulation of Xyrem. In April 2016, following settlement of the U.S. Borrower’s patent litigation against Wockhardt, the U.S. Borrower and Wockhardt filed a joint motion to terminate the IPR petitions filed or joined by Wockhardt which the PTAB subsequently granted.</w:t>
      </w:r>
    </w:p>
    <w:p>
      <w:pPr>
        <w:spacing w:after="0" w:line="16"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20"/>
          <w:szCs w:val="20"/>
          <w:color w:val="auto"/>
        </w:rPr>
        <w:t>The U.S. Borrower cannot predict whether additional post-grant patent review challenges will be filed by any of the ANDA filers or any other entity, the outcome of any IPR or other proceeding, whether the PTAB will institute any petitioned IPR proceeding that has not yet been instituted, or the impact any IPR or other proceeding might have on ongoing ANDA litigation proceedings or other aspects of the U.S. Borrower’s Xyrem business.</w:t>
      </w:r>
    </w:p>
    <w:p>
      <w:pPr>
        <w:spacing w:after="0" w:line="84"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20"/>
          <w:szCs w:val="20"/>
          <w:color w:val="auto"/>
        </w:rPr>
        <w:t>From time to time Parent and its Subsidiaries are involved in legal proceedings arising in the ordinary course of business. Parent and its Subsidiaries believe there is no other litigation pending that could have, individually or in the aggregate, a material adverse effect on Parent’s and its Subsidiaries’ consolidated results of operations or financial condition.</w:t>
      </w:r>
    </w:p>
    <w:p>
      <w:pPr>
        <w:spacing w:after="0" w:line="78" w:lineRule="exact"/>
        <w:rPr>
          <w:sz w:val="20"/>
          <w:szCs w:val="20"/>
          <w:color w:val="auto"/>
        </w:rPr>
      </w:pPr>
    </w:p>
    <w:p>
      <w:pPr>
        <w:ind w:firstLine="432"/>
        <w:spacing w:after="0" w:line="257" w:lineRule="auto"/>
        <w:rPr>
          <w:sz w:val="20"/>
          <w:szCs w:val="20"/>
          <w:color w:val="auto"/>
        </w:rPr>
      </w:pPr>
      <w:r>
        <w:rPr>
          <w:rFonts w:ascii="Arial" w:cs="Arial" w:eastAsia="Arial" w:hAnsi="Arial"/>
          <w:sz w:val="20"/>
          <w:szCs w:val="20"/>
          <w:i w:val="1"/>
          <w:iCs w:val="1"/>
          <w:color w:val="auto"/>
        </w:rPr>
        <w:t xml:space="preserve">Other Matters. </w:t>
      </w:r>
      <w:r>
        <w:rPr>
          <w:rFonts w:ascii="Arial" w:cs="Arial" w:eastAsia="Arial" w:hAnsi="Arial"/>
          <w:sz w:val="20"/>
          <w:szCs w:val="20"/>
          <w:color w:val="auto"/>
        </w:rPr>
        <w:t>In May 2016, the U.S. Borrower received a subpoena from the U.S. Attorney’s Office for the District of Massachusetts</w:t>
      </w:r>
      <w:r>
        <w:rPr>
          <w:rFonts w:ascii="Arial" w:cs="Arial" w:eastAsia="Arial" w:hAnsi="Arial"/>
          <w:sz w:val="20"/>
          <w:szCs w:val="20"/>
          <w:i w:val="1"/>
          <w:iCs w:val="1"/>
          <w:color w:val="auto"/>
        </w:rPr>
        <w:t xml:space="preserve"> </w:t>
      </w:r>
      <w:r>
        <w:rPr>
          <w:rFonts w:ascii="Arial" w:cs="Arial" w:eastAsia="Arial" w:hAnsi="Arial"/>
          <w:sz w:val="20"/>
          <w:szCs w:val="20"/>
          <w:color w:val="auto"/>
        </w:rPr>
        <w:t>requesting documents related to the U.S. Borrower’s support of 501(c)(3) organizations that provide financial assistance to Medicare patients, and, for Xyrem, documents concerning the U.S. Borrower’s provision of financial assistance to Medicare patients. Other companies have disclosed similar inquiries. The U.S. Borrower is cooperating with this subpoena. The U.S. Borrower is unable to predict how long this investigation will continue or its outcome, but the U.S. Borrower expect that the U.S. Borrower will incur significant costs in connection with the investigation, regardless of the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40"/>
          </w:cols>
          <w:pgMar w:left="240" w:top="460" w:right="419" w:bottom="1440" w:gutter="0" w:footer="0" w:header="0"/>
        </w:sectPr>
      </w:pPr>
    </w:p>
    <w:bookmarkStart w:id="184" w:name="page185"/>
    <w:bookmarkEnd w:id="184"/>
    <w:p>
      <w:pPr>
        <w:jc w:val="right"/>
        <w:spacing w:after="0"/>
        <w:rPr>
          <w:sz w:val="20"/>
          <w:szCs w:val="20"/>
          <w:color w:val="auto"/>
        </w:rPr>
      </w:pPr>
      <w:r>
        <w:rPr>
          <w:rFonts w:ascii="Arial" w:cs="Arial" w:eastAsia="Arial" w:hAnsi="Arial"/>
          <w:sz w:val="20"/>
          <w:szCs w:val="20"/>
          <w:color w:val="auto"/>
        </w:rPr>
        <w:t>SCHEDULE IV</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Schedule 5.10(a)</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Taxes</w:t>
      </w:r>
    </w:p>
    <w:p>
      <w:pPr>
        <w:spacing w:after="0" w:line="235" w:lineRule="exact"/>
        <w:rPr>
          <w:sz w:val="20"/>
          <w:szCs w:val="20"/>
          <w:color w:val="auto"/>
        </w:rPr>
      </w:pPr>
    </w:p>
    <w:p>
      <w:pPr>
        <w:ind w:right="120" w:firstLine="648"/>
        <w:spacing w:after="0" w:line="243" w:lineRule="auto"/>
        <w:rPr>
          <w:sz w:val="20"/>
          <w:szCs w:val="20"/>
          <w:color w:val="auto"/>
        </w:rPr>
      </w:pPr>
      <w:r>
        <w:rPr>
          <w:rFonts w:ascii="Arial" w:cs="Arial" w:eastAsia="Arial" w:hAnsi="Arial"/>
          <w:sz w:val="20"/>
          <w:szCs w:val="20"/>
          <w:color w:val="auto"/>
        </w:rPr>
        <w:t>Certain of Parent’s Subsidiaries are currently under examination by the French tax authorities for fiscal years 2012 and 2013. These examinations may lead to ordinary course adjustments or proposed adjustments to Parent’s taxes. In December 2015, Jazz Pharmaceuticals France SAS received proposed tax assessment notices from the French tax authorities for 2012 and 2013 relating to certain transfer pricing adjustments. The notices propose additional French tax of approximately $43.3 million, including interest and penalties through the date of the assessment, translated at the foreign exchange rate at March 31, 2016. Parent disagrees with the proposed assessment and intends to contest it vigorously.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0"/>
          <w:szCs w:val="20"/>
          <w:color w:val="auto"/>
        </w:rPr>
        <w:t>SCHEDULE V</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Ireland Collateral Documents</w:t>
      </w:r>
    </w:p>
    <w:p>
      <w:pPr>
        <w:spacing w:after="0" w:line="235" w:lineRule="exact"/>
        <w:rPr>
          <w:sz w:val="20"/>
          <w:szCs w:val="20"/>
          <w:color w:val="auto"/>
        </w:rPr>
      </w:pPr>
    </w:p>
    <w:p>
      <w:pPr>
        <w:jc w:val="both"/>
        <w:ind w:left="660" w:right="380" w:hanging="328"/>
        <w:spacing w:after="0" w:line="245" w:lineRule="auto"/>
        <w:tabs>
          <w:tab w:leader="none" w:pos="66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Deed of Confirmation in respect of the Irish Debenture, as supplemented by Supplemental Deeds dated 25 November 2015 and 17 February 2016 (the “</w:t>
      </w:r>
      <w:r>
        <w:rPr>
          <w:rFonts w:ascii="Arial" w:cs="Arial" w:eastAsia="Arial" w:hAnsi="Arial"/>
          <w:sz w:val="20"/>
          <w:szCs w:val="20"/>
          <w:u w:val="single" w:color="auto"/>
          <w:color w:val="auto"/>
        </w:rPr>
        <w:t>Debenture</w:t>
      </w:r>
      <w:r>
        <w:rPr>
          <w:rFonts w:ascii="Arial" w:cs="Arial" w:eastAsia="Arial" w:hAnsi="Arial"/>
          <w:sz w:val="20"/>
          <w:szCs w:val="20"/>
          <w:color w:val="auto"/>
        </w:rPr>
        <w:t>”), dated 12 July 2016, between the Irish Borrowers, Parent, Jazz Capital Limited, Jazz Financing II Limited and the Collateral Agent</w:t>
      </w:r>
    </w:p>
    <w:p>
      <w:pPr>
        <w:ind w:left="660" w:right="240" w:hanging="328"/>
        <w:spacing w:after="0" w:line="299" w:lineRule="auto"/>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Supplemental Deed (with respect to the shares of Jazz Capital Limited in Jazz Pharmaceuticals Ireland Limited), dated 12 July 2016, between the Irish Borrowers, Parent, Jazz Capital Limited, Jazz Financing II Limited and the Collateral Agent, to the Debenture</w:t>
      </w:r>
    </w:p>
    <w:p>
      <w:pPr>
        <w:ind w:left="660" w:hanging="328"/>
        <w:spacing w:after="0" w:line="239" w:lineRule="auto"/>
        <w:tabs>
          <w:tab w:leader="none" w:pos="66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Supplemental Deed and Deed of Confirmation (with respect to the shares of Jazz Investments II Limited in Jazz Capital Limited), dated 12 July 2016, between Jazz Investments II Limited and the Collateral Agent, to a Deed of Charge over Shares, dated 18 June 2015, between Jazz Investments II Limited (with respect to shares of Jazz Investments II Limited in Jazz Capital Limited and Jazz Financing I Limited)</w:t>
      </w:r>
    </w:p>
    <w:p>
      <w:pPr>
        <w:spacing w:after="0" w:line="2" w:lineRule="exact"/>
        <w:rPr>
          <w:rFonts w:ascii="Arial" w:cs="Arial" w:eastAsia="Arial" w:hAnsi="Arial"/>
          <w:sz w:val="20"/>
          <w:szCs w:val="20"/>
          <w:color w:val="auto"/>
        </w:rPr>
      </w:pPr>
    </w:p>
    <w:p>
      <w:pPr>
        <w:ind w:left="660" w:right="240" w:hanging="328"/>
        <w:spacing w:after="0" w:line="244" w:lineRule="auto"/>
        <w:tabs>
          <w:tab w:leader="none" w:pos="66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Deed of Confirmation in respect of the Deed of Charge over Shares, dated 18 June 2015, between Jazz Financing Lux S.à r.l. and the Collateral Agent (with respect to the shares of Jazz Financing Lux S.à r.l. in Jazz Financing II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186" w:name="page187"/>
    <w:bookmarkEnd w:id="186"/>
    <w:p>
      <w:pPr>
        <w:ind w:left="10120"/>
        <w:spacing w:after="0"/>
        <w:rPr>
          <w:sz w:val="20"/>
          <w:szCs w:val="20"/>
          <w:color w:val="auto"/>
        </w:rPr>
      </w:pPr>
      <w:r>
        <w:rPr>
          <w:rFonts w:ascii="Arial" w:cs="Arial" w:eastAsia="Arial" w:hAnsi="Arial"/>
          <w:sz w:val="19"/>
          <w:szCs w:val="19"/>
          <w:color w:val="auto"/>
        </w:rPr>
        <w:t>SCHEDULE VI</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Post-Closing Collateral Matters</w:t>
      </w:r>
    </w:p>
    <w:p>
      <w:pPr>
        <w:spacing w:after="0" w:line="200" w:lineRule="exact"/>
        <w:rPr>
          <w:sz w:val="20"/>
          <w:szCs w:val="20"/>
          <w:color w:val="auto"/>
        </w:rPr>
      </w:pPr>
    </w:p>
    <w:p>
      <w:pPr>
        <w:spacing w:after="0" w:line="397"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940" w:type="dxa"/>
            <w:vAlign w:val="bottom"/>
            <w:tcBorders>
              <w:top w:val="single" w:sz="8" w:color="auto"/>
              <w:left w:val="single" w:sz="8" w:color="auto"/>
              <w:right w:val="single" w:sz="8" w:color="auto"/>
            </w:tcBorders>
          </w:tcPr>
          <w:p>
            <w:pPr>
              <w:spacing w:after="0"/>
              <w:rPr>
                <w:sz w:val="21"/>
                <w:szCs w:val="21"/>
                <w:color w:val="auto"/>
              </w:rPr>
            </w:pPr>
          </w:p>
        </w:tc>
        <w:tc>
          <w:tcPr>
            <w:tcW w:w="8680" w:type="dxa"/>
            <w:vAlign w:val="bottom"/>
            <w:tcBorders>
              <w:top w:val="single" w:sz="8" w:color="auto"/>
              <w:right w:val="single" w:sz="8" w:color="auto"/>
            </w:tcBorders>
          </w:tcPr>
          <w:p>
            <w:pPr>
              <w:spacing w:after="0"/>
              <w:rPr>
                <w:sz w:val="21"/>
                <w:szCs w:val="21"/>
                <w:color w:val="auto"/>
              </w:rPr>
            </w:pPr>
          </w:p>
        </w:tc>
        <w:tc>
          <w:tcPr>
            <w:tcW w:w="1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Time Limit (or, in</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w w:val="87"/>
              </w:rPr>
              <w:t>each case, such later</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Item</w:t>
            </w:r>
          </w:p>
        </w:tc>
        <w:tc>
          <w:tcPr>
            <w:tcW w:w="868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b w:val="1"/>
                <w:bCs w:val="1"/>
                <w:color w:val="auto"/>
              </w:rPr>
              <w:t>Requirement</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w w:val="90"/>
              </w:rPr>
              <w:t>time as agreed to by</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vMerge w:val="continue"/>
          </w:tcPr>
          <w:p>
            <w:pPr>
              <w:spacing w:after="0"/>
              <w:rPr>
                <w:sz w:val="11"/>
                <w:szCs w:val="11"/>
                <w:color w:val="auto"/>
              </w:rPr>
            </w:pPr>
          </w:p>
        </w:tc>
        <w:tc>
          <w:tcPr>
            <w:tcW w:w="8680" w:type="dxa"/>
            <w:vAlign w:val="bottom"/>
            <w:tcBorders>
              <w:right w:val="single" w:sz="8" w:color="auto"/>
            </w:tcBorders>
            <w:vMerge w:val="continue"/>
          </w:tcPr>
          <w:p>
            <w:pPr>
              <w:spacing w:after="0"/>
              <w:rPr>
                <w:sz w:val="11"/>
                <w:szCs w:val="11"/>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b w:val="1"/>
                <w:bCs w:val="1"/>
                <w:color w:val="auto"/>
              </w:rPr>
              <w:t>the Administrative</w:t>
            </w:r>
          </w:p>
        </w:tc>
        <w:tc>
          <w:tcPr>
            <w:tcW w:w="0" w:type="dxa"/>
            <w:vAlign w:val="bottom"/>
          </w:tcPr>
          <w:p>
            <w:pPr>
              <w:spacing w:after="0"/>
              <w:rPr>
                <w:sz w:val="1"/>
                <w:szCs w:val="1"/>
                <w:color w:val="auto"/>
              </w:rPr>
            </w:pPr>
          </w:p>
        </w:tc>
      </w:tr>
      <w:tr>
        <w:trPr>
          <w:trHeight w:val="95"/>
        </w:trPr>
        <w:tc>
          <w:tcPr>
            <w:tcW w:w="940" w:type="dxa"/>
            <w:vAlign w:val="bottom"/>
            <w:tcBorders>
              <w:left w:val="single" w:sz="8" w:color="auto"/>
              <w:right w:val="single" w:sz="8" w:color="auto"/>
            </w:tcBorders>
          </w:tcPr>
          <w:p>
            <w:pPr>
              <w:spacing w:after="0"/>
              <w:rPr>
                <w:sz w:val="8"/>
                <w:szCs w:val="8"/>
                <w:color w:val="auto"/>
              </w:rPr>
            </w:pPr>
          </w:p>
        </w:tc>
        <w:tc>
          <w:tcPr>
            <w:tcW w:w="868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Agent in its sole</w:t>
            </w:r>
          </w:p>
        </w:tc>
        <w:tc>
          <w:tcPr>
            <w:tcW w:w="0" w:type="dxa"/>
            <w:vAlign w:val="bottom"/>
          </w:tcPr>
          <w:p>
            <w:pPr>
              <w:spacing w:after="0"/>
              <w:rPr>
                <w:sz w:val="1"/>
                <w:szCs w:val="1"/>
                <w:color w:val="auto"/>
              </w:rPr>
            </w:pPr>
          </w:p>
        </w:tc>
      </w:tr>
      <w:tr>
        <w:trPr>
          <w:trHeight w:val="256"/>
        </w:trPr>
        <w:tc>
          <w:tcPr>
            <w:tcW w:w="940" w:type="dxa"/>
            <w:vAlign w:val="bottom"/>
            <w:tcBorders>
              <w:left w:val="single" w:sz="8" w:color="auto"/>
              <w:right w:val="single" w:sz="8" w:color="auto"/>
            </w:tcBorders>
          </w:tcPr>
          <w:p>
            <w:pPr>
              <w:spacing w:after="0"/>
              <w:rPr>
                <w:sz w:val="22"/>
                <w:szCs w:val="22"/>
                <w:color w:val="auto"/>
              </w:rPr>
            </w:pPr>
          </w:p>
        </w:tc>
        <w:tc>
          <w:tcPr>
            <w:tcW w:w="8680" w:type="dxa"/>
            <w:vAlign w:val="bottom"/>
            <w:tcBorders>
              <w:right w:val="single" w:sz="8" w:color="auto"/>
            </w:tcBorders>
          </w:tcPr>
          <w:p>
            <w:pPr>
              <w:spacing w:after="0"/>
              <w:rPr>
                <w:sz w:val="22"/>
                <w:szCs w:val="22"/>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discretion)</w:t>
            </w: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w:t>
            </w: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9"/>
              </w:rPr>
              <w:t>The Administrative Agent shall have received a second ranking financial securities account pledge</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90 days after the</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 xml:space="preserve">agreement executed between, </w:t>
            </w:r>
            <w:r>
              <w:rPr>
                <w:rFonts w:ascii="Arial" w:cs="Arial" w:eastAsia="Arial" w:hAnsi="Arial"/>
                <w:sz w:val="20"/>
                <w:szCs w:val="20"/>
                <w:i w:val="1"/>
                <w:iCs w:val="1"/>
                <w:color w:val="auto"/>
                <w:w w:val="92"/>
              </w:rPr>
              <w:t>inter alios</w:t>
            </w:r>
            <w:r>
              <w:rPr>
                <w:rFonts w:ascii="Arial" w:cs="Arial" w:eastAsia="Arial" w:hAnsi="Arial"/>
                <w:sz w:val="20"/>
                <w:szCs w:val="20"/>
                <w:color w:val="auto"/>
                <w:w w:val="92"/>
              </w:rPr>
              <w:t>, Jazz Pharmaceuticals Lux S.à r.l. as pledgor and the Collateral</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Amendment No. 1</w:t>
            </w:r>
          </w:p>
        </w:tc>
        <w:tc>
          <w:tcPr>
            <w:tcW w:w="0" w:type="dxa"/>
            <w:vAlign w:val="bottom"/>
          </w:tcPr>
          <w:p>
            <w:pPr>
              <w:spacing w:after="0"/>
              <w:rPr>
                <w:sz w:val="1"/>
                <w:szCs w:val="1"/>
                <w:color w:val="auto"/>
              </w:rPr>
            </w:pPr>
          </w:p>
        </w:tc>
      </w:tr>
      <w:tr>
        <w:trPr>
          <w:trHeight w:val="250"/>
        </w:trPr>
        <w:tc>
          <w:tcPr>
            <w:tcW w:w="94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Agent</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Effective Date</w:t>
            </w: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w:t>
            </w: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The Administrative Agent shall have received a statement of pledge relating to the second ranking financial</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90 days after the</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9"/>
              </w:rPr>
              <w:t>securities account pledge agreement executed between Jazz Pharmaceuticals Lux S.à r.l. as pledgor and the</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Amendment No. 1</w:t>
            </w:r>
          </w:p>
        </w:tc>
        <w:tc>
          <w:tcPr>
            <w:tcW w:w="0" w:type="dxa"/>
            <w:vAlign w:val="bottom"/>
          </w:tcPr>
          <w:p>
            <w:pPr>
              <w:spacing w:after="0"/>
              <w:rPr>
                <w:sz w:val="1"/>
                <w:szCs w:val="1"/>
                <w:color w:val="auto"/>
              </w:rPr>
            </w:pPr>
          </w:p>
        </w:tc>
      </w:tr>
      <w:tr>
        <w:trPr>
          <w:trHeight w:val="250"/>
        </w:trPr>
        <w:tc>
          <w:tcPr>
            <w:tcW w:w="94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Collateral Agent</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Effective Date</w:t>
            </w: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3.</w:t>
            </w: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The Administrative Agent shall have received a certificate of pledge over financial securities account</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90 days after the</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relating to the second ranking financial securities account pledge agreement executed by Jazz</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Amendment No. 1</w:t>
            </w:r>
          </w:p>
        </w:tc>
        <w:tc>
          <w:tcPr>
            <w:tcW w:w="0" w:type="dxa"/>
            <w:vAlign w:val="bottom"/>
          </w:tcPr>
          <w:p>
            <w:pPr>
              <w:spacing w:after="0"/>
              <w:rPr>
                <w:sz w:val="1"/>
                <w:szCs w:val="1"/>
                <w:color w:val="auto"/>
              </w:rPr>
            </w:pPr>
          </w:p>
        </w:tc>
      </w:tr>
      <w:tr>
        <w:trPr>
          <w:trHeight w:val="250"/>
        </w:trPr>
        <w:tc>
          <w:tcPr>
            <w:tcW w:w="94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Pharmaceuticals France Holdings</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Effective Date</w:t>
            </w: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4.</w:t>
            </w: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The Administrative Agent shall have received a certificate of pledge over special bank account relating to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90 days after the</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the second ranking financial securities account pledge agreement executed by the special bank account</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Amendment No. 1</w:t>
            </w:r>
          </w:p>
        </w:tc>
        <w:tc>
          <w:tcPr>
            <w:tcW w:w="0" w:type="dxa"/>
            <w:vAlign w:val="bottom"/>
          </w:tcPr>
          <w:p>
            <w:pPr>
              <w:spacing w:after="0"/>
              <w:rPr>
                <w:sz w:val="1"/>
                <w:szCs w:val="1"/>
                <w:color w:val="auto"/>
              </w:rPr>
            </w:pPr>
          </w:p>
        </w:tc>
      </w:tr>
      <w:tr>
        <w:trPr>
          <w:trHeight w:val="250"/>
        </w:trPr>
        <w:tc>
          <w:tcPr>
            <w:tcW w:w="94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holder</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Effective Date</w:t>
            </w: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5.</w:t>
            </w: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The Administrative Agent shall have received a favorable written opinion of Hogan Lovells (Paris) LLP,</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90 days after the</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French counsel to the Loan Parties, with respect to the documents listed in items 1 through 4 above.</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Amendment No. 1</w:t>
            </w:r>
          </w:p>
        </w:tc>
        <w:tc>
          <w:tcPr>
            <w:tcW w:w="0" w:type="dxa"/>
            <w:vAlign w:val="bottom"/>
          </w:tcPr>
          <w:p>
            <w:pPr>
              <w:spacing w:after="0"/>
              <w:rPr>
                <w:sz w:val="1"/>
                <w:szCs w:val="1"/>
                <w:color w:val="auto"/>
              </w:rPr>
            </w:pPr>
          </w:p>
        </w:tc>
      </w:tr>
      <w:tr>
        <w:trPr>
          <w:trHeight w:val="250"/>
        </w:trPr>
        <w:tc>
          <w:tcPr>
            <w:tcW w:w="94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Effective Date</w:t>
            </w: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6.</w:t>
            </w: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The Administrative Agent shall have received the following documents in respect of Jazz Pharmaceuticals</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90 days after the</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France Holdings:</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Amendment No. 1</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   a certified copy of its by-laws (</w:t>
            </w:r>
            <w:r>
              <w:rPr>
                <w:rFonts w:ascii="Arial" w:cs="Arial" w:eastAsia="Arial" w:hAnsi="Arial"/>
                <w:sz w:val="20"/>
                <w:szCs w:val="20"/>
                <w:i w:val="1"/>
                <w:iCs w:val="1"/>
                <w:color w:val="auto"/>
              </w:rPr>
              <w:t>statuts</w:t>
            </w:r>
            <w:r>
              <w:rPr>
                <w:rFonts w:ascii="Arial" w:cs="Arial" w:eastAsia="Arial" w:hAnsi="Arial"/>
                <w:sz w:val="20"/>
                <w:szCs w:val="20"/>
                <w:color w:val="auto"/>
              </w:rPr>
              <w:t>);</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Effective Date</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w w:val="94"/>
              </w:rPr>
              <w:t xml:space="preserve">-   an original </w:t>
            </w:r>
            <w:r>
              <w:rPr>
                <w:rFonts w:ascii="Arial" w:cs="Arial" w:eastAsia="Arial" w:hAnsi="Arial"/>
                <w:sz w:val="20"/>
                <w:szCs w:val="20"/>
                <w:i w:val="1"/>
                <w:iCs w:val="1"/>
                <w:color w:val="auto"/>
                <w:w w:val="94"/>
              </w:rPr>
              <w:t>k-bis</w:t>
            </w:r>
            <w:r>
              <w:rPr>
                <w:rFonts w:ascii="Arial" w:cs="Arial" w:eastAsia="Arial" w:hAnsi="Arial"/>
                <w:sz w:val="20"/>
                <w:szCs w:val="20"/>
                <w:color w:val="auto"/>
                <w:w w:val="94"/>
              </w:rPr>
              <w:t xml:space="preserve"> extract and an original solvency certificate (</w:t>
            </w:r>
            <w:r>
              <w:rPr>
                <w:rFonts w:ascii="Arial" w:cs="Arial" w:eastAsia="Arial" w:hAnsi="Arial"/>
                <w:sz w:val="20"/>
                <w:szCs w:val="20"/>
                <w:i w:val="1"/>
                <w:iCs w:val="1"/>
                <w:color w:val="auto"/>
                <w:w w:val="94"/>
              </w:rPr>
              <w:t>certificat de non faillite</w:t>
            </w:r>
            <w:r>
              <w:rPr>
                <w:rFonts w:ascii="Arial" w:cs="Arial" w:eastAsia="Arial" w:hAnsi="Arial"/>
                <w:sz w:val="20"/>
                <w:szCs w:val="20"/>
                <w:color w:val="auto"/>
                <w:w w:val="94"/>
              </w:rPr>
              <w:t>) issued by the</w:t>
            </w:r>
          </w:p>
        </w:tc>
        <w:tc>
          <w:tcPr>
            <w:tcW w:w="1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tcPr>
          <w:p>
            <w:pPr>
              <w:ind w:left="680"/>
              <w:spacing w:after="0"/>
              <w:rPr>
                <w:sz w:val="20"/>
                <w:szCs w:val="20"/>
                <w:color w:val="auto"/>
              </w:rPr>
            </w:pPr>
            <w:r>
              <w:rPr>
                <w:rFonts w:ascii="Arial" w:cs="Arial" w:eastAsia="Arial" w:hAnsi="Arial"/>
                <w:sz w:val="20"/>
                <w:szCs w:val="20"/>
                <w:color w:val="auto"/>
                <w:w w:val="90"/>
              </w:rPr>
              <w:t>relevant trade and companies registry (</w:t>
            </w:r>
            <w:r>
              <w:rPr>
                <w:rFonts w:ascii="Arial" w:cs="Arial" w:eastAsia="Arial" w:hAnsi="Arial"/>
                <w:sz w:val="20"/>
                <w:szCs w:val="20"/>
                <w:i w:val="1"/>
                <w:iCs w:val="1"/>
                <w:color w:val="auto"/>
                <w:w w:val="90"/>
              </w:rPr>
              <w:t>registre du commerce et des sociétés</w:t>
            </w:r>
            <w:r>
              <w:rPr>
                <w:rFonts w:ascii="Arial" w:cs="Arial" w:eastAsia="Arial" w:hAnsi="Arial"/>
                <w:sz w:val="20"/>
                <w:szCs w:val="20"/>
                <w:color w:val="auto"/>
                <w:w w:val="90"/>
              </w:rPr>
              <w:t>), each dated not more</w:t>
            </w:r>
          </w:p>
        </w:tc>
        <w:tc>
          <w:tcPr>
            <w:tcW w:w="1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tcPr>
          <w:p>
            <w:pPr>
              <w:ind w:left="680"/>
              <w:spacing w:after="0"/>
              <w:rPr>
                <w:sz w:val="20"/>
                <w:szCs w:val="20"/>
                <w:color w:val="auto"/>
              </w:rPr>
            </w:pPr>
            <w:r>
              <w:rPr>
                <w:rFonts w:ascii="Arial" w:cs="Arial" w:eastAsia="Arial" w:hAnsi="Arial"/>
                <w:sz w:val="20"/>
                <w:szCs w:val="20"/>
                <w:color w:val="auto"/>
                <w:w w:val="92"/>
              </w:rPr>
              <w:t>that 30 days before the date of the second ranking financial securities account pledge agreement;</w:t>
            </w:r>
          </w:p>
        </w:tc>
        <w:tc>
          <w:tcPr>
            <w:tcW w:w="1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tcPr>
          <w:p>
            <w:pPr>
              <w:ind w:left="680"/>
              <w:spacing w:after="0"/>
              <w:rPr>
                <w:sz w:val="20"/>
                <w:szCs w:val="20"/>
                <w:color w:val="auto"/>
              </w:rPr>
            </w:pPr>
            <w:r>
              <w:rPr>
                <w:rFonts w:ascii="Arial" w:cs="Arial" w:eastAsia="Arial" w:hAnsi="Arial"/>
                <w:sz w:val="20"/>
                <w:szCs w:val="20"/>
                <w:color w:val="auto"/>
              </w:rPr>
              <w:t>and</w:t>
            </w:r>
          </w:p>
        </w:tc>
        <w:tc>
          <w:tcPr>
            <w:tcW w:w="1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w w:val="98"/>
              </w:rPr>
              <w:t>-   a certified copy of its updated share transfer register (</w:t>
            </w:r>
            <w:r>
              <w:rPr>
                <w:rFonts w:ascii="Arial" w:cs="Arial" w:eastAsia="Arial" w:hAnsi="Arial"/>
                <w:sz w:val="20"/>
                <w:szCs w:val="20"/>
                <w:i w:val="1"/>
                <w:iCs w:val="1"/>
                <w:color w:val="auto"/>
                <w:w w:val="98"/>
              </w:rPr>
              <w:t>registre des mouvements de titres</w:t>
            </w:r>
            <w:r>
              <w:rPr>
                <w:rFonts w:ascii="Arial" w:cs="Arial" w:eastAsia="Arial" w:hAnsi="Arial"/>
                <w:sz w:val="20"/>
                <w:szCs w:val="20"/>
                <w:color w:val="auto"/>
                <w:w w:val="98"/>
              </w:rPr>
              <w:t>) and</w:t>
            </w:r>
          </w:p>
        </w:tc>
        <w:tc>
          <w:tcPr>
            <w:tcW w:w="1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40" w:type="dxa"/>
            <w:vAlign w:val="bottom"/>
            <w:tcBorders>
              <w:left w:val="single" w:sz="8" w:color="auto"/>
              <w:right w:val="single" w:sz="8" w:color="auto"/>
            </w:tcBorders>
          </w:tcPr>
          <w:p>
            <w:pPr>
              <w:spacing w:after="0"/>
              <w:rPr>
                <w:sz w:val="21"/>
                <w:szCs w:val="21"/>
                <w:color w:val="auto"/>
              </w:rPr>
            </w:pPr>
          </w:p>
        </w:tc>
        <w:tc>
          <w:tcPr>
            <w:tcW w:w="8680" w:type="dxa"/>
            <w:vAlign w:val="bottom"/>
            <w:tcBorders>
              <w:right w:val="single" w:sz="8" w:color="auto"/>
            </w:tcBorders>
          </w:tcPr>
          <w:p>
            <w:pPr>
              <w:ind w:left="680"/>
              <w:spacing w:after="0"/>
              <w:rPr>
                <w:sz w:val="20"/>
                <w:szCs w:val="20"/>
                <w:color w:val="auto"/>
              </w:rPr>
            </w:pPr>
            <w:r>
              <w:rPr>
                <w:rFonts w:ascii="Arial" w:cs="Arial" w:eastAsia="Arial" w:hAnsi="Arial"/>
                <w:sz w:val="20"/>
                <w:szCs w:val="20"/>
                <w:color w:val="auto"/>
              </w:rPr>
              <w:t>shareholder accounts (</w:t>
            </w:r>
            <w:r>
              <w:rPr>
                <w:rFonts w:ascii="Arial" w:cs="Arial" w:eastAsia="Arial" w:hAnsi="Arial"/>
                <w:sz w:val="20"/>
                <w:szCs w:val="20"/>
                <w:i w:val="1"/>
                <w:iCs w:val="1"/>
                <w:color w:val="auto"/>
              </w:rPr>
              <w:t>comptes d’actionnaires</w:t>
            </w:r>
            <w:r>
              <w:rPr>
                <w:rFonts w:ascii="Arial" w:cs="Arial" w:eastAsia="Arial" w:hAnsi="Arial"/>
                <w:sz w:val="20"/>
                <w:szCs w:val="20"/>
                <w:color w:val="auto"/>
              </w:rPr>
              <w:t>).</w:t>
            </w:r>
          </w:p>
        </w:tc>
        <w:tc>
          <w:tcPr>
            <w:tcW w:w="1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940" w:type="dxa"/>
            <w:vAlign w:val="bottom"/>
            <w:tcBorders>
              <w:bottom w:val="single" w:sz="8" w:color="9A9A9A"/>
            </w:tcBorders>
          </w:tcPr>
          <w:p>
            <w:pPr>
              <w:spacing w:after="0"/>
              <w:rPr>
                <w:sz w:val="24"/>
                <w:szCs w:val="24"/>
                <w:color w:val="auto"/>
              </w:rPr>
            </w:pPr>
          </w:p>
        </w:tc>
        <w:tc>
          <w:tcPr>
            <w:tcW w:w="86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6" w:right="219" w:bottom="1440" w:gutter="0" w:footer="0" w:header="0"/>
        </w:sectPr>
      </w:pPr>
    </w:p>
    <w:bookmarkStart w:id="187" w:name="page188"/>
    <w:bookmarkEnd w:id="187"/>
    <w:p>
      <w:pPr>
        <w:jc w:val="right"/>
        <w:spacing w:after="0"/>
        <w:rPr>
          <w:sz w:val="20"/>
          <w:szCs w:val="20"/>
          <w:color w:val="auto"/>
        </w:rPr>
      </w:pPr>
      <w:r>
        <w:rPr>
          <w:rFonts w:ascii="Arial" w:cs="Arial" w:eastAsia="Arial" w:hAnsi="Arial"/>
          <w:sz w:val="20"/>
          <w:szCs w:val="20"/>
          <w:b w:val="1"/>
          <w:bCs w:val="1"/>
          <w:color w:val="auto"/>
        </w:rPr>
        <w:t>EXHIBIT A</w:t>
      </w:r>
    </w:p>
    <w:p>
      <w:pPr>
        <w:spacing w:after="0" w:line="23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220980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0"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20"/>
          <w:szCs w:val="20"/>
          <w:b w:val="1"/>
          <w:bCs w:val="1"/>
          <w:color w:val="auto"/>
        </w:rPr>
        <w:t>EXHIBIT A TO AMENDMENT NO. 1</w:t>
      </w:r>
    </w:p>
    <w:p>
      <w:pPr>
        <w:spacing w:after="0" w:line="230"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MARKED VERSION REFLECTING CHANGES</w:t>
      </w:r>
    </w:p>
    <w:p>
      <w:pPr>
        <w:spacing w:after="0" w:line="21"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PURSUANT TO AMENDMENT NO. 1</w:t>
      </w:r>
    </w:p>
    <w:p>
      <w:pPr>
        <w:ind w:left="2700"/>
        <w:spacing w:after="0"/>
        <w:rPr>
          <w:sz w:val="20"/>
          <w:szCs w:val="20"/>
          <w:color w:val="auto"/>
        </w:rPr>
      </w:pPr>
      <w:r>
        <w:rPr>
          <w:rFonts w:ascii="Arial" w:cs="Arial" w:eastAsia="Arial" w:hAnsi="Arial"/>
          <w:sz w:val="20"/>
          <w:szCs w:val="20"/>
          <w:b w:val="1"/>
          <w:bCs w:val="1"/>
          <w:color w:val="auto"/>
        </w:rPr>
        <w:t xml:space="preserve">ADDED TEXT SHOWN </w:t>
      </w:r>
      <w:r>
        <w:rPr>
          <w:rFonts w:ascii="Arial" w:cs="Arial" w:eastAsia="Arial" w:hAnsi="Arial"/>
          <w:sz w:val="20"/>
          <w:szCs w:val="20"/>
          <w:b w:val="1"/>
          <w:bCs w:val="1"/>
          <w:u w:val="single" w:color="auto"/>
          <w:color w:val="0000FF"/>
        </w:rPr>
        <w:t>UNDERSCORED</w:t>
      </w:r>
    </w:p>
    <w:p>
      <w:pPr>
        <w:ind w:left="2700"/>
        <w:spacing w:after="0"/>
        <w:rPr>
          <w:sz w:val="20"/>
          <w:szCs w:val="20"/>
          <w:color w:val="auto"/>
        </w:rPr>
      </w:pPr>
      <w:r>
        <w:rPr>
          <w:rFonts w:ascii="Arial" w:cs="Arial" w:eastAsia="Arial" w:hAnsi="Arial"/>
          <w:sz w:val="20"/>
          <w:szCs w:val="20"/>
          <w:b w:val="1"/>
          <w:bCs w:val="1"/>
          <w:color w:val="auto"/>
        </w:rPr>
        <w:t xml:space="preserve">DELETED TEXT SHOWN </w:t>
      </w:r>
      <w:r>
        <w:rPr>
          <w:rFonts w:ascii="Arial" w:cs="Arial" w:eastAsia="Arial" w:hAnsi="Arial"/>
          <w:sz w:val="20"/>
          <w:szCs w:val="20"/>
          <w:b w:val="1"/>
          <w:bCs w:val="1"/>
          <w:color w:val="FF0000"/>
          <w:strike w:val="1"/>
        </w:rPr>
        <w:t>STRIKETHROUGH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347980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color w:val="FF0000"/>
          <w:strike w:val="1"/>
        </w:rPr>
        <w:t>1,500,000,000</w:t>
      </w:r>
      <w:r>
        <w:rPr>
          <w:rFonts w:ascii="Arial" w:cs="Arial" w:eastAsia="Arial" w:hAnsi="Arial"/>
          <w:sz w:val="20"/>
          <w:szCs w:val="20"/>
          <w:b w:val="1"/>
          <w:bCs w:val="1"/>
          <w:u w:val="single" w:color="auto"/>
          <w:color w:val="0000FF"/>
        </w:rPr>
        <w:t>1,971,875,000</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CREDIT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as of June 18, 2015,</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0000FF"/>
        </w:rPr>
        <w:t>as amended by Amendment No. 1 dated as of July 12, 2016,</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among</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JAZZ PHARMACEUTICALS PUBLIC LIMITED COMPANY,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as Parent,</w:t>
      </w:r>
    </w:p>
    <w:p>
      <w:pPr>
        <w:jc w:val="center"/>
        <w:ind w:right="39"/>
        <w:spacing w:after="0"/>
        <w:rPr>
          <w:sz w:val="20"/>
          <w:szCs w:val="20"/>
          <w:color w:val="auto"/>
        </w:rPr>
      </w:pPr>
      <w:r>
        <w:rPr>
          <w:rFonts w:ascii="Arial" w:cs="Arial" w:eastAsia="Arial" w:hAnsi="Arial"/>
          <w:sz w:val="20"/>
          <w:szCs w:val="20"/>
          <w:b w:val="1"/>
          <w:bCs w:val="1"/>
          <w:color w:val="auto"/>
        </w:rPr>
        <w:t>JAZZ SECURITIES LIMITED,</w:t>
      </w:r>
    </w:p>
    <w:p>
      <w:pPr>
        <w:jc w:val="center"/>
        <w:ind w:right="39"/>
        <w:spacing w:after="0"/>
        <w:rPr>
          <w:sz w:val="20"/>
          <w:szCs w:val="20"/>
          <w:color w:val="auto"/>
        </w:rPr>
      </w:pPr>
      <w:r>
        <w:rPr>
          <w:rFonts w:ascii="Arial" w:cs="Arial" w:eastAsia="Arial" w:hAnsi="Arial"/>
          <w:sz w:val="20"/>
          <w:szCs w:val="20"/>
          <w:b w:val="1"/>
          <w:bCs w:val="1"/>
          <w:color w:val="auto"/>
        </w:rPr>
        <w:t>as Lead Borrower,</w:t>
      </w:r>
    </w:p>
    <w:p>
      <w:pPr>
        <w:jc w:val="center"/>
        <w:ind w:right="39"/>
        <w:spacing w:after="0"/>
        <w:rPr>
          <w:sz w:val="20"/>
          <w:szCs w:val="20"/>
          <w:color w:val="auto"/>
        </w:rPr>
      </w:pPr>
      <w:r>
        <w:rPr>
          <w:rFonts w:ascii="Arial" w:cs="Arial" w:eastAsia="Arial" w:hAnsi="Arial"/>
          <w:sz w:val="20"/>
          <w:szCs w:val="20"/>
          <w:b w:val="1"/>
          <w:bCs w:val="1"/>
          <w:color w:val="auto"/>
        </w:rPr>
        <w:t>JAZZ PHARMACEUTICALS, INC.,</w:t>
      </w:r>
    </w:p>
    <w:p>
      <w:pPr>
        <w:jc w:val="center"/>
        <w:ind w:right="39"/>
        <w:spacing w:after="0"/>
        <w:rPr>
          <w:sz w:val="20"/>
          <w:szCs w:val="20"/>
          <w:color w:val="auto"/>
        </w:rPr>
      </w:pPr>
      <w:r>
        <w:rPr>
          <w:rFonts w:ascii="Arial" w:cs="Arial" w:eastAsia="Arial" w:hAnsi="Arial"/>
          <w:sz w:val="20"/>
          <w:szCs w:val="20"/>
          <w:b w:val="1"/>
          <w:bCs w:val="1"/>
          <w:color w:val="auto"/>
        </w:rPr>
        <w:t>as U.S. Borrower,</w:t>
      </w:r>
    </w:p>
    <w:p>
      <w:pPr>
        <w:jc w:val="center"/>
        <w:ind w:right="39"/>
        <w:spacing w:after="0"/>
        <w:rPr>
          <w:sz w:val="20"/>
          <w:szCs w:val="20"/>
          <w:color w:val="auto"/>
        </w:rPr>
      </w:pPr>
      <w:r>
        <w:rPr>
          <w:rFonts w:ascii="Arial" w:cs="Arial" w:eastAsia="Arial" w:hAnsi="Arial"/>
          <w:sz w:val="20"/>
          <w:szCs w:val="20"/>
          <w:b w:val="1"/>
          <w:bCs w:val="1"/>
          <w:color w:val="auto"/>
        </w:rPr>
        <w:t>JAZZ PHARMACEUTICALS IRELAND LIMITED,</w:t>
      </w:r>
    </w:p>
    <w:p>
      <w:pPr>
        <w:jc w:val="center"/>
        <w:ind w:right="39"/>
        <w:spacing w:after="0"/>
        <w:rPr>
          <w:sz w:val="20"/>
          <w:szCs w:val="20"/>
          <w:color w:val="auto"/>
        </w:rPr>
      </w:pPr>
      <w:r>
        <w:rPr>
          <w:rFonts w:ascii="Arial" w:cs="Arial" w:eastAsia="Arial" w:hAnsi="Arial"/>
          <w:sz w:val="20"/>
          <w:szCs w:val="20"/>
          <w:b w:val="1"/>
          <w:bCs w:val="1"/>
          <w:color w:val="auto"/>
        </w:rPr>
        <w:t>as an Irish Borrower,</w:t>
      </w:r>
    </w:p>
    <w:p>
      <w:pPr>
        <w:jc w:val="center"/>
        <w:ind w:right="39"/>
        <w:spacing w:after="0"/>
        <w:rPr>
          <w:sz w:val="20"/>
          <w:szCs w:val="20"/>
          <w:color w:val="auto"/>
        </w:rPr>
      </w:pPr>
      <w:r>
        <w:rPr>
          <w:rFonts w:ascii="Arial" w:cs="Arial" w:eastAsia="Arial" w:hAnsi="Arial"/>
          <w:sz w:val="20"/>
          <w:szCs w:val="20"/>
          <w:b w:val="1"/>
          <w:bCs w:val="1"/>
          <w:color w:val="auto"/>
        </w:rPr>
        <w:t>JAZZ FINANCING I LIMITED,</w:t>
      </w:r>
    </w:p>
    <w:p>
      <w:pPr>
        <w:jc w:val="center"/>
        <w:ind w:right="39"/>
        <w:spacing w:after="0"/>
        <w:rPr>
          <w:sz w:val="20"/>
          <w:szCs w:val="20"/>
          <w:color w:val="auto"/>
        </w:rPr>
      </w:pPr>
      <w:r>
        <w:rPr>
          <w:rFonts w:ascii="Arial" w:cs="Arial" w:eastAsia="Arial" w:hAnsi="Arial"/>
          <w:sz w:val="20"/>
          <w:szCs w:val="20"/>
          <w:b w:val="1"/>
          <w:bCs w:val="1"/>
          <w:color w:val="auto"/>
        </w:rPr>
        <w:t>as an Irish Borrower,</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THE LENDERS FROM TIME TO TIME PARTY HERETO,</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BANK OF AMERICA, N.A.,</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Administrative Agent, Collateral Agent, L/C Issuer and Swing Line Lender,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BARCLAYS BANK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CITIBANK, N.A.,</w:t>
      </w:r>
    </w:p>
    <w:p>
      <w:pPr>
        <w:jc w:val="center"/>
        <w:spacing w:after="0"/>
        <w:rPr>
          <w:sz w:val="20"/>
          <w:szCs w:val="20"/>
          <w:color w:val="auto"/>
        </w:rPr>
      </w:pPr>
      <w:r>
        <w:rPr>
          <w:rFonts w:ascii="Arial" w:cs="Arial" w:eastAsia="Arial" w:hAnsi="Arial"/>
          <w:sz w:val="20"/>
          <w:szCs w:val="20"/>
          <w:b w:val="1"/>
          <w:bCs w:val="1"/>
          <w:color w:val="auto"/>
        </w:rPr>
        <w:t>DNB (UK) LIMITED</w:t>
      </w:r>
      <w:r>
        <w:rPr>
          <w:rFonts w:ascii="Arial" w:cs="Arial" w:eastAsia="Arial" w:hAnsi="Arial"/>
          <w:sz w:val="20"/>
          <w:szCs w:val="20"/>
          <w:b w:val="1"/>
          <w:bCs w:val="1"/>
          <w:u w:val="single" w:color="auto"/>
          <w:color w:val="0000FF"/>
        </w:rPr>
        <w:t>,</w:t>
      </w:r>
    </w:p>
    <w:p>
      <w:pPr>
        <w:jc w:val="center"/>
        <w:spacing w:after="0"/>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b w:val="1"/>
          <w:bCs w:val="1"/>
          <w:color w:val="00C000"/>
          <w:strike w:val="1"/>
        </w:rPr>
        <w:t>,</w:t>
      </w:r>
    </w:p>
    <w:p>
      <w:pPr>
        <w:jc w:val="center"/>
        <w:ind w:right="39"/>
        <w:spacing w:after="0"/>
        <w:rPr>
          <w:sz w:val="20"/>
          <w:szCs w:val="20"/>
          <w:color w:val="auto"/>
        </w:rPr>
      </w:pPr>
      <w:r>
        <w:rPr>
          <w:rFonts w:ascii="Arial" w:cs="Arial" w:eastAsia="Arial" w:hAnsi="Arial"/>
          <w:sz w:val="20"/>
          <w:szCs w:val="20"/>
          <w:b w:val="1"/>
          <w:bCs w:val="1"/>
          <w:color w:val="auto"/>
        </w:rPr>
        <w:t>and ROYAL BANK OF CANADA,</w:t>
      </w:r>
    </w:p>
    <w:p>
      <w:pPr>
        <w:jc w:val="center"/>
        <w:ind w:right="39"/>
        <w:spacing w:after="0"/>
        <w:rPr>
          <w:sz w:val="20"/>
          <w:szCs w:val="20"/>
          <w:color w:val="auto"/>
        </w:rPr>
      </w:pPr>
      <w:r>
        <w:rPr>
          <w:rFonts w:ascii="Arial" w:cs="Arial" w:eastAsia="Arial" w:hAnsi="Arial"/>
          <w:sz w:val="20"/>
          <w:szCs w:val="20"/>
          <w:b w:val="1"/>
          <w:bCs w:val="1"/>
          <w:color w:val="auto"/>
        </w:rPr>
        <w:t>as Co-Syndication Agents,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CREDIT SUISSE AG, CAYMAN ISLANDS BRANCH</w:t>
      </w:r>
      <w:r>
        <w:rPr>
          <w:rFonts w:ascii="Arial" w:cs="Arial" w:eastAsia="Arial" w:hAnsi="Arial"/>
          <w:sz w:val="20"/>
          <w:szCs w:val="20"/>
          <w:b w:val="1"/>
          <w:bCs w:val="1"/>
          <w:u w:val="single" w:color="auto"/>
          <w:color w:val="0000FF"/>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HSBC BANK PLC,</w:t>
      </w:r>
    </w:p>
    <w:p>
      <w:pPr>
        <w:jc w:val="center"/>
        <w:spacing w:after="0"/>
        <w:rPr>
          <w:sz w:val="20"/>
          <w:szCs w:val="20"/>
          <w:color w:val="auto"/>
        </w:rPr>
      </w:pPr>
      <w:r>
        <w:rPr>
          <w:rFonts w:ascii="Arial" w:cs="Arial" w:eastAsia="Arial" w:hAnsi="Arial"/>
          <w:sz w:val="20"/>
          <w:szCs w:val="20"/>
          <w:b w:val="1"/>
          <w:bCs w:val="1"/>
          <w:color w:val="auto"/>
        </w:rPr>
        <w:t>MORGAN STANLEY SENIOR FUNDING, INC.,</w:t>
      </w:r>
    </w:p>
    <w:p>
      <w:pPr>
        <w:jc w:val="center"/>
        <w:spacing w:after="0"/>
        <w:rPr>
          <w:sz w:val="20"/>
          <w:szCs w:val="20"/>
          <w:color w:val="auto"/>
        </w:rPr>
      </w:pPr>
      <w:r>
        <w:rPr>
          <w:rFonts w:ascii="Arial" w:cs="Arial" w:eastAsia="Arial" w:hAnsi="Arial"/>
          <w:sz w:val="20"/>
          <w:szCs w:val="20"/>
          <w:b w:val="1"/>
          <w:bCs w:val="1"/>
          <w:color w:val="auto"/>
        </w:rPr>
        <w:t>MUFG UNION BANK, N.A.,</w:t>
      </w:r>
    </w:p>
    <w:p>
      <w:pPr>
        <w:jc w:val="center"/>
        <w:spacing w:after="0"/>
        <w:rPr>
          <w:sz w:val="20"/>
          <w:szCs w:val="20"/>
          <w:color w:val="auto"/>
        </w:rPr>
      </w:pPr>
      <w:r>
        <w:rPr>
          <w:rFonts w:ascii="Arial" w:cs="Arial" w:eastAsia="Arial" w:hAnsi="Arial"/>
          <w:sz w:val="20"/>
          <w:szCs w:val="20"/>
          <w:b w:val="1"/>
          <w:bCs w:val="1"/>
          <w:color w:val="auto"/>
        </w:rPr>
        <w:t>SUMITOMO MITSUI BANKING CORPORATION, NEW YORK BRANCH</w:t>
      </w:r>
      <w:r>
        <w:rPr>
          <w:rFonts w:ascii="Arial" w:cs="Arial" w:eastAsia="Arial" w:hAnsi="Arial"/>
          <w:sz w:val="20"/>
          <w:szCs w:val="20"/>
          <w:b w:val="1"/>
          <w:bCs w:val="1"/>
          <w:color w:val="FF0000"/>
          <w:strike w:val="1"/>
        </w:rPr>
        <w:t>,</w:t>
      </w:r>
    </w:p>
    <w:p>
      <w:pPr>
        <w:jc w:val="center"/>
        <w:ind w:right="39"/>
        <w:spacing w:after="0"/>
        <w:rPr>
          <w:sz w:val="20"/>
          <w:szCs w:val="20"/>
          <w:color w:val="auto"/>
        </w:rPr>
      </w:pPr>
      <w:r>
        <w:rPr>
          <w:rFonts w:ascii="Arial" w:cs="Arial" w:eastAsia="Arial" w:hAnsi="Arial"/>
          <w:sz w:val="20"/>
          <w:szCs w:val="20"/>
          <w:b w:val="1"/>
          <w:bCs w:val="1"/>
          <w:color w:val="auto"/>
        </w:rPr>
        <w:t>and SUNTRUST BANK,</w:t>
      </w:r>
    </w:p>
    <w:p>
      <w:pPr>
        <w:jc w:val="center"/>
        <w:ind w:right="39"/>
        <w:spacing w:after="0"/>
        <w:rPr>
          <w:sz w:val="20"/>
          <w:szCs w:val="20"/>
          <w:color w:val="auto"/>
        </w:rPr>
      </w:pPr>
      <w:r>
        <w:rPr>
          <w:rFonts w:ascii="Arial" w:cs="Arial" w:eastAsia="Arial" w:hAnsi="Arial"/>
          <w:sz w:val="20"/>
          <w:szCs w:val="20"/>
          <w:b w:val="1"/>
          <w:bCs w:val="1"/>
          <w:color w:val="auto"/>
        </w:rPr>
        <w:t>as Co-Documentation Agents,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370205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189" w:name="page190"/>
    <w:bookmarkEnd w:id="189"/>
    <w:p>
      <w:pPr>
        <w:jc w:val="center"/>
        <w:ind w:right="-20"/>
        <w:spacing w:after="0"/>
        <w:rPr>
          <w:sz w:val="20"/>
          <w:szCs w:val="20"/>
          <w:color w:val="auto"/>
        </w:rPr>
      </w:pPr>
      <w:r>
        <w:rPr>
          <w:rFonts w:ascii="Arial" w:cs="Arial" w:eastAsia="Arial" w:hAnsi="Arial"/>
          <w:sz w:val="20"/>
          <w:szCs w:val="20"/>
          <w:b w:val="1"/>
          <w:bCs w:val="1"/>
          <w:color w:val="auto"/>
        </w:rPr>
        <w:t>EXHIBIT A TO AMENDMENT NO. 1</w:t>
      </w:r>
    </w:p>
    <w:p>
      <w:pPr>
        <w:spacing w:after="0" w:line="228"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MARKED VERSION REFLECTING CHANGES</w:t>
      </w:r>
    </w:p>
    <w:p>
      <w:pPr>
        <w:spacing w:after="0" w:line="21"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PURSUANT TO AMENDMENT NO. 1</w:t>
      </w:r>
    </w:p>
    <w:p>
      <w:pPr>
        <w:ind w:left="2700"/>
        <w:spacing w:after="0"/>
        <w:rPr>
          <w:sz w:val="20"/>
          <w:szCs w:val="20"/>
          <w:color w:val="auto"/>
        </w:rPr>
      </w:pPr>
      <w:r>
        <w:rPr>
          <w:rFonts w:ascii="Arial" w:cs="Arial" w:eastAsia="Arial" w:hAnsi="Arial"/>
          <w:sz w:val="20"/>
          <w:szCs w:val="20"/>
          <w:b w:val="1"/>
          <w:bCs w:val="1"/>
          <w:color w:val="auto"/>
        </w:rPr>
        <w:t xml:space="preserve">ADDED TEXT SHOWN </w:t>
      </w:r>
      <w:r>
        <w:rPr>
          <w:rFonts w:ascii="Arial" w:cs="Arial" w:eastAsia="Arial" w:hAnsi="Arial"/>
          <w:sz w:val="20"/>
          <w:szCs w:val="20"/>
          <w:b w:val="1"/>
          <w:bCs w:val="1"/>
          <w:u w:val="single" w:color="auto"/>
          <w:color w:val="0000FF"/>
        </w:rPr>
        <w:t>UNDERSCORED</w:t>
      </w:r>
    </w:p>
    <w:p>
      <w:pPr>
        <w:ind w:left="2700"/>
        <w:spacing w:after="0"/>
        <w:rPr>
          <w:sz w:val="20"/>
          <w:szCs w:val="20"/>
          <w:color w:val="auto"/>
        </w:rPr>
      </w:pPr>
      <w:r>
        <w:rPr>
          <w:rFonts w:ascii="Arial" w:cs="Arial" w:eastAsia="Arial" w:hAnsi="Arial"/>
          <w:sz w:val="20"/>
          <w:szCs w:val="20"/>
          <w:b w:val="1"/>
          <w:bCs w:val="1"/>
          <w:color w:val="auto"/>
        </w:rPr>
        <w:t xml:space="preserve">DELETED TEXT SHOWN </w:t>
      </w:r>
      <w:r>
        <w:rPr>
          <w:rFonts w:ascii="Arial" w:cs="Arial" w:eastAsia="Arial" w:hAnsi="Arial"/>
          <w:sz w:val="20"/>
          <w:szCs w:val="20"/>
          <w:b w:val="1"/>
          <w:bCs w:val="1"/>
          <w:color w:val="FF0000"/>
          <w:strike w:val="1"/>
        </w:rPr>
        <w:t>STRIKETHROUGH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939800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0" w:name="page191"/>
    <w:bookmarkEnd w:id="190"/>
    <w:p>
      <w:pPr>
        <w:jc w:val="center"/>
        <w:spacing w:after="0"/>
        <w:rPr>
          <w:sz w:val="20"/>
          <w:szCs w:val="20"/>
          <w:color w:val="auto"/>
        </w:rPr>
      </w:pPr>
      <w:r>
        <w:rPr>
          <w:rFonts w:ascii="Arial" w:cs="Arial" w:eastAsia="Arial" w:hAnsi="Arial"/>
          <w:sz w:val="20"/>
          <w:szCs w:val="20"/>
          <w:b w:val="1"/>
          <w:bCs w:val="1"/>
          <w:color w:val="auto"/>
        </w:rPr>
        <w:t>MERRILL LYNCH, PIERCE, FENNER &amp; SMITH INCORPORATED,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BARCLAYS BANK PLC,</w:t>
      </w:r>
    </w:p>
    <w:p>
      <w:pPr>
        <w:jc w:val="center"/>
        <w:spacing w:after="0"/>
        <w:rPr>
          <w:sz w:val="20"/>
          <w:szCs w:val="20"/>
          <w:color w:val="auto"/>
        </w:rPr>
      </w:pPr>
      <w:r>
        <w:rPr>
          <w:rFonts w:ascii="Arial" w:cs="Arial" w:eastAsia="Arial" w:hAnsi="Arial"/>
          <w:sz w:val="20"/>
          <w:szCs w:val="20"/>
          <w:b w:val="1"/>
          <w:bCs w:val="1"/>
          <w:color w:val="auto"/>
        </w:rPr>
        <w:t>CITIGROUP GLOBAL MARKETS, INC.,</w:t>
      </w:r>
    </w:p>
    <w:p>
      <w:pPr>
        <w:jc w:val="center"/>
        <w:spacing w:after="0"/>
        <w:rPr>
          <w:sz w:val="20"/>
          <w:szCs w:val="20"/>
          <w:color w:val="auto"/>
        </w:rPr>
      </w:pPr>
      <w:r>
        <w:rPr>
          <w:rFonts w:ascii="Arial" w:cs="Arial" w:eastAsia="Arial" w:hAnsi="Arial"/>
          <w:sz w:val="20"/>
          <w:szCs w:val="20"/>
          <w:b w:val="1"/>
          <w:bCs w:val="1"/>
          <w:color w:val="auto"/>
        </w:rPr>
        <w:t>DNB (UK) LIMITED,</w:t>
      </w:r>
    </w:p>
    <w:p>
      <w:pPr>
        <w:ind w:left="3020"/>
        <w:spacing w:after="0"/>
        <w:rPr>
          <w:sz w:val="20"/>
          <w:szCs w:val="20"/>
          <w:color w:val="auto"/>
        </w:rPr>
      </w:pPr>
      <w:r>
        <w:rPr>
          <w:rFonts w:ascii="Arial" w:cs="Arial" w:eastAsia="Arial" w:hAnsi="Arial"/>
          <w:sz w:val="20"/>
          <w:szCs w:val="20"/>
          <w:b w:val="1"/>
          <w:bCs w:val="1"/>
          <w:u w:val="single" w:color="auto"/>
          <w:color w:val="0000FF"/>
        </w:rPr>
        <w:t>J.P. MORGAN SECURITIES LLC</w:t>
      </w:r>
    </w:p>
    <w:p>
      <w:pPr>
        <w:ind w:left="3080"/>
        <w:spacing w:after="0"/>
        <w:rPr>
          <w:sz w:val="20"/>
          <w:szCs w:val="20"/>
          <w:color w:val="auto"/>
        </w:rPr>
      </w:pPr>
      <w:r>
        <w:rPr>
          <w:rFonts w:ascii="Arial" w:cs="Arial" w:eastAsia="Arial" w:hAnsi="Arial"/>
          <w:sz w:val="20"/>
          <w:szCs w:val="20"/>
          <w:b w:val="1"/>
          <w:bCs w:val="1"/>
          <w:u w:val="single" w:color="auto"/>
          <w:color w:val="0000FF"/>
        </w:rPr>
        <w:t>and RBC CAPITAL MARKETS,</w:t>
      </w:r>
    </w:p>
    <w:p>
      <w:pPr>
        <w:ind w:left="2480"/>
        <w:spacing w:after="0"/>
        <w:rPr>
          <w:sz w:val="20"/>
          <w:szCs w:val="20"/>
          <w:color w:val="auto"/>
        </w:rPr>
      </w:pPr>
      <w:r>
        <w:rPr>
          <w:rFonts w:ascii="Arial" w:cs="Arial" w:eastAsia="Arial" w:hAnsi="Arial"/>
          <w:sz w:val="20"/>
          <w:szCs w:val="20"/>
          <w:b w:val="1"/>
          <w:bCs w:val="1"/>
          <w:u w:val="single" w:color="auto"/>
          <w:color w:val="0000FF"/>
        </w:rPr>
        <w:t>as Joint Lead Arrangers and Joint Bookrunners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000FF"/>
        </w:rPr>
        <w:t>CITIBANK, N.A.,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000FF"/>
        </w:rPr>
        <w:t>DNB (UK) LIMITED,</w:t>
      </w:r>
    </w:p>
    <w:p>
      <w:pPr>
        <w:jc w:val="center"/>
        <w:spacing w:after="0"/>
        <w:rPr>
          <w:sz w:val="20"/>
          <w:szCs w:val="20"/>
          <w:color w:val="auto"/>
        </w:rPr>
      </w:pPr>
      <w:r>
        <w:rPr>
          <w:rFonts w:ascii="Arial" w:cs="Arial" w:eastAsia="Arial" w:hAnsi="Arial"/>
          <w:sz w:val="20"/>
          <w:szCs w:val="20"/>
          <w:b w:val="1"/>
          <w:bCs w:val="1"/>
          <w:u w:val="single" w:color="auto"/>
          <w:color w:val="0000FF"/>
        </w:rPr>
        <w:t>JPMORGAN CHASE BANK, N.A.</w:t>
      </w:r>
      <w:r>
        <w:rPr>
          <w:rFonts w:ascii="Arial" w:cs="Arial" w:eastAsia="Arial" w:hAnsi="Arial"/>
          <w:sz w:val="20"/>
          <w:szCs w:val="20"/>
          <w:b w:val="1"/>
          <w:bCs w:val="1"/>
          <w:u w:val="single" w:color="auto"/>
          <w:color w:val="00C000"/>
        </w:rPr>
        <w:t>,</w:t>
      </w:r>
    </w:p>
    <w:p>
      <w:pPr>
        <w:jc w:val="center"/>
        <w:spacing w:after="0"/>
        <w:rPr>
          <w:sz w:val="20"/>
          <w:szCs w:val="20"/>
          <w:color w:val="auto"/>
        </w:rPr>
      </w:pPr>
      <w:r>
        <w:rPr>
          <w:rFonts w:ascii="Arial" w:cs="Arial" w:eastAsia="Arial" w:hAnsi="Arial"/>
          <w:sz w:val="20"/>
          <w:szCs w:val="20"/>
          <w:b w:val="1"/>
          <w:bCs w:val="1"/>
          <w:u w:val="single" w:color="auto"/>
          <w:color w:val="0000FF"/>
        </w:rPr>
        <w:t>ROYAL BANK OF CANADA,</w:t>
      </w:r>
    </w:p>
    <w:p>
      <w:pPr>
        <w:jc w:val="center"/>
        <w:spacing w:after="0"/>
        <w:rPr>
          <w:sz w:val="20"/>
          <w:szCs w:val="20"/>
          <w:color w:val="auto"/>
        </w:rPr>
      </w:pPr>
      <w:r>
        <w:rPr>
          <w:rFonts w:ascii="Arial" w:cs="Arial" w:eastAsia="Arial" w:hAnsi="Arial"/>
          <w:sz w:val="20"/>
          <w:szCs w:val="20"/>
          <w:b w:val="1"/>
          <w:bCs w:val="1"/>
          <w:u w:val="single" w:color="auto"/>
          <w:color w:val="0000FF"/>
        </w:rPr>
        <w:t>SUMITOMO MITSUI BANKING CORPORATION, NEW YORK BRANCH</w:t>
      </w:r>
    </w:p>
    <w:p>
      <w:pPr>
        <w:jc w:val="center"/>
        <w:ind w:right="39"/>
        <w:spacing w:after="0"/>
        <w:rPr>
          <w:sz w:val="20"/>
          <w:szCs w:val="20"/>
          <w:color w:val="auto"/>
        </w:rPr>
      </w:pPr>
      <w:r>
        <w:rPr>
          <w:rFonts w:ascii="Arial" w:cs="Arial" w:eastAsia="Arial" w:hAnsi="Arial"/>
          <w:sz w:val="20"/>
          <w:szCs w:val="20"/>
          <w:b w:val="1"/>
          <w:bCs w:val="1"/>
          <w:u w:val="single" w:color="auto"/>
          <w:color w:val="0000FF"/>
        </w:rPr>
        <w:t>and THE BANK OF TOKYO-MITSUBISHI UFJ, LTD.,</w:t>
      </w:r>
    </w:p>
    <w:p>
      <w:pPr>
        <w:jc w:val="center"/>
        <w:ind w:right="39"/>
        <w:spacing w:after="0"/>
        <w:rPr>
          <w:sz w:val="20"/>
          <w:szCs w:val="20"/>
          <w:color w:val="auto"/>
        </w:rPr>
      </w:pPr>
      <w:r>
        <w:rPr>
          <w:rFonts w:ascii="Arial" w:cs="Arial" w:eastAsia="Arial" w:hAnsi="Arial"/>
          <w:sz w:val="20"/>
          <w:szCs w:val="20"/>
          <w:b w:val="1"/>
          <w:bCs w:val="1"/>
          <w:u w:val="single" w:color="auto"/>
          <w:color w:val="0000FF"/>
        </w:rPr>
        <w:t>as Co-Syndication Agents for Amendment No. 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000FF"/>
        </w:rPr>
        <w:t>BARCLAYS BANK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000FF"/>
        </w:rPr>
        <w:t>CREDIT SUISSE AG, CAYMAN ISLANDS BRANCH</w:t>
      </w:r>
    </w:p>
    <w:p>
      <w:pPr>
        <w:jc w:val="center"/>
        <w:spacing w:after="0"/>
        <w:rPr>
          <w:sz w:val="20"/>
          <w:szCs w:val="20"/>
          <w:color w:val="auto"/>
        </w:rPr>
      </w:pPr>
      <w:r>
        <w:rPr>
          <w:rFonts w:ascii="Arial" w:cs="Arial" w:eastAsia="Arial" w:hAnsi="Arial"/>
          <w:sz w:val="20"/>
          <w:szCs w:val="20"/>
          <w:b w:val="1"/>
          <w:bCs w:val="1"/>
          <w:u w:val="single" w:color="auto"/>
          <w:color w:val="0000FF"/>
        </w:rPr>
        <w:t>HSBC BANK PLC,</w:t>
      </w:r>
    </w:p>
    <w:p>
      <w:pPr>
        <w:jc w:val="center"/>
        <w:spacing w:after="0"/>
        <w:rPr>
          <w:sz w:val="20"/>
          <w:szCs w:val="20"/>
          <w:color w:val="auto"/>
        </w:rPr>
      </w:pPr>
      <w:r>
        <w:rPr>
          <w:rFonts w:ascii="Arial" w:cs="Arial" w:eastAsia="Arial" w:hAnsi="Arial"/>
          <w:sz w:val="20"/>
          <w:szCs w:val="20"/>
          <w:b w:val="1"/>
          <w:bCs w:val="1"/>
          <w:u w:val="single" w:color="auto"/>
          <w:color w:val="0000FF"/>
        </w:rPr>
        <w:t>HSBC BANK USA, N.A.,</w:t>
      </w:r>
    </w:p>
    <w:p>
      <w:pPr>
        <w:jc w:val="center"/>
        <w:spacing w:after="0"/>
        <w:rPr>
          <w:sz w:val="20"/>
          <w:szCs w:val="20"/>
          <w:color w:val="auto"/>
        </w:rPr>
      </w:pPr>
      <w:r>
        <w:rPr>
          <w:rFonts w:ascii="Arial" w:cs="Arial" w:eastAsia="Arial" w:hAnsi="Arial"/>
          <w:sz w:val="20"/>
          <w:szCs w:val="20"/>
          <w:b w:val="1"/>
          <w:bCs w:val="1"/>
          <w:u w:val="single" w:color="auto"/>
          <w:color w:val="0000FF"/>
        </w:rPr>
        <w:t>MORGAN STANLEY SENIOR FUNDING, INC.</w:t>
      </w:r>
    </w:p>
    <w:p>
      <w:pPr>
        <w:jc w:val="center"/>
        <w:ind w:right="39"/>
        <w:spacing w:after="0"/>
        <w:rPr>
          <w:sz w:val="20"/>
          <w:szCs w:val="20"/>
          <w:color w:val="auto"/>
        </w:rPr>
      </w:pPr>
      <w:r>
        <w:rPr>
          <w:rFonts w:ascii="Arial" w:cs="Arial" w:eastAsia="Arial" w:hAnsi="Arial"/>
          <w:sz w:val="20"/>
          <w:szCs w:val="20"/>
          <w:b w:val="1"/>
          <w:bCs w:val="1"/>
          <w:u w:val="single" w:color="auto"/>
          <w:color w:val="0000FF"/>
        </w:rPr>
        <w:t>and SUNTRUST BANK,</w:t>
      </w:r>
    </w:p>
    <w:p>
      <w:pPr>
        <w:jc w:val="center"/>
        <w:spacing w:after="0"/>
        <w:rPr>
          <w:sz w:val="20"/>
          <w:szCs w:val="20"/>
          <w:color w:val="auto"/>
        </w:rPr>
      </w:pPr>
      <w:r>
        <w:rPr>
          <w:rFonts w:ascii="Arial" w:cs="Arial" w:eastAsia="Arial" w:hAnsi="Arial"/>
          <w:sz w:val="20"/>
          <w:szCs w:val="20"/>
          <w:b w:val="1"/>
          <w:bCs w:val="1"/>
          <w:u w:val="single" w:color="auto"/>
          <w:color w:val="0000FF"/>
        </w:rPr>
        <w:t>as Co-Documentation Agents for Amendment No. 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000FF"/>
        </w:rPr>
        <w:t>and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000FF"/>
        </w:rPr>
        <w:t>BANK OF AMERICA, N.A.,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000FF"/>
        </w:rPr>
        <w:t>CITIGROUP GLOBAL MARKETS, INC.,</w:t>
      </w:r>
    </w:p>
    <w:p>
      <w:pPr>
        <w:jc w:val="center"/>
        <w:spacing w:after="0"/>
        <w:rPr>
          <w:sz w:val="20"/>
          <w:szCs w:val="20"/>
          <w:color w:val="auto"/>
        </w:rPr>
      </w:pPr>
      <w:r>
        <w:rPr>
          <w:rFonts w:ascii="Arial" w:cs="Arial" w:eastAsia="Arial" w:hAnsi="Arial"/>
          <w:sz w:val="20"/>
          <w:szCs w:val="20"/>
          <w:b w:val="1"/>
          <w:bCs w:val="1"/>
          <w:u w:val="single" w:color="auto"/>
          <w:color w:val="0000FF"/>
        </w:rPr>
        <w:t>DNB (UK) LIMITED,</w:t>
      </w:r>
    </w:p>
    <w:p>
      <w:pPr>
        <w:jc w:val="center"/>
        <w:spacing w:after="0"/>
        <w:rPr>
          <w:sz w:val="20"/>
          <w:szCs w:val="20"/>
          <w:color w:val="auto"/>
        </w:rPr>
      </w:pPr>
      <w:r>
        <w:rPr>
          <w:rFonts w:ascii="Arial" w:cs="Arial" w:eastAsia="Arial" w:hAnsi="Arial"/>
          <w:sz w:val="20"/>
          <w:szCs w:val="20"/>
          <w:b w:val="1"/>
          <w:bCs w:val="1"/>
          <w:color w:val="auto"/>
        </w:rPr>
        <w:t>J.P. MORGAN SECURITIES LLC,</w:t>
      </w:r>
    </w:p>
    <w:p>
      <w:pPr>
        <w:jc w:val="center"/>
        <w:spacing w:after="0"/>
        <w:rPr>
          <w:sz w:val="20"/>
          <w:szCs w:val="20"/>
          <w:color w:val="auto"/>
        </w:rPr>
      </w:pPr>
      <w:r>
        <w:rPr>
          <w:rFonts w:ascii="Arial" w:cs="Arial" w:eastAsia="Arial" w:hAnsi="Arial"/>
          <w:sz w:val="20"/>
          <w:szCs w:val="20"/>
          <w:b w:val="1"/>
          <w:bCs w:val="1"/>
          <w:color w:val="FF0000"/>
          <w:strike w:val="1"/>
        </w:rPr>
        <w:t>and</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000000"/>
        </w:rPr>
        <w:t>RBC CAPITAL MARKETS</w:t>
      </w:r>
      <w:r>
        <w:rPr>
          <w:rFonts w:ascii="Arial" w:cs="Arial" w:eastAsia="Arial" w:hAnsi="Arial"/>
          <w:sz w:val="20"/>
          <w:szCs w:val="20"/>
          <w:b w:val="1"/>
          <w:bCs w:val="1"/>
          <w:u w:val="single" w:color="auto"/>
          <w:color w:val="0000FF"/>
        </w:rPr>
        <w:t>,</w:t>
      </w:r>
    </w:p>
    <w:p>
      <w:pPr>
        <w:jc w:val="center"/>
        <w:spacing w:after="0"/>
        <w:rPr>
          <w:sz w:val="20"/>
          <w:szCs w:val="20"/>
          <w:color w:val="auto"/>
        </w:rPr>
      </w:pPr>
      <w:r>
        <w:rPr>
          <w:rFonts w:ascii="Arial" w:cs="Arial" w:eastAsia="Arial" w:hAnsi="Arial"/>
          <w:sz w:val="20"/>
          <w:szCs w:val="20"/>
          <w:b w:val="1"/>
          <w:bCs w:val="1"/>
          <w:u w:val="single" w:color="auto"/>
          <w:color w:val="0000FF"/>
        </w:rPr>
        <w:t>SUMITOMO MITSUI BANKING CORPORATION, NEW YORK BRANCH</w:t>
      </w:r>
    </w:p>
    <w:p>
      <w:pPr>
        <w:jc w:val="center"/>
        <w:ind w:right="39"/>
        <w:spacing w:after="0"/>
        <w:rPr>
          <w:sz w:val="20"/>
          <w:szCs w:val="20"/>
          <w:color w:val="auto"/>
        </w:rPr>
      </w:pPr>
      <w:r>
        <w:rPr>
          <w:rFonts w:ascii="Arial" w:cs="Arial" w:eastAsia="Arial" w:hAnsi="Arial"/>
          <w:sz w:val="20"/>
          <w:szCs w:val="20"/>
          <w:b w:val="1"/>
          <w:bCs w:val="1"/>
          <w:u w:val="single" w:color="auto"/>
          <w:color w:val="0000FF"/>
        </w:rPr>
        <w:t>and THE BANK OF TOKYO-MITSUBISHI UFJ, LTD.,</w:t>
      </w:r>
    </w:p>
    <w:p>
      <w:pPr>
        <w:jc w:val="center"/>
        <w:spacing w:after="0"/>
        <w:rPr>
          <w:sz w:val="20"/>
          <w:szCs w:val="20"/>
          <w:color w:val="auto"/>
        </w:rPr>
      </w:pPr>
      <w:r>
        <w:rPr>
          <w:rFonts w:ascii="Arial" w:cs="Arial" w:eastAsia="Arial" w:hAnsi="Arial"/>
          <w:sz w:val="19"/>
          <w:szCs w:val="19"/>
          <w:b w:val="1"/>
          <w:bCs w:val="1"/>
          <w:color w:val="auto"/>
        </w:rPr>
        <w:t xml:space="preserve">as Joint Lead Arrangers and Joint Bookrunners </w:t>
      </w:r>
      <w:r>
        <w:rPr>
          <w:rFonts w:ascii="Arial" w:cs="Arial" w:eastAsia="Arial" w:hAnsi="Arial"/>
          <w:sz w:val="19"/>
          <w:szCs w:val="19"/>
          <w:b w:val="1"/>
          <w:bCs w:val="1"/>
          <w:u w:val="single" w:color="auto"/>
          <w:color w:val="0000FF"/>
        </w:rPr>
        <w:t>for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354965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809625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589" w:right="1440" w:bottom="1440" w:gutter="0" w:footer="0" w:header="0"/>
        </w:sectPr>
      </w:pPr>
    </w:p>
    <w:bookmarkStart w:id="191" w:name="page192"/>
    <w:bookmarkEnd w:id="191"/>
    <w:p>
      <w:pPr>
        <w:jc w:val="center"/>
        <w:ind w:right="40"/>
        <w:spacing w:after="0"/>
        <w:rPr>
          <w:sz w:val="20"/>
          <w:szCs w:val="20"/>
          <w:color w:val="auto"/>
        </w:rPr>
      </w:pPr>
      <w:r>
        <w:rPr>
          <w:rFonts w:ascii="Arial" w:cs="Arial" w:eastAsia="Arial" w:hAnsi="Arial"/>
          <w:sz w:val="20"/>
          <w:szCs w:val="20"/>
          <w:b w:val="1"/>
          <w:bCs w:val="1"/>
          <w:color w:val="auto"/>
        </w:rPr>
        <w:t>Table of Contents</w:t>
      </w:r>
    </w:p>
    <w:tbl>
      <w:tblPr>
        <w:tblLayout w:type="fixed"/>
        <w:tblInd w:w="0" w:type="dxa"/>
        <w:tblCellMar>
          <w:top w:w="0" w:type="dxa"/>
          <w:left w:w="0" w:type="dxa"/>
          <w:bottom w:w="0" w:type="dxa"/>
          <w:right w:w="0" w:type="dxa"/>
        </w:tblCellMar>
      </w:tblPr>
      <w:tr>
        <w:trPr>
          <w:trHeight w:val="212"/>
        </w:trPr>
        <w:tc>
          <w:tcPr>
            <w:tcW w:w="15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6"/>
          </w:tcPr>
          <w:p>
            <w:pPr>
              <w:ind w:left="1240"/>
              <w:spacing w:after="0" w:line="211" w:lineRule="exact"/>
              <w:rPr>
                <w:sz w:val="20"/>
                <w:szCs w:val="20"/>
                <w:color w:val="auto"/>
              </w:rPr>
            </w:pPr>
            <w:r>
              <w:rPr>
                <w:rFonts w:ascii="Arial" w:cs="Arial" w:eastAsia="Arial" w:hAnsi="Arial"/>
                <w:sz w:val="20"/>
                <w:szCs w:val="20"/>
                <w:color w:val="auto"/>
                <w:w w:val="76"/>
              </w:rPr>
              <w:t>Page</w:t>
            </w:r>
          </w:p>
        </w:tc>
        <w:tc>
          <w:tcPr>
            <w:tcW w:w="0" w:type="dxa"/>
            <w:vAlign w:val="bottom"/>
          </w:tcPr>
          <w:p>
            <w:pPr>
              <w:spacing w:after="0"/>
              <w:rPr>
                <w:sz w:val="1"/>
                <w:szCs w:val="1"/>
                <w:color w:val="auto"/>
              </w:rPr>
            </w:pPr>
          </w:p>
        </w:tc>
      </w:tr>
      <w:tr>
        <w:trPr>
          <w:trHeight w:val="484"/>
        </w:trPr>
        <w:tc>
          <w:tcPr>
            <w:tcW w:w="1560" w:type="dxa"/>
            <w:vAlign w:val="bottom"/>
          </w:tcPr>
          <w:p>
            <w:pPr>
              <w:spacing w:after="0"/>
              <w:rPr>
                <w:sz w:val="24"/>
                <w:szCs w:val="24"/>
                <w:color w:val="auto"/>
              </w:rPr>
            </w:pPr>
          </w:p>
        </w:tc>
        <w:tc>
          <w:tcPr>
            <w:tcW w:w="7860" w:type="dxa"/>
            <w:vAlign w:val="bottom"/>
          </w:tcPr>
          <w:p>
            <w:pPr>
              <w:jc w:val="center"/>
              <w:ind w:left="261"/>
              <w:spacing w:after="0"/>
              <w:rPr>
                <w:sz w:val="20"/>
                <w:szCs w:val="20"/>
                <w:color w:val="auto"/>
              </w:rPr>
            </w:pPr>
            <w:r>
              <w:rPr>
                <w:rFonts w:ascii="Arial" w:cs="Arial" w:eastAsia="Arial" w:hAnsi="Arial"/>
                <w:sz w:val="20"/>
                <w:szCs w:val="20"/>
                <w:color w:val="auto"/>
                <w:w w:val="96"/>
              </w:rPr>
              <w:t>ARTICLE I.</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560" w:type="dxa"/>
            <w:vAlign w:val="bottom"/>
          </w:tcPr>
          <w:p>
            <w:pPr>
              <w:spacing w:after="0"/>
              <w:rPr>
                <w:sz w:val="24"/>
                <w:szCs w:val="24"/>
                <w:color w:val="auto"/>
              </w:rPr>
            </w:pPr>
          </w:p>
        </w:tc>
        <w:tc>
          <w:tcPr>
            <w:tcW w:w="7860" w:type="dxa"/>
            <w:vAlign w:val="bottom"/>
          </w:tcPr>
          <w:p>
            <w:pPr>
              <w:jc w:val="center"/>
              <w:ind w:left="261"/>
              <w:spacing w:after="0"/>
              <w:rPr>
                <w:sz w:val="20"/>
                <w:szCs w:val="20"/>
                <w:color w:val="auto"/>
              </w:rPr>
            </w:pPr>
            <w:r>
              <w:rPr>
                <w:rFonts w:ascii="Arial" w:cs="Arial" w:eastAsia="Arial" w:hAnsi="Arial"/>
                <w:sz w:val="20"/>
                <w:szCs w:val="20"/>
                <w:color w:val="auto"/>
                <w:w w:val="96"/>
              </w:rPr>
              <w:t>DEFINITIONS AND ACCOUNTING TERMS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560" w:type="dxa"/>
            <w:vAlign w:val="bottom"/>
          </w:tcPr>
          <w:p>
            <w:pPr>
              <w:spacing w:after="0"/>
              <w:rPr>
                <w:sz w:val="20"/>
                <w:szCs w:val="20"/>
                <w:color w:val="auto"/>
              </w:rPr>
            </w:pPr>
            <w:r>
              <w:rPr>
                <w:rFonts w:ascii="Arial" w:cs="Arial" w:eastAsia="Arial" w:hAnsi="Arial"/>
                <w:sz w:val="20"/>
                <w:szCs w:val="20"/>
                <w:color w:val="auto"/>
              </w:rPr>
              <w:t>Section 1.01</w:t>
            </w:r>
          </w:p>
        </w:tc>
        <w:tc>
          <w:tcPr>
            <w:tcW w:w="7860" w:type="dxa"/>
            <w:vAlign w:val="bottom"/>
          </w:tcPr>
          <w:p>
            <w:pPr>
              <w:ind w:left="540"/>
              <w:spacing w:after="0"/>
              <w:rPr>
                <w:sz w:val="20"/>
                <w:szCs w:val="20"/>
                <w:color w:val="auto"/>
              </w:rPr>
            </w:pPr>
            <w:r>
              <w:rPr>
                <w:rFonts w:ascii="Arial" w:cs="Arial" w:eastAsia="Arial" w:hAnsi="Arial"/>
                <w:sz w:val="20"/>
                <w:szCs w:val="20"/>
                <w:color w:val="auto"/>
              </w:rPr>
              <w:t>Defined Terms</w:t>
            </w:r>
          </w:p>
        </w:tc>
        <w:tc>
          <w:tcPr>
            <w:tcW w:w="340" w:type="dxa"/>
            <w:vAlign w:val="bottom"/>
          </w:tcPr>
          <w:p>
            <w:pPr>
              <w:spacing w:after="0"/>
              <w:rPr>
                <w:sz w:val="24"/>
                <w:szCs w:val="24"/>
                <w:color w:val="auto"/>
              </w:rPr>
            </w:pPr>
          </w:p>
        </w:tc>
        <w:tc>
          <w:tcPr>
            <w:tcW w:w="1560" w:type="dxa"/>
            <w:vAlign w:val="bottom"/>
            <w:gridSpan w:val="5"/>
          </w:tcPr>
          <w:p>
            <w:pPr>
              <w:jc w:val="right"/>
              <w:ind w:right="20"/>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560" w:type="dxa"/>
            <w:vAlign w:val="bottom"/>
          </w:tcPr>
          <w:p>
            <w:pPr>
              <w:spacing w:after="0"/>
              <w:rPr>
                <w:sz w:val="20"/>
                <w:szCs w:val="20"/>
                <w:color w:val="auto"/>
              </w:rPr>
            </w:pPr>
            <w:r>
              <w:rPr>
                <w:rFonts w:ascii="Arial" w:cs="Arial" w:eastAsia="Arial" w:hAnsi="Arial"/>
                <w:sz w:val="20"/>
                <w:szCs w:val="20"/>
                <w:color w:val="auto"/>
              </w:rPr>
              <w:t>Section 1.02</w:t>
            </w:r>
          </w:p>
        </w:tc>
        <w:tc>
          <w:tcPr>
            <w:tcW w:w="7860" w:type="dxa"/>
            <w:vAlign w:val="bottom"/>
          </w:tcPr>
          <w:p>
            <w:pPr>
              <w:ind w:left="540"/>
              <w:spacing w:after="0"/>
              <w:rPr>
                <w:sz w:val="20"/>
                <w:szCs w:val="20"/>
                <w:color w:val="auto"/>
              </w:rPr>
            </w:pPr>
            <w:r>
              <w:rPr>
                <w:rFonts w:ascii="Arial" w:cs="Arial" w:eastAsia="Arial" w:hAnsi="Arial"/>
                <w:sz w:val="20"/>
                <w:szCs w:val="20"/>
                <w:color w:val="auto"/>
              </w:rPr>
              <w:t>Other Interpretative Provisions</w:t>
            </w:r>
          </w:p>
        </w:tc>
        <w:tc>
          <w:tcPr>
            <w:tcW w:w="340" w:type="dxa"/>
            <w:vAlign w:val="bottom"/>
          </w:tcPr>
          <w:p>
            <w:pPr>
              <w:jc w:val="right"/>
              <w:spacing w:after="0"/>
              <w:rPr>
                <w:sz w:val="20"/>
                <w:szCs w:val="20"/>
                <w:color w:val="auto"/>
              </w:rPr>
            </w:pPr>
            <w:r>
              <w:rPr>
                <w:rFonts w:ascii="Arial" w:cs="Arial" w:eastAsia="Arial" w:hAnsi="Arial"/>
                <w:sz w:val="20"/>
                <w:szCs w:val="20"/>
                <w:color w:val="FF0000"/>
                <w:strike w:val="1"/>
              </w:rPr>
              <w:t>57</w:t>
            </w:r>
          </w:p>
        </w:tc>
        <w:tc>
          <w:tcPr>
            <w:tcW w:w="1340" w:type="dxa"/>
            <w:vAlign w:val="bottom"/>
            <w:gridSpan w:val="3"/>
          </w:tcPr>
          <w:p>
            <w:pPr>
              <w:spacing w:after="0"/>
              <w:rPr>
                <w:sz w:val="23"/>
                <w:szCs w:val="23"/>
                <w:color w:val="auto"/>
              </w:rPr>
            </w:pPr>
          </w:p>
        </w:tc>
        <w:tc>
          <w:tcPr>
            <w:tcW w:w="220" w:type="dxa"/>
            <w:vAlign w:val="bottom"/>
            <w:tcBorders>
              <w:bottom w:val="single" w:sz="8" w:color="0000FF"/>
            </w:tcBorders>
            <w:gridSpan w:val="2"/>
          </w:tcPr>
          <w:p>
            <w:pPr>
              <w:jc w:val="right"/>
              <w:ind w:right="20"/>
              <w:spacing w:after="0"/>
              <w:rPr>
                <w:sz w:val="20"/>
                <w:szCs w:val="20"/>
                <w:color w:val="auto"/>
              </w:rPr>
            </w:pPr>
            <w:r>
              <w:rPr>
                <w:rFonts w:ascii="Arial" w:cs="Arial" w:eastAsia="Arial" w:hAnsi="Arial"/>
                <w:sz w:val="20"/>
                <w:szCs w:val="20"/>
                <w:color w:val="0000FF"/>
                <w:w w:val="80"/>
              </w:rPr>
              <w:t>59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1.03</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Accounting Terms and Determinations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58</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1.04</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Rounding</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60</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1.05</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Times of Day; Rates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60</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1.06</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Letter of Credit Amounts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60</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1.07</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Classes and Types of Borrowings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60</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1.08</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Currency Translation</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60</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1.09</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Baskets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61</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1.10</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Concerning Liability of Borrowers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61</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vMerge w:val="restart"/>
          </w:tcPr>
          <w:p>
            <w:pPr>
              <w:jc w:val="center"/>
              <w:ind w:left="261"/>
              <w:spacing w:after="0"/>
              <w:rPr>
                <w:sz w:val="20"/>
                <w:szCs w:val="20"/>
                <w:color w:val="auto"/>
              </w:rPr>
            </w:pPr>
            <w:r>
              <w:rPr>
                <w:rFonts w:ascii="Arial" w:cs="Arial" w:eastAsia="Arial" w:hAnsi="Arial"/>
                <w:sz w:val="20"/>
                <w:szCs w:val="20"/>
                <w:color w:val="auto"/>
                <w:w w:val="99"/>
              </w:rPr>
              <w:t>ARTICLE II.</w:t>
            </w: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1560" w:type="dxa"/>
            <w:vAlign w:val="bottom"/>
          </w:tcPr>
          <w:p>
            <w:pPr>
              <w:spacing w:after="0"/>
              <w:rPr>
                <w:sz w:val="24"/>
                <w:szCs w:val="24"/>
                <w:color w:val="auto"/>
              </w:rPr>
            </w:pPr>
          </w:p>
        </w:tc>
        <w:tc>
          <w:tcPr>
            <w:tcW w:w="7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560" w:type="dxa"/>
            <w:vAlign w:val="bottom"/>
          </w:tcPr>
          <w:p>
            <w:pPr>
              <w:spacing w:after="0"/>
              <w:rPr>
                <w:sz w:val="24"/>
                <w:szCs w:val="24"/>
                <w:color w:val="auto"/>
              </w:rPr>
            </w:pPr>
          </w:p>
        </w:tc>
        <w:tc>
          <w:tcPr>
            <w:tcW w:w="7860" w:type="dxa"/>
            <w:vAlign w:val="bottom"/>
          </w:tcPr>
          <w:p>
            <w:pPr>
              <w:jc w:val="center"/>
              <w:ind w:left="281"/>
              <w:spacing w:after="0"/>
              <w:rPr>
                <w:sz w:val="20"/>
                <w:szCs w:val="20"/>
                <w:color w:val="auto"/>
              </w:rPr>
            </w:pPr>
            <w:r>
              <w:rPr>
                <w:rFonts w:ascii="Arial" w:cs="Arial" w:eastAsia="Arial" w:hAnsi="Arial"/>
                <w:sz w:val="20"/>
                <w:szCs w:val="20"/>
                <w:color w:val="auto"/>
                <w:w w:val="96"/>
              </w:rPr>
              <w:t>THE CREDIT FACILITIES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560" w:type="dxa"/>
            <w:vAlign w:val="bottom"/>
          </w:tcPr>
          <w:p>
            <w:pPr>
              <w:spacing w:after="0"/>
              <w:rPr>
                <w:sz w:val="20"/>
                <w:szCs w:val="20"/>
                <w:color w:val="auto"/>
              </w:rPr>
            </w:pPr>
            <w:r>
              <w:rPr>
                <w:rFonts w:ascii="Arial" w:cs="Arial" w:eastAsia="Arial" w:hAnsi="Arial"/>
                <w:sz w:val="20"/>
                <w:szCs w:val="20"/>
                <w:color w:val="auto"/>
              </w:rPr>
              <w:t>Section 2.01</w:t>
            </w:r>
          </w:p>
        </w:tc>
        <w:tc>
          <w:tcPr>
            <w:tcW w:w="7860" w:type="dxa"/>
            <w:vAlign w:val="bottom"/>
          </w:tcPr>
          <w:p>
            <w:pPr>
              <w:ind w:left="540"/>
              <w:spacing w:after="0"/>
              <w:rPr>
                <w:sz w:val="20"/>
                <w:szCs w:val="20"/>
                <w:color w:val="auto"/>
              </w:rPr>
            </w:pPr>
            <w:r>
              <w:rPr>
                <w:rFonts w:ascii="Arial" w:cs="Arial" w:eastAsia="Arial" w:hAnsi="Arial"/>
                <w:sz w:val="20"/>
                <w:szCs w:val="20"/>
                <w:color w:val="auto"/>
              </w:rPr>
              <w:t>Commitments To Lend</w:t>
            </w:r>
          </w:p>
        </w:tc>
        <w:tc>
          <w:tcPr>
            <w:tcW w:w="340" w:type="dxa"/>
            <w:vAlign w:val="bottom"/>
          </w:tcPr>
          <w:p>
            <w:pPr>
              <w:jc w:val="right"/>
              <w:spacing w:after="0"/>
              <w:rPr>
                <w:sz w:val="20"/>
                <w:szCs w:val="20"/>
                <w:color w:val="auto"/>
              </w:rPr>
            </w:pPr>
            <w:r>
              <w:rPr>
                <w:rFonts w:ascii="Arial" w:cs="Arial" w:eastAsia="Arial" w:hAnsi="Arial"/>
                <w:sz w:val="20"/>
                <w:szCs w:val="20"/>
                <w:color w:val="FF0000"/>
                <w:strike w:val="1"/>
              </w:rPr>
              <w:t>61</w:t>
            </w:r>
          </w:p>
        </w:tc>
        <w:tc>
          <w:tcPr>
            <w:tcW w:w="1340" w:type="dxa"/>
            <w:vAlign w:val="bottom"/>
            <w:gridSpan w:val="3"/>
          </w:tcPr>
          <w:p>
            <w:pPr>
              <w:spacing w:after="0"/>
              <w:rPr>
                <w:sz w:val="24"/>
                <w:szCs w:val="24"/>
                <w:color w:val="auto"/>
              </w:rPr>
            </w:pPr>
          </w:p>
        </w:tc>
        <w:tc>
          <w:tcPr>
            <w:tcW w:w="220" w:type="dxa"/>
            <w:vAlign w:val="bottom"/>
            <w:tcBorders>
              <w:bottom w:val="single" w:sz="8" w:color="0000FF"/>
            </w:tcBorders>
            <w:gridSpan w:val="2"/>
          </w:tcPr>
          <w:p>
            <w:pPr>
              <w:jc w:val="right"/>
              <w:ind w:right="20"/>
              <w:spacing w:after="0"/>
              <w:rPr>
                <w:sz w:val="20"/>
                <w:szCs w:val="20"/>
                <w:color w:val="auto"/>
              </w:rPr>
            </w:pPr>
            <w:r>
              <w:rPr>
                <w:rFonts w:ascii="Arial" w:cs="Arial" w:eastAsia="Arial" w:hAnsi="Arial"/>
                <w:sz w:val="20"/>
                <w:szCs w:val="20"/>
                <w:color w:val="0000FF"/>
                <w:w w:val="80"/>
              </w:rPr>
              <w:t>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2.02</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Notice of Borrowings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64</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2.03</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Notice to Lenders; Funding of Loans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65</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2.04</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Evidence of Loans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67</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2.05</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Letters of Credit</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68</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2.06</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Interest</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79</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2.07</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Extension and Conversion</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79</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2.08</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Repayment of Loans; Maturity of Loans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81</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2.09</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Prepayments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82</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2.10</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Adjustment of Commitments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84</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2.11</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Fees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85</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2.12</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Pro rata Treatment</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86</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2.13</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Sharing of Payments by Lenders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87</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2.14</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Payments Generally; Administrative Agent’s Clawback</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87</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2.15</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Increase in Commitments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89</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2.16</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Cash Collateral</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91</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2.17</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Defaulting Lenders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92</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2.18</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Refinancing Amendments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94</w:t>
            </w:r>
          </w:p>
        </w:tc>
        <w:tc>
          <w:tcPr>
            <w:tcW w:w="1340" w:type="dxa"/>
            <w:vAlign w:val="bottom"/>
            <w:gridSpan w:val="3"/>
          </w:tcPr>
          <w:p>
            <w:pPr>
              <w:spacing w:after="0"/>
              <w:rPr>
                <w:sz w:val="19"/>
                <w:szCs w:val="19"/>
                <w:color w:val="auto"/>
              </w:rPr>
            </w:pPr>
          </w:p>
        </w:tc>
        <w:tc>
          <w:tcPr>
            <w:tcW w:w="220" w:type="dxa"/>
            <w:vAlign w:val="bottom"/>
            <w:tcBorders>
              <w:bottom w:val="single" w:sz="8" w:color="0000FF"/>
            </w:tcBorders>
            <w:gridSpan w:val="2"/>
          </w:tcPr>
          <w:p>
            <w:pPr>
              <w:jc w:val="right"/>
              <w:ind w:right="20"/>
              <w:spacing w:after="0" w:line="224" w:lineRule="exact"/>
              <w:rPr>
                <w:sz w:val="20"/>
                <w:szCs w:val="20"/>
                <w:color w:val="auto"/>
              </w:rPr>
            </w:pPr>
            <w:r>
              <w:rPr>
                <w:rFonts w:ascii="Arial" w:cs="Arial" w:eastAsia="Arial" w:hAnsi="Arial"/>
                <w:sz w:val="20"/>
                <w:szCs w:val="20"/>
                <w:color w:val="0000FF"/>
                <w:w w:val="80"/>
              </w:rPr>
              <w:t>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2.19</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Discounted Prepayments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95</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vMerge w:val="restart"/>
          </w:tcPr>
          <w:p>
            <w:pPr>
              <w:jc w:val="center"/>
              <w:ind w:left="281"/>
              <w:spacing w:after="0"/>
              <w:rPr>
                <w:sz w:val="20"/>
                <w:szCs w:val="20"/>
                <w:color w:val="auto"/>
              </w:rPr>
            </w:pPr>
            <w:r>
              <w:rPr>
                <w:rFonts w:ascii="Arial" w:cs="Arial" w:eastAsia="Arial" w:hAnsi="Arial"/>
                <w:sz w:val="20"/>
                <w:szCs w:val="20"/>
                <w:color w:val="auto"/>
                <w:w w:val="99"/>
              </w:rPr>
              <w:t>ARTICLE III.</w:t>
            </w: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1560" w:type="dxa"/>
            <w:vAlign w:val="bottom"/>
          </w:tcPr>
          <w:p>
            <w:pPr>
              <w:spacing w:after="0"/>
              <w:rPr>
                <w:sz w:val="24"/>
                <w:szCs w:val="24"/>
                <w:color w:val="auto"/>
              </w:rPr>
            </w:pPr>
          </w:p>
        </w:tc>
        <w:tc>
          <w:tcPr>
            <w:tcW w:w="7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560" w:type="dxa"/>
            <w:vAlign w:val="bottom"/>
          </w:tcPr>
          <w:p>
            <w:pPr>
              <w:spacing w:after="0"/>
              <w:rPr>
                <w:sz w:val="24"/>
                <w:szCs w:val="24"/>
                <w:color w:val="auto"/>
              </w:rPr>
            </w:pPr>
          </w:p>
        </w:tc>
        <w:tc>
          <w:tcPr>
            <w:tcW w:w="7860" w:type="dxa"/>
            <w:vAlign w:val="bottom"/>
          </w:tcPr>
          <w:p>
            <w:pPr>
              <w:jc w:val="center"/>
              <w:ind w:left="261"/>
              <w:spacing w:after="0"/>
              <w:rPr>
                <w:sz w:val="20"/>
                <w:szCs w:val="20"/>
                <w:color w:val="auto"/>
              </w:rPr>
            </w:pPr>
            <w:r>
              <w:rPr>
                <w:rFonts w:ascii="Arial" w:cs="Arial" w:eastAsia="Arial" w:hAnsi="Arial"/>
                <w:sz w:val="20"/>
                <w:szCs w:val="20"/>
                <w:color w:val="auto"/>
                <w:w w:val="98"/>
              </w:rPr>
              <w:t>TAXES, YIELD PROTECTION AND ILLEGALITY</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560" w:type="dxa"/>
            <w:vAlign w:val="bottom"/>
          </w:tcPr>
          <w:p>
            <w:pPr>
              <w:spacing w:after="0"/>
              <w:rPr>
                <w:sz w:val="20"/>
                <w:szCs w:val="20"/>
                <w:color w:val="auto"/>
              </w:rPr>
            </w:pPr>
            <w:r>
              <w:rPr>
                <w:rFonts w:ascii="Arial" w:cs="Arial" w:eastAsia="Arial" w:hAnsi="Arial"/>
                <w:sz w:val="20"/>
                <w:szCs w:val="20"/>
                <w:color w:val="auto"/>
              </w:rPr>
              <w:t>Section 3.01</w:t>
            </w:r>
          </w:p>
        </w:tc>
        <w:tc>
          <w:tcPr>
            <w:tcW w:w="7860" w:type="dxa"/>
            <w:vAlign w:val="bottom"/>
          </w:tcPr>
          <w:p>
            <w:pPr>
              <w:ind w:left="540"/>
              <w:spacing w:after="0"/>
              <w:rPr>
                <w:sz w:val="20"/>
                <w:szCs w:val="20"/>
                <w:color w:val="auto"/>
              </w:rPr>
            </w:pPr>
            <w:r>
              <w:rPr>
                <w:rFonts w:ascii="Arial" w:cs="Arial" w:eastAsia="Arial" w:hAnsi="Arial"/>
                <w:sz w:val="20"/>
                <w:szCs w:val="20"/>
                <w:color w:val="auto"/>
              </w:rPr>
              <w:t>Taxes</w:t>
            </w:r>
          </w:p>
        </w:tc>
        <w:tc>
          <w:tcPr>
            <w:tcW w:w="340" w:type="dxa"/>
            <w:vAlign w:val="bottom"/>
          </w:tcPr>
          <w:p>
            <w:pPr>
              <w:jc w:val="right"/>
              <w:spacing w:after="0"/>
              <w:rPr>
                <w:sz w:val="20"/>
                <w:szCs w:val="20"/>
                <w:color w:val="auto"/>
              </w:rPr>
            </w:pPr>
            <w:r>
              <w:rPr>
                <w:rFonts w:ascii="Arial" w:cs="Arial" w:eastAsia="Arial" w:hAnsi="Arial"/>
                <w:sz w:val="20"/>
                <w:szCs w:val="20"/>
                <w:color w:val="FF0000"/>
                <w:strike w:val="1"/>
                <w:w w:val="83"/>
              </w:rPr>
              <w:t>101</w:t>
            </w:r>
          </w:p>
        </w:tc>
        <w:tc>
          <w:tcPr>
            <w:tcW w:w="1540" w:type="dxa"/>
            <w:vAlign w:val="bottom"/>
            <w:gridSpan w:val="4"/>
          </w:tcPr>
          <w:p>
            <w:pPr>
              <w:ind w:left="1240"/>
              <w:spacing w:after="0"/>
              <w:rPr>
                <w:sz w:val="20"/>
                <w:szCs w:val="20"/>
                <w:color w:val="auto"/>
              </w:rPr>
            </w:pPr>
            <w:r>
              <w:rPr>
                <w:rFonts w:ascii="Arial" w:cs="Arial" w:eastAsia="Arial" w:hAnsi="Arial"/>
                <w:sz w:val="20"/>
                <w:szCs w:val="20"/>
                <w:color w:val="0000FF"/>
                <w:w w:val="83"/>
              </w:rPr>
              <w:t>103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3.02</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Illegality</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83"/>
              </w:rPr>
              <w:t>105</w:t>
            </w:r>
          </w:p>
        </w:tc>
        <w:tc>
          <w:tcPr>
            <w:tcW w:w="154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3"/>
              </w:rPr>
              <w:t>107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3.03</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Inability To Determine Rates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83"/>
              </w:rPr>
              <w:t>106</w:t>
            </w:r>
          </w:p>
        </w:tc>
        <w:tc>
          <w:tcPr>
            <w:tcW w:w="154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3"/>
              </w:rPr>
              <w:t>108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3.04</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Increased Costs and Reduced Return; Capital Adequacy</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83"/>
              </w:rPr>
              <w:t>107</w:t>
            </w:r>
          </w:p>
        </w:tc>
        <w:tc>
          <w:tcPr>
            <w:tcW w:w="154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3"/>
              </w:rPr>
              <w:t>109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360" w:right="239" w:bottom="1440" w:gutter="0" w:footer="0" w:header="0"/>
        </w:sect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56515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80" w:top="360" w:right="239" w:bottom="1440" w:gutter="0" w:footer="0" w:header="0"/>
          <w:type w:val="continuous"/>
        </w:sectPr>
      </w:pPr>
    </w:p>
    <w:bookmarkStart w:id="192" w:name="page193"/>
    <w:bookmarkEnd w:id="192"/>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6"/>
          </w:tcPr>
          <w:p>
            <w:pPr>
              <w:ind w:left="1240"/>
              <w:spacing w:after="0"/>
              <w:rPr>
                <w:sz w:val="20"/>
                <w:szCs w:val="20"/>
                <w:color w:val="auto"/>
              </w:rPr>
            </w:pPr>
            <w:r>
              <w:rPr>
                <w:rFonts w:ascii="Arial" w:cs="Arial" w:eastAsia="Arial" w:hAnsi="Arial"/>
                <w:sz w:val="20"/>
                <w:szCs w:val="20"/>
                <w:color w:val="auto"/>
                <w:w w:val="76"/>
              </w:rPr>
              <w:t>Page</w:t>
            </w:r>
          </w:p>
        </w:tc>
        <w:tc>
          <w:tcPr>
            <w:tcW w:w="0" w:type="dxa"/>
            <w:vAlign w:val="bottom"/>
          </w:tcPr>
          <w:p>
            <w:pPr>
              <w:spacing w:after="0"/>
              <w:rPr>
                <w:sz w:val="1"/>
                <w:szCs w:val="1"/>
                <w:color w:val="auto"/>
              </w:rPr>
            </w:pPr>
          </w:p>
        </w:tc>
      </w:tr>
      <w:tr>
        <w:trPr>
          <w:trHeight w:val="642"/>
        </w:trPr>
        <w:tc>
          <w:tcPr>
            <w:tcW w:w="1000" w:type="dxa"/>
            <w:vAlign w:val="bottom"/>
          </w:tcPr>
          <w:p>
            <w:pPr>
              <w:spacing w:after="0"/>
              <w:rPr>
                <w:sz w:val="20"/>
                <w:szCs w:val="20"/>
                <w:color w:val="auto"/>
              </w:rPr>
            </w:pPr>
            <w:r>
              <w:rPr>
                <w:rFonts w:ascii="Arial" w:cs="Arial" w:eastAsia="Arial" w:hAnsi="Arial"/>
                <w:sz w:val="20"/>
                <w:szCs w:val="20"/>
                <w:color w:val="auto"/>
                <w:w w:val="88"/>
              </w:rPr>
              <w:t>Section 3.05</w:t>
            </w:r>
          </w:p>
        </w:tc>
        <w:tc>
          <w:tcPr>
            <w:tcW w:w="8420" w:type="dxa"/>
            <w:vAlign w:val="bottom"/>
            <w:gridSpan w:val="3"/>
          </w:tcPr>
          <w:p>
            <w:pPr>
              <w:ind w:left="1100"/>
              <w:spacing w:after="0"/>
              <w:rPr>
                <w:sz w:val="20"/>
                <w:szCs w:val="20"/>
                <w:color w:val="auto"/>
              </w:rPr>
            </w:pPr>
            <w:r>
              <w:rPr>
                <w:rFonts w:ascii="Arial" w:cs="Arial" w:eastAsia="Arial" w:hAnsi="Arial"/>
                <w:sz w:val="20"/>
                <w:szCs w:val="20"/>
                <w:color w:val="auto"/>
              </w:rPr>
              <w:t>Compensation for Losses</w:t>
            </w:r>
          </w:p>
        </w:tc>
        <w:tc>
          <w:tcPr>
            <w:tcW w:w="340" w:type="dxa"/>
            <w:vAlign w:val="bottom"/>
          </w:tcPr>
          <w:p>
            <w:pPr>
              <w:jc w:val="right"/>
              <w:spacing w:after="0"/>
              <w:rPr>
                <w:sz w:val="20"/>
                <w:szCs w:val="20"/>
                <w:color w:val="auto"/>
              </w:rPr>
            </w:pPr>
            <w:r>
              <w:rPr>
                <w:rFonts w:ascii="Arial" w:cs="Arial" w:eastAsia="Arial" w:hAnsi="Arial"/>
                <w:sz w:val="20"/>
                <w:szCs w:val="20"/>
                <w:color w:val="FF0000"/>
                <w:strike w:val="1"/>
                <w:w w:val="95"/>
              </w:rPr>
              <w:t>108</w:t>
            </w:r>
          </w:p>
        </w:tc>
        <w:tc>
          <w:tcPr>
            <w:tcW w:w="1240" w:type="dxa"/>
            <w:vAlign w:val="bottom"/>
          </w:tcPr>
          <w:p>
            <w:pPr>
              <w:spacing w:after="0"/>
              <w:rPr>
                <w:sz w:val="24"/>
                <w:szCs w:val="24"/>
                <w:color w:val="auto"/>
              </w:rPr>
            </w:pPr>
          </w:p>
        </w:tc>
        <w:tc>
          <w:tcPr>
            <w:tcW w:w="32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20"/>
                <w:szCs w:val="20"/>
                <w:color w:val="0000FF"/>
                <w:w w:val="83"/>
              </w:rPr>
              <w:t>110</w:t>
            </w: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3.06</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Base Rate Loans Substituted for Affected Eurodollar Loans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108</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3.07</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Mitigation Obligations; Replacement of Lenders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109</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3.08</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Survival</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110</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vMerge w:val="restart"/>
          </w:tcPr>
          <w:p>
            <w:pPr>
              <w:jc w:val="center"/>
              <w:ind w:right="2201"/>
              <w:spacing w:after="0"/>
              <w:rPr>
                <w:sz w:val="20"/>
                <w:szCs w:val="20"/>
                <w:color w:val="auto"/>
              </w:rPr>
            </w:pPr>
            <w:r>
              <w:rPr>
                <w:rFonts w:ascii="Arial" w:cs="Arial" w:eastAsia="Arial" w:hAnsi="Arial"/>
                <w:sz w:val="20"/>
                <w:szCs w:val="20"/>
                <w:color w:val="auto"/>
                <w:w w:val="96"/>
              </w:rPr>
              <w:t>ARTICLE IV.</w:t>
            </w: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300" w:type="dxa"/>
            <w:vAlign w:val="bottom"/>
            <w:gridSpan w:val="2"/>
          </w:tcPr>
          <w:p>
            <w:pPr>
              <w:jc w:val="center"/>
              <w:ind w:right="101"/>
              <w:spacing w:after="0"/>
              <w:rPr>
                <w:sz w:val="20"/>
                <w:szCs w:val="20"/>
                <w:color w:val="auto"/>
              </w:rPr>
            </w:pPr>
            <w:r>
              <w:rPr>
                <w:rFonts w:ascii="Arial" w:cs="Arial" w:eastAsia="Arial" w:hAnsi="Arial"/>
                <w:sz w:val="20"/>
                <w:szCs w:val="20"/>
                <w:color w:val="auto"/>
                <w:w w:val="94"/>
              </w:rPr>
              <w:t>CONDITIONS PRECEDENT TO CREDIT EXTENSIONS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000" w:type="dxa"/>
            <w:vAlign w:val="bottom"/>
          </w:tcPr>
          <w:p>
            <w:pPr>
              <w:spacing w:after="0"/>
              <w:rPr>
                <w:sz w:val="20"/>
                <w:szCs w:val="20"/>
                <w:color w:val="auto"/>
              </w:rPr>
            </w:pPr>
            <w:r>
              <w:rPr>
                <w:rFonts w:ascii="Arial" w:cs="Arial" w:eastAsia="Arial" w:hAnsi="Arial"/>
                <w:sz w:val="20"/>
                <w:szCs w:val="20"/>
                <w:color w:val="auto"/>
                <w:w w:val="88"/>
              </w:rPr>
              <w:t>Section 4.01</w:t>
            </w:r>
          </w:p>
        </w:tc>
        <w:tc>
          <w:tcPr>
            <w:tcW w:w="8420" w:type="dxa"/>
            <w:vAlign w:val="bottom"/>
            <w:gridSpan w:val="3"/>
          </w:tcPr>
          <w:p>
            <w:pPr>
              <w:ind w:left="1100"/>
              <w:spacing w:after="0"/>
              <w:rPr>
                <w:sz w:val="20"/>
                <w:szCs w:val="20"/>
                <w:color w:val="auto"/>
              </w:rPr>
            </w:pPr>
            <w:r>
              <w:rPr>
                <w:rFonts w:ascii="Arial" w:cs="Arial" w:eastAsia="Arial" w:hAnsi="Arial"/>
                <w:sz w:val="20"/>
                <w:szCs w:val="20"/>
                <w:color w:val="auto"/>
              </w:rPr>
              <w:t>Conditions to Initial Credit Extension</w:t>
            </w:r>
          </w:p>
        </w:tc>
        <w:tc>
          <w:tcPr>
            <w:tcW w:w="340" w:type="dxa"/>
            <w:vAlign w:val="bottom"/>
          </w:tcPr>
          <w:p>
            <w:pPr>
              <w:jc w:val="right"/>
              <w:spacing w:after="0"/>
              <w:rPr>
                <w:sz w:val="20"/>
                <w:szCs w:val="20"/>
                <w:color w:val="auto"/>
              </w:rPr>
            </w:pPr>
            <w:r>
              <w:rPr>
                <w:rFonts w:ascii="Arial" w:cs="Arial" w:eastAsia="Arial" w:hAnsi="Arial"/>
                <w:sz w:val="20"/>
                <w:szCs w:val="20"/>
                <w:color w:val="FF0000"/>
                <w:strike w:val="1"/>
                <w:w w:val="83"/>
              </w:rPr>
              <w:t>111</w:t>
            </w:r>
          </w:p>
        </w:tc>
        <w:tc>
          <w:tcPr>
            <w:tcW w:w="1540" w:type="dxa"/>
            <w:vAlign w:val="bottom"/>
            <w:gridSpan w:val="4"/>
          </w:tcPr>
          <w:p>
            <w:pPr>
              <w:jc w:val="right"/>
              <w:spacing w:after="0"/>
              <w:rPr>
                <w:sz w:val="20"/>
                <w:szCs w:val="20"/>
                <w:color w:val="auto"/>
              </w:rPr>
            </w:pPr>
            <w:r>
              <w:rPr>
                <w:rFonts w:ascii="Arial" w:cs="Arial" w:eastAsia="Arial" w:hAnsi="Arial"/>
                <w:sz w:val="20"/>
                <w:szCs w:val="20"/>
                <w:color w:val="0000FF"/>
              </w:rPr>
              <w:t>113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4.02</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Conditions to All Credit Extensions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83"/>
              </w:rPr>
              <w:t>114</w:t>
            </w:r>
          </w:p>
        </w:tc>
        <w:tc>
          <w:tcPr>
            <w:tcW w:w="1540" w:type="dxa"/>
            <w:vAlign w:val="bottom"/>
            <w:gridSpan w:val="4"/>
          </w:tcPr>
          <w:p>
            <w:pPr>
              <w:jc w:val="right"/>
              <w:spacing w:after="0" w:line="224" w:lineRule="exact"/>
              <w:rPr>
                <w:sz w:val="20"/>
                <w:szCs w:val="20"/>
                <w:color w:val="auto"/>
              </w:rPr>
            </w:pPr>
            <w:r>
              <w:rPr>
                <w:rFonts w:ascii="Arial" w:cs="Arial" w:eastAsia="Arial" w:hAnsi="Arial"/>
                <w:sz w:val="20"/>
                <w:szCs w:val="20"/>
                <w:color w:val="0000FF"/>
              </w:rPr>
              <w:t>116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vMerge w:val="restart"/>
          </w:tcPr>
          <w:p>
            <w:pPr>
              <w:jc w:val="center"/>
              <w:ind w:right="2181"/>
              <w:spacing w:after="0"/>
              <w:rPr>
                <w:sz w:val="20"/>
                <w:szCs w:val="20"/>
                <w:color w:val="auto"/>
              </w:rPr>
            </w:pPr>
            <w:r>
              <w:rPr>
                <w:rFonts w:ascii="Arial" w:cs="Arial" w:eastAsia="Arial" w:hAnsi="Arial"/>
                <w:sz w:val="20"/>
                <w:szCs w:val="20"/>
                <w:color w:val="auto"/>
                <w:w w:val="95"/>
              </w:rPr>
              <w:t>ARTICLE V.</w:t>
            </w: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300" w:type="dxa"/>
            <w:vAlign w:val="bottom"/>
            <w:gridSpan w:val="2"/>
          </w:tcPr>
          <w:p>
            <w:pPr>
              <w:jc w:val="center"/>
              <w:ind w:right="81"/>
              <w:spacing w:after="0"/>
              <w:rPr>
                <w:sz w:val="20"/>
                <w:szCs w:val="20"/>
                <w:color w:val="auto"/>
              </w:rPr>
            </w:pPr>
            <w:r>
              <w:rPr>
                <w:rFonts w:ascii="Arial" w:cs="Arial" w:eastAsia="Arial" w:hAnsi="Arial"/>
                <w:sz w:val="20"/>
                <w:szCs w:val="20"/>
                <w:color w:val="auto"/>
                <w:w w:val="93"/>
              </w:rPr>
              <w:t>REPRESENTATIONS AND WARRANTIES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1000" w:type="dxa"/>
            <w:vAlign w:val="bottom"/>
          </w:tcPr>
          <w:p>
            <w:pPr>
              <w:spacing w:after="0"/>
              <w:rPr>
                <w:sz w:val="20"/>
                <w:szCs w:val="20"/>
                <w:color w:val="auto"/>
              </w:rPr>
            </w:pPr>
            <w:r>
              <w:rPr>
                <w:rFonts w:ascii="Arial" w:cs="Arial" w:eastAsia="Arial" w:hAnsi="Arial"/>
                <w:sz w:val="20"/>
                <w:szCs w:val="20"/>
                <w:color w:val="auto"/>
                <w:w w:val="88"/>
              </w:rPr>
              <w:t>Section 5.01</w:t>
            </w:r>
          </w:p>
        </w:tc>
        <w:tc>
          <w:tcPr>
            <w:tcW w:w="8420" w:type="dxa"/>
            <w:vAlign w:val="bottom"/>
            <w:gridSpan w:val="3"/>
          </w:tcPr>
          <w:p>
            <w:pPr>
              <w:ind w:left="1100"/>
              <w:spacing w:after="0"/>
              <w:rPr>
                <w:sz w:val="20"/>
                <w:szCs w:val="20"/>
                <w:color w:val="auto"/>
              </w:rPr>
            </w:pPr>
            <w:r>
              <w:rPr>
                <w:rFonts w:ascii="Arial" w:cs="Arial" w:eastAsia="Arial" w:hAnsi="Arial"/>
                <w:sz w:val="20"/>
                <w:szCs w:val="20"/>
                <w:color w:val="auto"/>
              </w:rPr>
              <w:t>Existence, Qualification and Power</w:t>
            </w:r>
          </w:p>
        </w:tc>
        <w:tc>
          <w:tcPr>
            <w:tcW w:w="340" w:type="dxa"/>
            <w:vAlign w:val="bottom"/>
          </w:tcPr>
          <w:p>
            <w:pPr>
              <w:jc w:val="right"/>
              <w:spacing w:after="0"/>
              <w:rPr>
                <w:sz w:val="20"/>
                <w:szCs w:val="20"/>
                <w:color w:val="auto"/>
              </w:rPr>
            </w:pPr>
            <w:r>
              <w:rPr>
                <w:rFonts w:ascii="Arial" w:cs="Arial" w:eastAsia="Arial" w:hAnsi="Arial"/>
                <w:sz w:val="20"/>
                <w:szCs w:val="20"/>
                <w:color w:val="FF0000"/>
                <w:strike w:val="1"/>
                <w:w w:val="95"/>
              </w:rPr>
              <w:t>115</w:t>
            </w:r>
          </w:p>
        </w:tc>
        <w:tc>
          <w:tcPr>
            <w:tcW w:w="1560" w:type="dxa"/>
            <w:vAlign w:val="bottom"/>
            <w:gridSpan w:val="5"/>
          </w:tcPr>
          <w:p>
            <w:pPr>
              <w:jc w:val="right"/>
              <w:ind w:right="20"/>
              <w:spacing w:after="0"/>
              <w:rPr>
                <w:sz w:val="20"/>
                <w:szCs w:val="20"/>
                <w:color w:val="auto"/>
              </w:rPr>
            </w:pPr>
            <w:r>
              <w:rPr>
                <w:rFonts w:ascii="Arial" w:cs="Arial" w:eastAsia="Arial" w:hAnsi="Arial"/>
                <w:sz w:val="20"/>
                <w:szCs w:val="20"/>
                <w:color w:val="0000FF"/>
              </w:rPr>
              <w:t>117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5.02</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Authorization; No Contravention</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115</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5.03</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Governmental Authorization; Other Consents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115</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5.04</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Binding Effect</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115</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5.05</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Financial Condition; No Material Adverse Effect</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116</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5.06</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Litigation</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116</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5.07</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Ownership of Property, Liens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116</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5.08</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Environmental Matters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117</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5.09</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Insurance</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117</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5.10</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Taxes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118</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5.11</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ERISA; Foreign Pension Plans; Employee Benefit Arrangements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118</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5.12</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Subsidiaries; Equity Interests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119</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5.13</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Margin Regulations; Investment Company Act</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119</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5.14</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Disclosure</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120</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5.15</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Compliance with Law</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120</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5.16</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Intellectual Property</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120</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5.17</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Use of Proceeds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120</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5.18</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Solvency</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121</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5.19</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Collateral Documents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121</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5.20</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Senior Indebtedness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123</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5.21</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Anti-Money Laundering and Economic Sanctions Laws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123</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5.22</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Anti-Corruption Laws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124</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5.23</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No Default</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125</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5.24</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Labor Relations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125</w:t>
            </w: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0000FF"/>
                <w:w w:val="88"/>
              </w:rPr>
              <w:t>Section 5.25</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0000FF"/>
              </w:rPr>
              <w:t>EEA Financial Institutions</w:t>
            </w:r>
          </w:p>
        </w:tc>
        <w:tc>
          <w:tcPr>
            <w:tcW w:w="340" w:type="dxa"/>
            <w:vAlign w:val="bottom"/>
          </w:tcPr>
          <w:p>
            <w:pPr>
              <w:spacing w:after="0"/>
              <w:rPr>
                <w:sz w:val="19"/>
                <w:szCs w:val="19"/>
                <w:color w:val="auto"/>
              </w:rPr>
            </w:pPr>
          </w:p>
        </w:tc>
        <w:tc>
          <w:tcPr>
            <w:tcW w:w="1560" w:type="dxa"/>
            <w:vAlign w:val="bottom"/>
            <w:gridSpan w:val="5"/>
          </w:tcPr>
          <w:p>
            <w:pPr>
              <w:jc w:val="right"/>
              <w:ind w:right="20"/>
              <w:spacing w:after="0" w:line="224" w:lineRule="exact"/>
              <w:rPr>
                <w:sz w:val="20"/>
                <w:szCs w:val="20"/>
                <w:color w:val="auto"/>
              </w:rPr>
            </w:pPr>
            <w:r>
              <w:rPr>
                <w:rFonts w:ascii="Arial" w:cs="Arial" w:eastAsia="Arial" w:hAnsi="Arial"/>
                <w:sz w:val="20"/>
                <w:szCs w:val="20"/>
                <w:color w:val="0000FF"/>
              </w:rPr>
              <w:t>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0000FF"/>
              <w:bottom w:val="single" w:sz="8" w:color="0000FF"/>
            </w:tcBorders>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2100" w:type="dxa"/>
            <w:vAlign w:val="bottom"/>
            <w:tcBorders>
              <w:top w:val="single" w:sz="8" w:color="0000FF"/>
              <w:bottom w:val="single" w:sz="8" w:color="0000FF"/>
            </w:tcBorders>
          </w:tcPr>
          <w:p>
            <w:pPr>
              <w:spacing w:after="0" w:line="20" w:lineRule="exact"/>
              <w:rPr>
                <w:sz w:val="1"/>
                <w:szCs w:val="1"/>
                <w:color w:val="auto"/>
              </w:rPr>
            </w:pPr>
          </w:p>
        </w:tc>
        <w:tc>
          <w:tcPr>
            <w:tcW w:w="5200" w:type="dxa"/>
            <w:vAlign w:val="bottom"/>
            <w:vMerge w:val="restart"/>
          </w:tcPr>
          <w:p>
            <w:pPr>
              <w:jc w:val="center"/>
              <w:ind w:right="2201"/>
              <w:spacing w:after="0"/>
              <w:rPr>
                <w:sz w:val="20"/>
                <w:szCs w:val="20"/>
                <w:color w:val="auto"/>
              </w:rPr>
            </w:pPr>
            <w:r>
              <w:rPr>
                <w:rFonts w:ascii="Arial" w:cs="Arial" w:eastAsia="Arial" w:hAnsi="Arial"/>
                <w:sz w:val="20"/>
                <w:szCs w:val="20"/>
                <w:color w:val="auto"/>
                <w:w w:val="99"/>
              </w:rPr>
              <w:t>ARTICLE VI.</w:t>
            </w: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0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52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00" w:type="dxa"/>
            <w:vAlign w:val="bottom"/>
          </w:tcPr>
          <w:p>
            <w:pPr>
              <w:jc w:val="center"/>
              <w:ind w:right="2181"/>
              <w:spacing w:after="0"/>
              <w:rPr>
                <w:sz w:val="20"/>
                <w:szCs w:val="20"/>
                <w:color w:val="auto"/>
              </w:rPr>
            </w:pPr>
            <w:r>
              <w:rPr>
                <w:rFonts w:ascii="Arial" w:cs="Arial" w:eastAsia="Arial" w:hAnsi="Arial"/>
                <w:sz w:val="20"/>
                <w:szCs w:val="20"/>
                <w:color w:val="auto"/>
                <w:w w:val="97"/>
              </w:rPr>
              <w:t>AFFIRMATIVE COVENANTS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1000" w:type="dxa"/>
            <w:vAlign w:val="bottom"/>
          </w:tcPr>
          <w:p>
            <w:pPr>
              <w:spacing w:after="0"/>
              <w:rPr>
                <w:sz w:val="20"/>
                <w:szCs w:val="20"/>
                <w:color w:val="auto"/>
              </w:rPr>
            </w:pPr>
            <w:r>
              <w:rPr>
                <w:rFonts w:ascii="Arial" w:cs="Arial" w:eastAsia="Arial" w:hAnsi="Arial"/>
                <w:sz w:val="20"/>
                <w:szCs w:val="20"/>
                <w:color w:val="auto"/>
                <w:w w:val="88"/>
              </w:rPr>
              <w:t>Section 6.01</w:t>
            </w:r>
          </w:p>
        </w:tc>
        <w:tc>
          <w:tcPr>
            <w:tcW w:w="8420" w:type="dxa"/>
            <w:vAlign w:val="bottom"/>
            <w:gridSpan w:val="3"/>
          </w:tcPr>
          <w:p>
            <w:pPr>
              <w:ind w:left="1100"/>
              <w:spacing w:after="0"/>
              <w:rPr>
                <w:sz w:val="20"/>
                <w:szCs w:val="20"/>
                <w:color w:val="auto"/>
              </w:rPr>
            </w:pPr>
            <w:r>
              <w:rPr>
                <w:rFonts w:ascii="Arial" w:cs="Arial" w:eastAsia="Arial" w:hAnsi="Arial"/>
                <w:sz w:val="20"/>
                <w:szCs w:val="20"/>
                <w:color w:val="auto"/>
              </w:rPr>
              <w:t>Financial Statements and Other Information</w:t>
            </w:r>
          </w:p>
        </w:tc>
        <w:tc>
          <w:tcPr>
            <w:tcW w:w="340" w:type="dxa"/>
            <w:vAlign w:val="bottom"/>
          </w:tcPr>
          <w:p>
            <w:pPr>
              <w:jc w:val="right"/>
              <w:spacing w:after="0"/>
              <w:rPr>
                <w:sz w:val="20"/>
                <w:szCs w:val="20"/>
                <w:color w:val="auto"/>
              </w:rPr>
            </w:pPr>
            <w:r>
              <w:rPr>
                <w:rFonts w:ascii="Arial" w:cs="Arial" w:eastAsia="Arial" w:hAnsi="Arial"/>
                <w:sz w:val="20"/>
                <w:szCs w:val="20"/>
                <w:color w:val="FF0000"/>
                <w:strike w:val="1"/>
                <w:w w:val="83"/>
              </w:rPr>
              <w:t>125</w:t>
            </w:r>
          </w:p>
        </w:tc>
        <w:tc>
          <w:tcPr>
            <w:tcW w:w="1540" w:type="dxa"/>
            <w:vAlign w:val="bottom"/>
            <w:gridSpan w:val="4"/>
          </w:tcPr>
          <w:p>
            <w:pPr>
              <w:jc w:val="right"/>
              <w:spacing w:after="0"/>
              <w:rPr>
                <w:sz w:val="20"/>
                <w:szCs w:val="20"/>
                <w:color w:val="auto"/>
              </w:rPr>
            </w:pPr>
            <w:r>
              <w:rPr>
                <w:rFonts w:ascii="Arial" w:cs="Arial" w:eastAsia="Arial" w:hAnsi="Arial"/>
                <w:sz w:val="20"/>
                <w:szCs w:val="20"/>
                <w:color w:val="0000FF"/>
              </w:rPr>
              <w:t>127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4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6.02</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Notices of Material Events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83"/>
              </w:rPr>
              <w:t>126</w:t>
            </w:r>
          </w:p>
        </w:tc>
        <w:tc>
          <w:tcPr>
            <w:tcW w:w="1540" w:type="dxa"/>
            <w:vAlign w:val="bottom"/>
            <w:gridSpan w:val="4"/>
          </w:tcPr>
          <w:p>
            <w:pPr>
              <w:jc w:val="right"/>
              <w:spacing w:after="0" w:line="224" w:lineRule="exact"/>
              <w:rPr>
                <w:sz w:val="20"/>
                <w:szCs w:val="20"/>
                <w:color w:val="auto"/>
              </w:rPr>
            </w:pPr>
            <w:r>
              <w:rPr>
                <w:rFonts w:ascii="Arial" w:cs="Arial" w:eastAsia="Arial" w:hAnsi="Arial"/>
                <w:sz w:val="20"/>
                <w:szCs w:val="20"/>
                <w:color w:val="0000FF"/>
              </w:rPr>
              <w:t>129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4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6.03</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Existence; Conduct of Business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83"/>
              </w:rPr>
              <w:t>127</w:t>
            </w:r>
          </w:p>
        </w:tc>
        <w:tc>
          <w:tcPr>
            <w:tcW w:w="1540" w:type="dxa"/>
            <w:vAlign w:val="bottom"/>
            <w:gridSpan w:val="4"/>
          </w:tcPr>
          <w:p>
            <w:pPr>
              <w:jc w:val="right"/>
              <w:spacing w:after="0" w:line="224" w:lineRule="exact"/>
              <w:rPr>
                <w:sz w:val="20"/>
                <w:szCs w:val="20"/>
                <w:color w:val="auto"/>
              </w:rPr>
            </w:pPr>
            <w:r>
              <w:rPr>
                <w:rFonts w:ascii="Arial" w:cs="Arial" w:eastAsia="Arial" w:hAnsi="Arial"/>
                <w:sz w:val="20"/>
                <w:szCs w:val="20"/>
                <w:color w:val="0000FF"/>
              </w:rPr>
              <w:t>129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4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6.04</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Payment of Obligations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83"/>
              </w:rPr>
              <w:t>127</w:t>
            </w:r>
          </w:p>
        </w:tc>
        <w:tc>
          <w:tcPr>
            <w:tcW w:w="1540" w:type="dxa"/>
            <w:vAlign w:val="bottom"/>
            <w:gridSpan w:val="4"/>
          </w:tcPr>
          <w:p>
            <w:pPr>
              <w:jc w:val="right"/>
              <w:spacing w:after="0" w:line="224" w:lineRule="exact"/>
              <w:rPr>
                <w:sz w:val="20"/>
                <w:szCs w:val="20"/>
                <w:color w:val="auto"/>
              </w:rPr>
            </w:pPr>
            <w:r>
              <w:rPr>
                <w:rFonts w:ascii="Arial" w:cs="Arial" w:eastAsia="Arial" w:hAnsi="Arial"/>
                <w:sz w:val="20"/>
                <w:szCs w:val="20"/>
                <w:color w:val="0000FF"/>
              </w:rPr>
              <w:t>129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4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0" w:type="dxa"/>
            <w:vAlign w:val="bottom"/>
          </w:tcPr>
          <w:p>
            <w:pPr>
              <w:spacing w:after="0" w:line="224" w:lineRule="exact"/>
              <w:rPr>
                <w:sz w:val="20"/>
                <w:szCs w:val="20"/>
                <w:color w:val="auto"/>
              </w:rPr>
            </w:pPr>
            <w:r>
              <w:rPr>
                <w:rFonts w:ascii="Arial" w:cs="Arial" w:eastAsia="Arial" w:hAnsi="Arial"/>
                <w:sz w:val="20"/>
                <w:szCs w:val="20"/>
                <w:color w:val="auto"/>
                <w:w w:val="88"/>
              </w:rPr>
              <w:t>Section 6.05</w:t>
            </w:r>
          </w:p>
        </w:tc>
        <w:tc>
          <w:tcPr>
            <w:tcW w:w="8420" w:type="dxa"/>
            <w:vAlign w:val="bottom"/>
            <w:gridSpan w:val="3"/>
          </w:tcPr>
          <w:p>
            <w:pPr>
              <w:ind w:left="1100"/>
              <w:spacing w:after="0" w:line="224" w:lineRule="exact"/>
              <w:rPr>
                <w:sz w:val="20"/>
                <w:szCs w:val="20"/>
                <w:color w:val="auto"/>
              </w:rPr>
            </w:pPr>
            <w:r>
              <w:rPr>
                <w:rFonts w:ascii="Arial" w:cs="Arial" w:eastAsia="Arial" w:hAnsi="Arial"/>
                <w:sz w:val="20"/>
                <w:szCs w:val="20"/>
                <w:color w:val="auto"/>
              </w:rPr>
              <w:t>Maintenance of Properties; Insurance</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83"/>
              </w:rPr>
              <w:t>127</w:t>
            </w:r>
          </w:p>
        </w:tc>
        <w:tc>
          <w:tcPr>
            <w:tcW w:w="1540" w:type="dxa"/>
            <w:vAlign w:val="bottom"/>
            <w:gridSpan w:val="4"/>
          </w:tcPr>
          <w:p>
            <w:pPr>
              <w:jc w:val="right"/>
              <w:spacing w:after="0" w:line="224" w:lineRule="exact"/>
              <w:rPr>
                <w:sz w:val="20"/>
                <w:szCs w:val="20"/>
                <w:color w:val="auto"/>
              </w:rPr>
            </w:pPr>
            <w:r>
              <w:rPr>
                <w:rFonts w:ascii="Arial" w:cs="Arial" w:eastAsia="Arial" w:hAnsi="Arial"/>
                <w:sz w:val="20"/>
                <w:szCs w:val="20"/>
                <w:color w:val="0000FF"/>
              </w:rPr>
              <w:t>129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558" w:right="239" w:bottom="1440" w:gutter="0" w:footer="0" w:header="0"/>
        </w:sect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80" w:top="558" w:right="239" w:bottom="1440" w:gutter="0" w:footer="0" w:header="0"/>
          <w:type w:val="continuous"/>
        </w:sectPr>
      </w:pPr>
    </w:p>
    <w:bookmarkStart w:id="193" w:name="page194"/>
    <w:bookmarkEnd w:id="193"/>
    <w:tbl>
      <w:tblPr>
        <w:tblLayout w:type="fixed"/>
        <w:tblInd w:w="0" w:type="dxa"/>
        <w:tblCellMar>
          <w:top w:w="0" w:type="dxa"/>
          <w:left w:w="0" w:type="dxa"/>
          <w:bottom w:w="0" w:type="dxa"/>
          <w:right w:w="0" w:type="dxa"/>
        </w:tblCellMar>
      </w:tblPr>
      <w:tr>
        <w:trPr>
          <w:trHeight w:val="230"/>
        </w:trPr>
        <w:tc>
          <w:tcPr>
            <w:tcW w:w="156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6"/>
          </w:tcPr>
          <w:p>
            <w:pPr>
              <w:ind w:left="1240"/>
              <w:spacing w:after="0"/>
              <w:rPr>
                <w:sz w:val="20"/>
                <w:szCs w:val="20"/>
                <w:color w:val="auto"/>
              </w:rPr>
            </w:pPr>
            <w:r>
              <w:rPr>
                <w:rFonts w:ascii="Arial" w:cs="Arial" w:eastAsia="Arial" w:hAnsi="Arial"/>
                <w:sz w:val="20"/>
                <w:szCs w:val="20"/>
                <w:color w:val="auto"/>
                <w:w w:val="76"/>
              </w:rPr>
              <w:t>Page</w:t>
            </w:r>
          </w:p>
        </w:tc>
        <w:tc>
          <w:tcPr>
            <w:tcW w:w="0" w:type="dxa"/>
            <w:vAlign w:val="bottom"/>
          </w:tcPr>
          <w:p>
            <w:pPr>
              <w:spacing w:after="0"/>
              <w:rPr>
                <w:sz w:val="1"/>
                <w:szCs w:val="1"/>
                <w:color w:val="auto"/>
              </w:rPr>
            </w:pPr>
          </w:p>
        </w:tc>
      </w:tr>
      <w:tr>
        <w:trPr>
          <w:trHeight w:val="642"/>
        </w:trPr>
        <w:tc>
          <w:tcPr>
            <w:tcW w:w="1560" w:type="dxa"/>
            <w:vAlign w:val="bottom"/>
          </w:tcPr>
          <w:p>
            <w:pPr>
              <w:spacing w:after="0"/>
              <w:rPr>
                <w:sz w:val="20"/>
                <w:szCs w:val="20"/>
                <w:color w:val="auto"/>
              </w:rPr>
            </w:pPr>
            <w:r>
              <w:rPr>
                <w:rFonts w:ascii="Arial" w:cs="Arial" w:eastAsia="Arial" w:hAnsi="Arial"/>
                <w:sz w:val="20"/>
                <w:szCs w:val="20"/>
                <w:color w:val="auto"/>
              </w:rPr>
              <w:t>Section 6.06</w:t>
            </w:r>
          </w:p>
        </w:tc>
        <w:tc>
          <w:tcPr>
            <w:tcW w:w="7860" w:type="dxa"/>
            <w:vAlign w:val="bottom"/>
          </w:tcPr>
          <w:p>
            <w:pPr>
              <w:ind w:left="540"/>
              <w:spacing w:after="0"/>
              <w:rPr>
                <w:sz w:val="20"/>
                <w:szCs w:val="20"/>
                <w:color w:val="auto"/>
              </w:rPr>
            </w:pPr>
            <w:r>
              <w:rPr>
                <w:rFonts w:ascii="Arial" w:cs="Arial" w:eastAsia="Arial" w:hAnsi="Arial"/>
                <w:sz w:val="20"/>
                <w:szCs w:val="20"/>
                <w:color w:val="auto"/>
              </w:rPr>
              <w:t>Books and Records; Inspection Rights</w:t>
            </w:r>
          </w:p>
        </w:tc>
        <w:tc>
          <w:tcPr>
            <w:tcW w:w="340" w:type="dxa"/>
            <w:vAlign w:val="bottom"/>
          </w:tcPr>
          <w:p>
            <w:pPr>
              <w:jc w:val="right"/>
              <w:spacing w:after="0"/>
              <w:rPr>
                <w:sz w:val="20"/>
                <w:szCs w:val="20"/>
                <w:color w:val="auto"/>
              </w:rPr>
            </w:pPr>
            <w:r>
              <w:rPr>
                <w:rFonts w:ascii="Arial" w:cs="Arial" w:eastAsia="Arial" w:hAnsi="Arial"/>
                <w:sz w:val="20"/>
                <w:szCs w:val="20"/>
                <w:color w:val="FF0000"/>
                <w:strike w:val="1"/>
                <w:w w:val="95"/>
              </w:rPr>
              <w:t>127</w:t>
            </w:r>
          </w:p>
        </w:tc>
        <w:tc>
          <w:tcPr>
            <w:tcW w:w="1240" w:type="dxa"/>
            <w:vAlign w:val="bottom"/>
          </w:tcPr>
          <w:p>
            <w:pPr>
              <w:spacing w:after="0"/>
              <w:rPr>
                <w:sz w:val="24"/>
                <w:szCs w:val="24"/>
                <w:color w:val="auto"/>
              </w:rPr>
            </w:pPr>
          </w:p>
        </w:tc>
        <w:tc>
          <w:tcPr>
            <w:tcW w:w="320" w:type="dxa"/>
            <w:vAlign w:val="bottom"/>
            <w:tcBorders>
              <w:top w:val="single" w:sz="8" w:color="auto"/>
            </w:tcBorders>
            <w:gridSpan w:val="4"/>
          </w:tcPr>
          <w:p>
            <w:pPr>
              <w:spacing w:after="0"/>
              <w:rPr>
                <w:sz w:val="20"/>
                <w:szCs w:val="20"/>
                <w:color w:val="auto"/>
              </w:rPr>
            </w:pPr>
            <w:r>
              <w:rPr>
                <w:rFonts w:ascii="Arial" w:cs="Arial" w:eastAsia="Arial" w:hAnsi="Arial"/>
                <w:sz w:val="20"/>
                <w:szCs w:val="20"/>
                <w:color w:val="0000FF"/>
                <w:w w:val="89"/>
              </w:rPr>
              <w:t>130</w:t>
            </w: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6.07</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Compliance with Laws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128</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6.08</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Use of Proceeds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128</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6.09</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Subsidiary Guarantors; Pledges; Additional Collateral; Further Assurances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128</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6.10</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Designation of Subsidiaries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130</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6.11</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[Reserved]</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131</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6.12</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Compliance with Environmental Laws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131</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6.13</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Post-Closing Collateral Matters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131</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vMerge w:val="restart"/>
          </w:tcPr>
          <w:p>
            <w:pPr>
              <w:jc w:val="center"/>
              <w:ind w:left="281"/>
              <w:spacing w:after="0"/>
              <w:rPr>
                <w:sz w:val="20"/>
                <w:szCs w:val="20"/>
                <w:color w:val="auto"/>
              </w:rPr>
            </w:pPr>
            <w:r>
              <w:rPr>
                <w:rFonts w:ascii="Arial" w:cs="Arial" w:eastAsia="Arial" w:hAnsi="Arial"/>
                <w:sz w:val="20"/>
                <w:szCs w:val="20"/>
                <w:color w:val="auto"/>
                <w:w w:val="99"/>
              </w:rPr>
              <w:t>ARTICLE VII.</w:t>
            </w: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1560" w:type="dxa"/>
            <w:vAlign w:val="bottom"/>
          </w:tcPr>
          <w:p>
            <w:pPr>
              <w:spacing w:after="0"/>
              <w:rPr>
                <w:sz w:val="24"/>
                <w:szCs w:val="24"/>
                <w:color w:val="auto"/>
              </w:rPr>
            </w:pPr>
          </w:p>
        </w:tc>
        <w:tc>
          <w:tcPr>
            <w:tcW w:w="7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560" w:type="dxa"/>
            <w:vAlign w:val="bottom"/>
          </w:tcPr>
          <w:p>
            <w:pPr>
              <w:spacing w:after="0"/>
              <w:rPr>
                <w:sz w:val="24"/>
                <w:szCs w:val="24"/>
                <w:color w:val="auto"/>
              </w:rPr>
            </w:pPr>
          </w:p>
        </w:tc>
        <w:tc>
          <w:tcPr>
            <w:tcW w:w="7860" w:type="dxa"/>
            <w:vAlign w:val="bottom"/>
          </w:tcPr>
          <w:p>
            <w:pPr>
              <w:jc w:val="center"/>
              <w:ind w:left="261"/>
              <w:spacing w:after="0"/>
              <w:rPr>
                <w:sz w:val="20"/>
                <w:szCs w:val="20"/>
                <w:color w:val="auto"/>
              </w:rPr>
            </w:pPr>
            <w:r>
              <w:rPr>
                <w:rFonts w:ascii="Arial" w:cs="Arial" w:eastAsia="Arial" w:hAnsi="Arial"/>
                <w:sz w:val="20"/>
                <w:szCs w:val="20"/>
                <w:color w:val="auto"/>
                <w:w w:val="96"/>
              </w:rPr>
              <w:t>NEGATIVE COVENANTS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560" w:type="dxa"/>
            <w:vAlign w:val="bottom"/>
          </w:tcPr>
          <w:p>
            <w:pPr>
              <w:spacing w:after="0"/>
              <w:rPr>
                <w:sz w:val="20"/>
                <w:szCs w:val="20"/>
                <w:color w:val="auto"/>
              </w:rPr>
            </w:pPr>
            <w:r>
              <w:rPr>
                <w:rFonts w:ascii="Arial" w:cs="Arial" w:eastAsia="Arial" w:hAnsi="Arial"/>
                <w:sz w:val="20"/>
                <w:szCs w:val="20"/>
                <w:color w:val="auto"/>
              </w:rPr>
              <w:t>Section 7.01</w:t>
            </w:r>
          </w:p>
        </w:tc>
        <w:tc>
          <w:tcPr>
            <w:tcW w:w="7860" w:type="dxa"/>
            <w:vAlign w:val="bottom"/>
          </w:tcPr>
          <w:p>
            <w:pPr>
              <w:ind w:left="540"/>
              <w:spacing w:after="0"/>
              <w:rPr>
                <w:sz w:val="20"/>
                <w:szCs w:val="20"/>
                <w:color w:val="auto"/>
              </w:rPr>
            </w:pPr>
            <w:r>
              <w:rPr>
                <w:rFonts w:ascii="Arial" w:cs="Arial" w:eastAsia="Arial" w:hAnsi="Arial"/>
                <w:sz w:val="20"/>
                <w:szCs w:val="20"/>
                <w:color w:val="auto"/>
              </w:rPr>
              <w:t>Indebtedness</w:t>
            </w:r>
          </w:p>
        </w:tc>
        <w:tc>
          <w:tcPr>
            <w:tcW w:w="340" w:type="dxa"/>
            <w:vAlign w:val="bottom"/>
          </w:tcPr>
          <w:p>
            <w:pPr>
              <w:jc w:val="right"/>
              <w:spacing w:after="0"/>
              <w:rPr>
                <w:sz w:val="20"/>
                <w:szCs w:val="20"/>
                <w:color w:val="auto"/>
              </w:rPr>
            </w:pPr>
            <w:r>
              <w:rPr>
                <w:rFonts w:ascii="Arial" w:cs="Arial" w:eastAsia="Arial" w:hAnsi="Arial"/>
                <w:sz w:val="20"/>
                <w:szCs w:val="20"/>
                <w:color w:val="FF0000"/>
                <w:strike w:val="1"/>
                <w:w w:val="95"/>
              </w:rPr>
              <w:t>131</w:t>
            </w:r>
          </w:p>
        </w:tc>
        <w:tc>
          <w:tcPr>
            <w:tcW w:w="1560" w:type="dxa"/>
            <w:vAlign w:val="bottom"/>
            <w:gridSpan w:val="5"/>
          </w:tcPr>
          <w:p>
            <w:pPr>
              <w:ind w:left="1240"/>
              <w:spacing w:after="0"/>
              <w:rPr>
                <w:sz w:val="20"/>
                <w:szCs w:val="20"/>
                <w:color w:val="auto"/>
              </w:rPr>
            </w:pPr>
            <w:r>
              <w:rPr>
                <w:rFonts w:ascii="Arial" w:cs="Arial" w:eastAsia="Arial" w:hAnsi="Arial"/>
                <w:sz w:val="20"/>
                <w:szCs w:val="20"/>
                <w:color w:val="0000FF"/>
                <w:w w:val="89"/>
              </w:rPr>
              <w:t>133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7.02</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Liens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133</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7.03</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Fundamental Changes and Asset Sales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136</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7.04</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Investments, Loans, Advances, Guarantees and Acquisitions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138</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7.05</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Transactions with Affiliates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141</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7.06</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Restricted Payments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141</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7.07</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Restrictive Agreements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143</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vMerge w:val="restart"/>
          </w:tcPr>
          <w:p>
            <w:pPr>
              <w:spacing w:after="0"/>
              <w:rPr>
                <w:sz w:val="20"/>
                <w:szCs w:val="20"/>
                <w:color w:val="auto"/>
              </w:rPr>
            </w:pPr>
            <w:r>
              <w:rPr>
                <w:rFonts w:ascii="Arial" w:cs="Arial" w:eastAsia="Arial" w:hAnsi="Arial"/>
                <w:sz w:val="20"/>
                <w:szCs w:val="20"/>
                <w:color w:val="auto"/>
              </w:rPr>
              <w:t>Section 7.08</w:t>
            </w:r>
          </w:p>
        </w:tc>
        <w:tc>
          <w:tcPr>
            <w:tcW w:w="7860" w:type="dxa"/>
            <w:vAlign w:val="bottom"/>
            <w:vMerge w:val="restart"/>
          </w:tcPr>
          <w:p>
            <w:pPr>
              <w:ind w:left="540"/>
              <w:spacing w:after="0"/>
              <w:rPr>
                <w:sz w:val="20"/>
                <w:szCs w:val="20"/>
                <w:color w:val="auto"/>
              </w:rPr>
            </w:pPr>
            <w:r>
              <w:rPr>
                <w:rFonts w:ascii="Arial" w:cs="Arial" w:eastAsia="Arial" w:hAnsi="Arial"/>
                <w:sz w:val="20"/>
                <w:szCs w:val="20"/>
                <w:color w:val="auto"/>
              </w:rPr>
              <w:t>Amendments to Subordinated Indebtedness Documents or Organization</w:t>
            </w: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560" w:type="dxa"/>
            <w:vAlign w:val="bottom"/>
            <w:vMerge w:val="continue"/>
          </w:tcPr>
          <w:p>
            <w:pPr>
              <w:spacing w:after="0"/>
              <w:rPr>
                <w:sz w:val="19"/>
                <w:szCs w:val="19"/>
                <w:color w:val="auto"/>
              </w:rPr>
            </w:pPr>
          </w:p>
        </w:tc>
        <w:tc>
          <w:tcPr>
            <w:tcW w:w="78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560" w:type="dxa"/>
            <w:vAlign w:val="bottom"/>
          </w:tcPr>
          <w:p>
            <w:pPr>
              <w:spacing w:after="0"/>
              <w:rPr>
                <w:sz w:val="20"/>
                <w:szCs w:val="20"/>
                <w:color w:val="auto"/>
              </w:rPr>
            </w:pPr>
          </w:p>
        </w:tc>
        <w:tc>
          <w:tcPr>
            <w:tcW w:w="7860" w:type="dxa"/>
            <w:vAlign w:val="bottom"/>
          </w:tcPr>
          <w:p>
            <w:pPr>
              <w:ind w:left="800"/>
              <w:spacing w:after="0"/>
              <w:rPr>
                <w:sz w:val="20"/>
                <w:szCs w:val="20"/>
                <w:color w:val="auto"/>
              </w:rPr>
            </w:pPr>
            <w:r>
              <w:rPr>
                <w:rFonts w:ascii="Arial" w:cs="Arial" w:eastAsia="Arial" w:hAnsi="Arial"/>
                <w:sz w:val="20"/>
                <w:szCs w:val="20"/>
                <w:color w:val="auto"/>
              </w:rPr>
              <w:t>Documents; Prepayments of Indebtedness</w:t>
            </w:r>
          </w:p>
        </w:tc>
        <w:tc>
          <w:tcPr>
            <w:tcW w:w="340" w:type="dxa"/>
            <w:vAlign w:val="bottom"/>
          </w:tcPr>
          <w:p>
            <w:pPr>
              <w:jc w:val="right"/>
              <w:spacing w:after="0"/>
              <w:rPr>
                <w:sz w:val="20"/>
                <w:szCs w:val="20"/>
                <w:color w:val="auto"/>
              </w:rPr>
            </w:pPr>
            <w:r>
              <w:rPr>
                <w:rFonts w:ascii="Arial" w:cs="Arial" w:eastAsia="Arial" w:hAnsi="Arial"/>
                <w:sz w:val="20"/>
                <w:szCs w:val="20"/>
                <w:color w:val="FF0000"/>
                <w:strike w:val="1"/>
                <w:w w:val="95"/>
              </w:rPr>
              <w:t>144</w:t>
            </w:r>
          </w:p>
        </w:tc>
        <w:tc>
          <w:tcPr>
            <w:tcW w:w="1560" w:type="dxa"/>
            <w:vAlign w:val="bottom"/>
            <w:gridSpan w:val="5"/>
          </w:tcPr>
          <w:p>
            <w:pPr>
              <w:ind w:left="1240"/>
              <w:spacing w:after="0"/>
              <w:rPr>
                <w:sz w:val="20"/>
                <w:szCs w:val="20"/>
                <w:color w:val="auto"/>
              </w:rPr>
            </w:pPr>
            <w:r>
              <w:rPr>
                <w:rFonts w:ascii="Arial" w:cs="Arial" w:eastAsia="Arial" w:hAnsi="Arial"/>
                <w:sz w:val="20"/>
                <w:szCs w:val="20"/>
                <w:color w:val="0000FF"/>
                <w:w w:val="89"/>
              </w:rPr>
              <w:t>146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7.09</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Sale/Leaseback Transactions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144</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7.10</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Financial Covenants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144</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vMerge w:val="restart"/>
          </w:tcPr>
          <w:p>
            <w:pPr>
              <w:jc w:val="center"/>
              <w:ind w:left="261"/>
              <w:spacing w:after="0"/>
              <w:rPr>
                <w:sz w:val="20"/>
                <w:szCs w:val="20"/>
                <w:color w:val="auto"/>
              </w:rPr>
            </w:pPr>
            <w:r>
              <w:rPr>
                <w:rFonts w:ascii="Arial" w:cs="Arial" w:eastAsia="Arial" w:hAnsi="Arial"/>
                <w:sz w:val="20"/>
                <w:szCs w:val="20"/>
                <w:color w:val="auto"/>
              </w:rPr>
              <w:t>ARTICLE VIII.</w:t>
            </w: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1560" w:type="dxa"/>
            <w:vAlign w:val="bottom"/>
          </w:tcPr>
          <w:p>
            <w:pPr>
              <w:spacing w:after="0"/>
              <w:rPr>
                <w:sz w:val="24"/>
                <w:szCs w:val="24"/>
                <w:color w:val="auto"/>
              </w:rPr>
            </w:pPr>
          </w:p>
        </w:tc>
        <w:tc>
          <w:tcPr>
            <w:tcW w:w="7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560" w:type="dxa"/>
            <w:vAlign w:val="bottom"/>
          </w:tcPr>
          <w:p>
            <w:pPr>
              <w:spacing w:after="0"/>
              <w:rPr>
                <w:sz w:val="24"/>
                <w:szCs w:val="24"/>
                <w:color w:val="auto"/>
              </w:rPr>
            </w:pPr>
          </w:p>
        </w:tc>
        <w:tc>
          <w:tcPr>
            <w:tcW w:w="7860" w:type="dxa"/>
            <w:vAlign w:val="bottom"/>
          </w:tcPr>
          <w:p>
            <w:pPr>
              <w:jc w:val="center"/>
              <w:ind w:left="261"/>
              <w:spacing w:after="0"/>
              <w:rPr>
                <w:sz w:val="20"/>
                <w:szCs w:val="20"/>
                <w:color w:val="auto"/>
              </w:rPr>
            </w:pPr>
            <w:r>
              <w:rPr>
                <w:rFonts w:ascii="Arial" w:cs="Arial" w:eastAsia="Arial" w:hAnsi="Arial"/>
                <w:sz w:val="20"/>
                <w:szCs w:val="20"/>
                <w:color w:val="auto"/>
                <w:w w:val="94"/>
              </w:rPr>
              <w:t>EVENTS OF DEFAULT</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560" w:type="dxa"/>
            <w:vAlign w:val="bottom"/>
          </w:tcPr>
          <w:p>
            <w:pPr>
              <w:spacing w:after="0"/>
              <w:rPr>
                <w:sz w:val="20"/>
                <w:szCs w:val="20"/>
                <w:color w:val="auto"/>
              </w:rPr>
            </w:pPr>
            <w:r>
              <w:rPr>
                <w:rFonts w:ascii="Arial" w:cs="Arial" w:eastAsia="Arial" w:hAnsi="Arial"/>
                <w:sz w:val="20"/>
                <w:szCs w:val="20"/>
                <w:color w:val="auto"/>
              </w:rPr>
              <w:t>Section 8.01</w:t>
            </w:r>
          </w:p>
        </w:tc>
        <w:tc>
          <w:tcPr>
            <w:tcW w:w="7860" w:type="dxa"/>
            <w:vAlign w:val="bottom"/>
          </w:tcPr>
          <w:p>
            <w:pPr>
              <w:ind w:left="540"/>
              <w:spacing w:after="0"/>
              <w:rPr>
                <w:sz w:val="20"/>
                <w:szCs w:val="20"/>
                <w:color w:val="auto"/>
              </w:rPr>
            </w:pPr>
            <w:r>
              <w:rPr>
                <w:rFonts w:ascii="Arial" w:cs="Arial" w:eastAsia="Arial" w:hAnsi="Arial"/>
                <w:sz w:val="20"/>
                <w:szCs w:val="20"/>
                <w:color w:val="auto"/>
              </w:rPr>
              <w:t>Events of Default</w:t>
            </w:r>
          </w:p>
        </w:tc>
        <w:tc>
          <w:tcPr>
            <w:tcW w:w="340" w:type="dxa"/>
            <w:vAlign w:val="bottom"/>
          </w:tcPr>
          <w:p>
            <w:pPr>
              <w:jc w:val="right"/>
              <w:spacing w:after="0"/>
              <w:rPr>
                <w:sz w:val="20"/>
                <w:szCs w:val="20"/>
                <w:color w:val="auto"/>
              </w:rPr>
            </w:pPr>
            <w:r>
              <w:rPr>
                <w:rFonts w:ascii="Arial" w:cs="Arial" w:eastAsia="Arial" w:hAnsi="Arial"/>
                <w:sz w:val="20"/>
                <w:szCs w:val="20"/>
                <w:color w:val="FF0000"/>
                <w:strike w:val="1"/>
                <w:w w:val="83"/>
              </w:rPr>
              <w:t>145</w:t>
            </w:r>
          </w:p>
        </w:tc>
        <w:tc>
          <w:tcPr>
            <w:tcW w:w="1540" w:type="dxa"/>
            <w:vAlign w:val="bottom"/>
            <w:gridSpan w:val="4"/>
          </w:tcPr>
          <w:p>
            <w:pPr>
              <w:ind w:left="1240"/>
              <w:spacing w:after="0"/>
              <w:rPr>
                <w:sz w:val="20"/>
                <w:szCs w:val="20"/>
                <w:color w:val="auto"/>
              </w:rPr>
            </w:pPr>
            <w:r>
              <w:rPr>
                <w:rFonts w:ascii="Arial" w:cs="Arial" w:eastAsia="Arial" w:hAnsi="Arial"/>
                <w:sz w:val="20"/>
                <w:szCs w:val="20"/>
                <w:color w:val="0000FF"/>
                <w:w w:val="83"/>
              </w:rPr>
              <w:t>147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8.02</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Acceleration; Remedies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83"/>
              </w:rPr>
              <w:t>147</w:t>
            </w:r>
          </w:p>
        </w:tc>
        <w:tc>
          <w:tcPr>
            <w:tcW w:w="154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3"/>
              </w:rPr>
              <w:t>149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8.03</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Allocation of Payments After Event of Default</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83"/>
              </w:rPr>
              <w:t>148</w:t>
            </w:r>
          </w:p>
        </w:tc>
        <w:tc>
          <w:tcPr>
            <w:tcW w:w="154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3"/>
              </w:rPr>
              <w:t>150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vMerge w:val="restart"/>
          </w:tcPr>
          <w:p>
            <w:pPr>
              <w:jc w:val="center"/>
              <w:ind w:left="261"/>
              <w:spacing w:after="0"/>
              <w:rPr>
                <w:sz w:val="20"/>
                <w:szCs w:val="20"/>
                <w:color w:val="auto"/>
              </w:rPr>
            </w:pPr>
            <w:r>
              <w:rPr>
                <w:rFonts w:ascii="Arial" w:cs="Arial" w:eastAsia="Arial" w:hAnsi="Arial"/>
                <w:sz w:val="20"/>
                <w:szCs w:val="20"/>
                <w:color w:val="auto"/>
                <w:w w:val="99"/>
              </w:rPr>
              <w:t>ARTICLE IX.</w:t>
            </w: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560" w:type="dxa"/>
            <w:vAlign w:val="bottom"/>
          </w:tcPr>
          <w:p>
            <w:pPr>
              <w:spacing w:after="0"/>
              <w:rPr>
                <w:sz w:val="18"/>
                <w:szCs w:val="18"/>
                <w:color w:val="auto"/>
              </w:rPr>
            </w:pPr>
          </w:p>
        </w:tc>
        <w:tc>
          <w:tcPr>
            <w:tcW w:w="78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560" w:type="dxa"/>
            <w:vAlign w:val="bottom"/>
          </w:tcPr>
          <w:p>
            <w:pPr>
              <w:spacing w:after="0"/>
              <w:rPr>
                <w:sz w:val="24"/>
                <w:szCs w:val="24"/>
                <w:color w:val="auto"/>
              </w:rPr>
            </w:pPr>
          </w:p>
        </w:tc>
        <w:tc>
          <w:tcPr>
            <w:tcW w:w="7860" w:type="dxa"/>
            <w:vAlign w:val="bottom"/>
          </w:tcPr>
          <w:p>
            <w:pPr>
              <w:jc w:val="center"/>
              <w:ind w:left="281"/>
              <w:spacing w:after="0"/>
              <w:rPr>
                <w:sz w:val="20"/>
                <w:szCs w:val="20"/>
                <w:color w:val="auto"/>
              </w:rPr>
            </w:pPr>
            <w:r>
              <w:rPr>
                <w:rFonts w:ascii="Arial" w:cs="Arial" w:eastAsia="Arial" w:hAnsi="Arial"/>
                <w:sz w:val="20"/>
                <w:szCs w:val="20"/>
                <w:color w:val="auto"/>
                <w:w w:val="95"/>
              </w:rPr>
              <w:t>AGENCY PROVISIONS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1560" w:type="dxa"/>
            <w:vAlign w:val="bottom"/>
          </w:tcPr>
          <w:p>
            <w:pPr>
              <w:spacing w:after="0"/>
              <w:rPr>
                <w:sz w:val="20"/>
                <w:szCs w:val="20"/>
                <w:color w:val="auto"/>
              </w:rPr>
            </w:pPr>
            <w:r>
              <w:rPr>
                <w:rFonts w:ascii="Arial" w:cs="Arial" w:eastAsia="Arial" w:hAnsi="Arial"/>
                <w:sz w:val="20"/>
                <w:szCs w:val="20"/>
                <w:color w:val="auto"/>
              </w:rPr>
              <w:t>Section 9.01</w:t>
            </w:r>
          </w:p>
        </w:tc>
        <w:tc>
          <w:tcPr>
            <w:tcW w:w="7860" w:type="dxa"/>
            <w:vAlign w:val="bottom"/>
          </w:tcPr>
          <w:p>
            <w:pPr>
              <w:ind w:left="540"/>
              <w:spacing w:after="0"/>
              <w:rPr>
                <w:sz w:val="20"/>
                <w:szCs w:val="20"/>
                <w:color w:val="auto"/>
              </w:rPr>
            </w:pPr>
            <w:r>
              <w:rPr>
                <w:rFonts w:ascii="Arial" w:cs="Arial" w:eastAsia="Arial" w:hAnsi="Arial"/>
                <w:sz w:val="20"/>
                <w:szCs w:val="20"/>
                <w:color w:val="auto"/>
              </w:rPr>
              <w:t>Appointment and Authority</w:t>
            </w:r>
          </w:p>
        </w:tc>
        <w:tc>
          <w:tcPr>
            <w:tcW w:w="340" w:type="dxa"/>
            <w:vAlign w:val="bottom"/>
          </w:tcPr>
          <w:p>
            <w:pPr>
              <w:jc w:val="right"/>
              <w:spacing w:after="0"/>
              <w:rPr>
                <w:sz w:val="20"/>
                <w:szCs w:val="20"/>
                <w:color w:val="auto"/>
              </w:rPr>
            </w:pPr>
            <w:r>
              <w:rPr>
                <w:rFonts w:ascii="Arial" w:cs="Arial" w:eastAsia="Arial" w:hAnsi="Arial"/>
                <w:sz w:val="20"/>
                <w:szCs w:val="20"/>
                <w:color w:val="FF0000"/>
                <w:strike w:val="1"/>
                <w:w w:val="95"/>
              </w:rPr>
              <w:t>150</w:t>
            </w:r>
          </w:p>
        </w:tc>
        <w:tc>
          <w:tcPr>
            <w:tcW w:w="1560" w:type="dxa"/>
            <w:vAlign w:val="bottom"/>
            <w:gridSpan w:val="5"/>
          </w:tcPr>
          <w:p>
            <w:pPr>
              <w:ind w:left="1240"/>
              <w:spacing w:after="0"/>
              <w:rPr>
                <w:sz w:val="20"/>
                <w:szCs w:val="20"/>
                <w:color w:val="auto"/>
              </w:rPr>
            </w:pPr>
            <w:r>
              <w:rPr>
                <w:rFonts w:ascii="Arial" w:cs="Arial" w:eastAsia="Arial" w:hAnsi="Arial"/>
                <w:sz w:val="20"/>
                <w:szCs w:val="20"/>
                <w:color w:val="0000FF"/>
                <w:w w:val="89"/>
              </w:rPr>
              <w:t>152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9.02</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Rights as a Lender</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151</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9.03</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Exculpatory Provisions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151</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9.04</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Reliance by Agents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152</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9.05</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Delegation of Duties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153</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9.06</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Indemnification of Agents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153</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9.07</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Resignation of Agents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153</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9.08</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Non-Reliance on Agents and Other Lenders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155</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9.09</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No Other Duties, etc</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155</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9.10</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Administrative Agent May File Proofs of Claim; Credit Bidding</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155</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9.11</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Collateral and Guaranty Matters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156</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9.12</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Related Obligations</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157</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60" w:type="dxa"/>
            <w:vAlign w:val="bottom"/>
          </w:tcPr>
          <w:p>
            <w:pPr>
              <w:spacing w:after="0" w:line="224" w:lineRule="exact"/>
              <w:rPr>
                <w:sz w:val="20"/>
                <w:szCs w:val="20"/>
                <w:color w:val="auto"/>
              </w:rPr>
            </w:pPr>
            <w:r>
              <w:rPr>
                <w:rFonts w:ascii="Arial" w:cs="Arial" w:eastAsia="Arial" w:hAnsi="Arial"/>
                <w:sz w:val="20"/>
                <w:szCs w:val="20"/>
                <w:color w:val="auto"/>
              </w:rPr>
              <w:t>Section 9.13</w:t>
            </w:r>
          </w:p>
        </w:tc>
        <w:tc>
          <w:tcPr>
            <w:tcW w:w="7860" w:type="dxa"/>
            <w:vAlign w:val="bottom"/>
          </w:tcPr>
          <w:p>
            <w:pPr>
              <w:ind w:left="540"/>
              <w:spacing w:after="0" w:line="224" w:lineRule="exact"/>
              <w:rPr>
                <w:sz w:val="20"/>
                <w:szCs w:val="20"/>
                <w:color w:val="auto"/>
              </w:rPr>
            </w:pPr>
            <w:r>
              <w:rPr>
                <w:rFonts w:ascii="Arial" w:cs="Arial" w:eastAsia="Arial" w:hAnsi="Arial"/>
                <w:sz w:val="20"/>
                <w:szCs w:val="20"/>
                <w:color w:val="auto"/>
              </w:rPr>
              <w:t>Withholding Tax</w:t>
            </w:r>
          </w:p>
        </w:tc>
        <w:tc>
          <w:tcPr>
            <w:tcW w:w="340" w:type="dxa"/>
            <w:vAlign w:val="bottom"/>
          </w:tcPr>
          <w:p>
            <w:pPr>
              <w:jc w:val="right"/>
              <w:spacing w:after="0" w:line="224" w:lineRule="exact"/>
              <w:rPr>
                <w:sz w:val="20"/>
                <w:szCs w:val="20"/>
                <w:color w:val="auto"/>
              </w:rPr>
            </w:pPr>
            <w:r>
              <w:rPr>
                <w:rFonts w:ascii="Arial" w:cs="Arial" w:eastAsia="Arial" w:hAnsi="Arial"/>
                <w:sz w:val="20"/>
                <w:szCs w:val="20"/>
                <w:color w:val="FF0000"/>
                <w:strike w:val="1"/>
                <w:w w:val="95"/>
              </w:rPr>
              <w:t>158</w:t>
            </w:r>
          </w:p>
        </w:tc>
        <w:tc>
          <w:tcPr>
            <w:tcW w:w="1560" w:type="dxa"/>
            <w:vAlign w:val="bottom"/>
            <w:gridSpan w:val="5"/>
          </w:tcPr>
          <w:p>
            <w:pPr>
              <w:ind w:left="1240"/>
              <w:spacing w:after="0" w:line="224" w:lineRule="exact"/>
              <w:rPr>
                <w:sz w:val="20"/>
                <w:szCs w:val="20"/>
                <w:color w:val="auto"/>
              </w:rPr>
            </w:pPr>
            <w:r>
              <w:rPr>
                <w:rFonts w:ascii="Arial" w:cs="Arial" w:eastAsia="Arial" w:hAnsi="Arial"/>
                <w:sz w:val="20"/>
                <w:szCs w:val="20"/>
                <w:color w:val="0000FF"/>
                <w:w w:val="89"/>
              </w:rPr>
              <w:t>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558" w:right="239" w:bottom="1440" w:gutter="0" w:footer="0" w:header="0"/>
        </w:sect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80" w:top="558" w:right="239" w:bottom="1440" w:gutter="0" w:footer="0" w:header="0"/>
          <w:type w:val="continuous"/>
        </w:sectPr>
      </w:pPr>
    </w:p>
    <w:bookmarkStart w:id="194" w:name="page195"/>
    <w:bookmarkEnd w:id="194"/>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20" w:type="dxa"/>
            <w:vAlign w:val="bottom"/>
            <w:gridSpan w:val="5"/>
          </w:tcPr>
          <w:p>
            <w:pPr>
              <w:ind w:left="1240"/>
              <w:spacing w:after="0"/>
              <w:rPr>
                <w:sz w:val="20"/>
                <w:szCs w:val="20"/>
                <w:color w:val="auto"/>
              </w:rPr>
            </w:pPr>
            <w:r>
              <w:rPr>
                <w:rFonts w:ascii="Arial" w:cs="Arial" w:eastAsia="Arial" w:hAnsi="Arial"/>
                <w:sz w:val="20"/>
                <w:szCs w:val="20"/>
                <w:color w:val="auto"/>
                <w:w w:val="76"/>
              </w:rPr>
              <w:t>Page</w:t>
            </w:r>
          </w:p>
        </w:tc>
        <w:tc>
          <w:tcPr>
            <w:tcW w:w="0" w:type="dxa"/>
            <w:vAlign w:val="bottom"/>
          </w:tcPr>
          <w:p>
            <w:pPr>
              <w:spacing w:after="0"/>
              <w:rPr>
                <w:sz w:val="1"/>
                <w:szCs w:val="1"/>
                <w:color w:val="auto"/>
              </w:rPr>
            </w:pPr>
          </w:p>
        </w:tc>
      </w:tr>
      <w:tr>
        <w:trPr>
          <w:trHeight w:val="638"/>
        </w:trPr>
        <w:tc>
          <w:tcPr>
            <w:tcW w:w="1100" w:type="dxa"/>
            <w:vAlign w:val="bottom"/>
            <w:gridSpan w:val="2"/>
          </w:tcPr>
          <w:p>
            <w:pPr>
              <w:spacing w:after="0"/>
              <w:rPr>
                <w:sz w:val="20"/>
                <w:szCs w:val="20"/>
                <w:color w:val="auto"/>
              </w:rPr>
            </w:pPr>
            <w:r>
              <w:rPr>
                <w:rFonts w:ascii="Arial" w:cs="Arial" w:eastAsia="Arial" w:hAnsi="Arial"/>
                <w:sz w:val="20"/>
                <w:szCs w:val="20"/>
                <w:color w:val="auto"/>
                <w:w w:val="97"/>
              </w:rPr>
              <w:t>Section 9.14</w:t>
            </w:r>
          </w:p>
        </w:tc>
        <w:tc>
          <w:tcPr>
            <w:tcW w:w="7600" w:type="dxa"/>
            <w:vAlign w:val="bottom"/>
            <w:gridSpan w:val="3"/>
          </w:tcPr>
          <w:p>
            <w:pPr>
              <w:ind w:left="1000"/>
              <w:spacing w:after="0"/>
              <w:rPr>
                <w:sz w:val="20"/>
                <w:szCs w:val="20"/>
                <w:color w:val="auto"/>
              </w:rPr>
            </w:pPr>
            <w:r>
              <w:rPr>
                <w:rFonts w:ascii="Arial" w:cs="Arial" w:eastAsia="Arial" w:hAnsi="Arial"/>
                <w:sz w:val="20"/>
                <w:szCs w:val="20"/>
                <w:color w:val="auto"/>
              </w:rPr>
              <w:t>Role of the Administrative Agent and Collateral Agent in connection with</w:t>
            </w: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580" w:type="dxa"/>
            <w:vAlign w:val="bottom"/>
            <w:gridSpan w:val="2"/>
          </w:tcPr>
          <w:p>
            <w:pPr>
              <w:ind w:left="240"/>
              <w:spacing w:after="0"/>
              <w:rPr>
                <w:sz w:val="20"/>
                <w:szCs w:val="20"/>
                <w:color w:val="auto"/>
              </w:rPr>
            </w:pPr>
            <w:r>
              <w:rPr>
                <w:rFonts w:ascii="Arial" w:cs="Arial" w:eastAsia="Arial" w:hAnsi="Arial"/>
                <w:sz w:val="20"/>
                <w:szCs w:val="20"/>
                <w:color w:val="auto"/>
              </w:rPr>
              <w:t>the</w:t>
            </w:r>
          </w:p>
        </w:tc>
        <w:tc>
          <w:tcPr>
            <w:tcW w:w="10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580" w:type="dxa"/>
            <w:vAlign w:val="bottom"/>
            <w:gridSpan w:val="2"/>
          </w:tcPr>
          <w:p>
            <w:pPr>
              <w:ind w:left="240"/>
              <w:spacing w:after="0"/>
              <w:rPr>
                <w:sz w:val="20"/>
                <w:szCs w:val="20"/>
                <w:color w:val="auto"/>
              </w:rPr>
            </w:pPr>
            <w:r>
              <w:rPr>
                <w:rFonts w:ascii="Arial" w:cs="Arial" w:eastAsia="Arial" w:hAnsi="Arial"/>
                <w:sz w:val="20"/>
                <w:szCs w:val="20"/>
                <w:color w:val="auto"/>
              </w:rPr>
              <w:t xml:space="preserve">Italian Collateral Documents. </w:t>
            </w:r>
            <w:r>
              <w:rPr>
                <w:rFonts w:ascii="Arial" w:cs="Arial" w:eastAsia="Arial" w:hAnsi="Arial"/>
                <w:sz w:val="20"/>
                <w:szCs w:val="20"/>
                <w:color w:val="FF0000"/>
                <w:strike w:val="1"/>
              </w:rPr>
              <w:t>:</w:t>
            </w:r>
          </w:p>
        </w:tc>
        <w:tc>
          <w:tcPr>
            <w:tcW w:w="1060" w:type="dxa"/>
            <w:vAlign w:val="bottom"/>
          </w:tcPr>
          <w:p>
            <w:pPr>
              <w:jc w:val="right"/>
              <w:spacing w:after="0"/>
              <w:rPr>
                <w:sz w:val="20"/>
                <w:szCs w:val="20"/>
                <w:color w:val="auto"/>
              </w:rPr>
            </w:pPr>
            <w:r>
              <w:rPr>
                <w:rFonts w:ascii="Arial" w:cs="Arial" w:eastAsia="Arial" w:hAnsi="Arial"/>
                <w:sz w:val="20"/>
                <w:szCs w:val="20"/>
                <w:color w:val="FF0000"/>
                <w:strike w:val="1"/>
              </w:rPr>
              <w:t>158</w:t>
            </w:r>
          </w:p>
        </w:tc>
        <w:tc>
          <w:tcPr>
            <w:tcW w:w="1540" w:type="dxa"/>
            <w:vAlign w:val="bottom"/>
            <w:gridSpan w:val="3"/>
          </w:tcPr>
          <w:p>
            <w:pPr>
              <w:ind w:left="1240"/>
              <w:spacing w:after="0"/>
              <w:rPr>
                <w:sz w:val="20"/>
                <w:szCs w:val="20"/>
                <w:color w:val="auto"/>
              </w:rPr>
            </w:pPr>
            <w:r>
              <w:rPr>
                <w:rFonts w:ascii="Arial" w:cs="Arial" w:eastAsia="Arial" w:hAnsi="Arial"/>
                <w:sz w:val="20"/>
                <w:szCs w:val="20"/>
                <w:color w:val="0000FF"/>
                <w:w w:val="83"/>
              </w:rPr>
              <w:t>161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580" w:type="dxa"/>
            <w:vAlign w:val="bottom"/>
            <w:gridSpan w:val="2"/>
            <w:vMerge w:val="restart"/>
          </w:tcPr>
          <w:p>
            <w:pPr>
              <w:jc w:val="center"/>
              <w:ind w:left="421"/>
              <w:spacing w:after="0"/>
              <w:rPr>
                <w:sz w:val="20"/>
                <w:szCs w:val="20"/>
                <w:color w:val="auto"/>
              </w:rPr>
            </w:pPr>
            <w:r>
              <w:rPr>
                <w:rFonts w:ascii="Arial" w:cs="Arial" w:eastAsia="Arial" w:hAnsi="Arial"/>
                <w:sz w:val="20"/>
                <w:szCs w:val="20"/>
                <w:color w:val="auto"/>
                <w:w w:val="97"/>
              </w:rPr>
              <w:t>ARTICLE X.</w:t>
            </w: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58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580" w:type="dxa"/>
            <w:vAlign w:val="bottom"/>
            <w:gridSpan w:val="2"/>
          </w:tcPr>
          <w:p>
            <w:pPr>
              <w:jc w:val="center"/>
              <w:ind w:left="421"/>
              <w:spacing w:after="0"/>
              <w:rPr>
                <w:sz w:val="20"/>
                <w:szCs w:val="20"/>
                <w:color w:val="auto"/>
              </w:rPr>
            </w:pPr>
            <w:r>
              <w:rPr>
                <w:rFonts w:ascii="Arial" w:cs="Arial" w:eastAsia="Arial" w:hAnsi="Arial"/>
                <w:sz w:val="20"/>
                <w:szCs w:val="20"/>
                <w:color w:val="auto"/>
                <w:w w:val="97"/>
              </w:rPr>
              <w:t>MISCELLANEOUS</w:t>
            </w: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100" w:type="dxa"/>
            <w:vAlign w:val="bottom"/>
            <w:gridSpan w:val="2"/>
          </w:tcPr>
          <w:p>
            <w:pPr>
              <w:spacing w:after="0"/>
              <w:rPr>
                <w:sz w:val="20"/>
                <w:szCs w:val="20"/>
                <w:color w:val="auto"/>
              </w:rPr>
            </w:pPr>
            <w:r>
              <w:rPr>
                <w:rFonts w:ascii="Arial" w:cs="Arial" w:eastAsia="Arial" w:hAnsi="Arial"/>
                <w:sz w:val="20"/>
                <w:szCs w:val="20"/>
                <w:color w:val="auto"/>
                <w:w w:val="88"/>
              </w:rPr>
              <w:t>Section 10.01</w:t>
            </w:r>
          </w:p>
        </w:tc>
        <w:tc>
          <w:tcPr>
            <w:tcW w:w="7600" w:type="dxa"/>
            <w:vAlign w:val="bottom"/>
            <w:gridSpan w:val="3"/>
          </w:tcPr>
          <w:p>
            <w:pPr>
              <w:ind w:left="1000"/>
              <w:spacing w:after="0"/>
              <w:rPr>
                <w:sz w:val="20"/>
                <w:szCs w:val="20"/>
                <w:color w:val="auto"/>
              </w:rPr>
            </w:pPr>
            <w:r>
              <w:rPr>
                <w:rFonts w:ascii="Arial" w:cs="Arial" w:eastAsia="Arial" w:hAnsi="Arial"/>
                <w:sz w:val="20"/>
                <w:szCs w:val="20"/>
                <w:color w:val="auto"/>
              </w:rPr>
              <w:t>Amendments, etc</w:t>
            </w:r>
          </w:p>
        </w:tc>
        <w:tc>
          <w:tcPr>
            <w:tcW w:w="1060" w:type="dxa"/>
            <w:vAlign w:val="bottom"/>
          </w:tcPr>
          <w:p>
            <w:pPr>
              <w:jc w:val="right"/>
              <w:spacing w:after="0"/>
              <w:rPr>
                <w:sz w:val="20"/>
                <w:szCs w:val="20"/>
                <w:color w:val="auto"/>
              </w:rPr>
            </w:pPr>
            <w:r>
              <w:rPr>
                <w:rFonts w:ascii="Arial" w:cs="Arial" w:eastAsia="Arial" w:hAnsi="Arial"/>
                <w:sz w:val="20"/>
                <w:szCs w:val="20"/>
                <w:color w:val="FF0000"/>
                <w:strike w:val="1"/>
              </w:rPr>
              <w:t>159</w:t>
            </w:r>
          </w:p>
        </w:tc>
        <w:tc>
          <w:tcPr>
            <w:tcW w:w="1560" w:type="dxa"/>
            <w:vAlign w:val="bottom"/>
            <w:gridSpan w:val="4"/>
          </w:tcPr>
          <w:p>
            <w:pPr>
              <w:ind w:left="1240"/>
              <w:spacing w:after="0"/>
              <w:rPr>
                <w:sz w:val="20"/>
                <w:szCs w:val="20"/>
                <w:color w:val="auto"/>
              </w:rPr>
            </w:pPr>
            <w:r>
              <w:rPr>
                <w:rFonts w:ascii="Arial" w:cs="Arial" w:eastAsia="Arial" w:hAnsi="Arial"/>
                <w:sz w:val="20"/>
                <w:szCs w:val="20"/>
                <w:color w:val="0000FF"/>
                <w:w w:val="89"/>
              </w:rPr>
              <w:t>161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00" w:type="dxa"/>
            <w:vAlign w:val="bottom"/>
            <w:gridSpan w:val="2"/>
          </w:tcPr>
          <w:p>
            <w:pPr>
              <w:spacing w:after="0" w:line="224" w:lineRule="exact"/>
              <w:rPr>
                <w:sz w:val="20"/>
                <w:szCs w:val="20"/>
                <w:color w:val="auto"/>
              </w:rPr>
            </w:pPr>
            <w:r>
              <w:rPr>
                <w:rFonts w:ascii="Arial" w:cs="Arial" w:eastAsia="Arial" w:hAnsi="Arial"/>
                <w:sz w:val="20"/>
                <w:szCs w:val="20"/>
                <w:color w:val="auto"/>
                <w:w w:val="88"/>
              </w:rPr>
              <w:t>Section 10.02</w:t>
            </w:r>
          </w:p>
        </w:tc>
        <w:tc>
          <w:tcPr>
            <w:tcW w:w="7600" w:type="dxa"/>
            <w:vAlign w:val="bottom"/>
            <w:gridSpan w:val="3"/>
          </w:tcPr>
          <w:p>
            <w:pPr>
              <w:ind w:left="1000"/>
              <w:spacing w:after="0" w:line="224" w:lineRule="exact"/>
              <w:rPr>
                <w:sz w:val="20"/>
                <w:szCs w:val="20"/>
                <w:color w:val="auto"/>
              </w:rPr>
            </w:pPr>
            <w:r>
              <w:rPr>
                <w:rFonts w:ascii="Arial" w:cs="Arial" w:eastAsia="Arial" w:hAnsi="Arial"/>
                <w:sz w:val="20"/>
                <w:szCs w:val="20"/>
                <w:color w:val="auto"/>
              </w:rPr>
              <w:t>Notices; Effectiveness; Electronic Communications</w:t>
            </w: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162</w:t>
            </w:r>
          </w:p>
        </w:tc>
        <w:tc>
          <w:tcPr>
            <w:tcW w:w="156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9"/>
              </w:rPr>
              <w:t>164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00" w:type="dxa"/>
            <w:vAlign w:val="bottom"/>
            <w:gridSpan w:val="2"/>
          </w:tcPr>
          <w:p>
            <w:pPr>
              <w:spacing w:after="0" w:line="224" w:lineRule="exact"/>
              <w:rPr>
                <w:sz w:val="20"/>
                <w:szCs w:val="20"/>
                <w:color w:val="auto"/>
              </w:rPr>
            </w:pPr>
            <w:r>
              <w:rPr>
                <w:rFonts w:ascii="Arial" w:cs="Arial" w:eastAsia="Arial" w:hAnsi="Arial"/>
                <w:sz w:val="20"/>
                <w:szCs w:val="20"/>
                <w:color w:val="auto"/>
                <w:w w:val="88"/>
              </w:rPr>
              <w:t>Section 10.03</w:t>
            </w:r>
          </w:p>
        </w:tc>
        <w:tc>
          <w:tcPr>
            <w:tcW w:w="7600" w:type="dxa"/>
            <w:vAlign w:val="bottom"/>
            <w:gridSpan w:val="3"/>
          </w:tcPr>
          <w:p>
            <w:pPr>
              <w:ind w:left="1000"/>
              <w:spacing w:after="0" w:line="224" w:lineRule="exact"/>
              <w:rPr>
                <w:sz w:val="20"/>
                <w:szCs w:val="20"/>
                <w:color w:val="auto"/>
              </w:rPr>
            </w:pPr>
            <w:r>
              <w:rPr>
                <w:rFonts w:ascii="Arial" w:cs="Arial" w:eastAsia="Arial" w:hAnsi="Arial"/>
                <w:sz w:val="20"/>
                <w:szCs w:val="20"/>
                <w:color w:val="auto"/>
              </w:rPr>
              <w:t>No Waiver; Cumulative Remedies; Enforcement</w:t>
            </w: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165</w:t>
            </w:r>
          </w:p>
        </w:tc>
        <w:tc>
          <w:tcPr>
            <w:tcW w:w="156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9"/>
              </w:rPr>
              <w:t>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00" w:type="dxa"/>
            <w:vAlign w:val="bottom"/>
            <w:gridSpan w:val="2"/>
          </w:tcPr>
          <w:p>
            <w:pPr>
              <w:spacing w:after="0" w:line="224" w:lineRule="exact"/>
              <w:rPr>
                <w:sz w:val="20"/>
                <w:szCs w:val="20"/>
                <w:color w:val="auto"/>
              </w:rPr>
            </w:pPr>
            <w:r>
              <w:rPr>
                <w:rFonts w:ascii="Arial" w:cs="Arial" w:eastAsia="Arial" w:hAnsi="Arial"/>
                <w:sz w:val="20"/>
                <w:szCs w:val="20"/>
                <w:color w:val="auto"/>
                <w:w w:val="88"/>
              </w:rPr>
              <w:t>Section 10.04</w:t>
            </w:r>
          </w:p>
        </w:tc>
        <w:tc>
          <w:tcPr>
            <w:tcW w:w="7600" w:type="dxa"/>
            <w:vAlign w:val="bottom"/>
            <w:gridSpan w:val="3"/>
          </w:tcPr>
          <w:p>
            <w:pPr>
              <w:ind w:left="1000"/>
              <w:spacing w:after="0" w:line="224" w:lineRule="exact"/>
              <w:rPr>
                <w:sz w:val="20"/>
                <w:szCs w:val="20"/>
                <w:color w:val="auto"/>
              </w:rPr>
            </w:pPr>
            <w:r>
              <w:rPr>
                <w:rFonts w:ascii="Arial" w:cs="Arial" w:eastAsia="Arial" w:hAnsi="Arial"/>
                <w:sz w:val="20"/>
                <w:szCs w:val="20"/>
                <w:color w:val="auto"/>
              </w:rPr>
              <w:t>Expenses; Indemnity; Damage Waiver</w:t>
            </w: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166</w:t>
            </w:r>
          </w:p>
        </w:tc>
        <w:tc>
          <w:tcPr>
            <w:tcW w:w="156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9"/>
              </w:rPr>
              <w:t>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00" w:type="dxa"/>
            <w:vAlign w:val="bottom"/>
            <w:gridSpan w:val="2"/>
          </w:tcPr>
          <w:p>
            <w:pPr>
              <w:spacing w:after="0" w:line="224" w:lineRule="exact"/>
              <w:rPr>
                <w:sz w:val="20"/>
                <w:szCs w:val="20"/>
                <w:color w:val="auto"/>
              </w:rPr>
            </w:pPr>
            <w:r>
              <w:rPr>
                <w:rFonts w:ascii="Arial" w:cs="Arial" w:eastAsia="Arial" w:hAnsi="Arial"/>
                <w:sz w:val="20"/>
                <w:szCs w:val="20"/>
                <w:color w:val="auto"/>
                <w:w w:val="88"/>
              </w:rPr>
              <w:t>Section 10.05</w:t>
            </w:r>
          </w:p>
        </w:tc>
        <w:tc>
          <w:tcPr>
            <w:tcW w:w="7600" w:type="dxa"/>
            <w:vAlign w:val="bottom"/>
            <w:gridSpan w:val="3"/>
          </w:tcPr>
          <w:p>
            <w:pPr>
              <w:ind w:left="1000"/>
              <w:spacing w:after="0" w:line="224" w:lineRule="exact"/>
              <w:rPr>
                <w:sz w:val="20"/>
                <w:szCs w:val="20"/>
                <w:color w:val="auto"/>
              </w:rPr>
            </w:pPr>
            <w:r>
              <w:rPr>
                <w:rFonts w:ascii="Arial" w:cs="Arial" w:eastAsia="Arial" w:hAnsi="Arial"/>
                <w:sz w:val="20"/>
                <w:szCs w:val="20"/>
                <w:color w:val="auto"/>
              </w:rPr>
              <w:t>Payments Set Aside</w:t>
            </w: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168</w:t>
            </w:r>
          </w:p>
        </w:tc>
        <w:tc>
          <w:tcPr>
            <w:tcW w:w="156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9"/>
              </w:rPr>
              <w:t>170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00" w:type="dxa"/>
            <w:vAlign w:val="bottom"/>
            <w:gridSpan w:val="2"/>
          </w:tcPr>
          <w:p>
            <w:pPr>
              <w:spacing w:after="0" w:line="224" w:lineRule="exact"/>
              <w:rPr>
                <w:sz w:val="20"/>
                <w:szCs w:val="20"/>
                <w:color w:val="auto"/>
              </w:rPr>
            </w:pPr>
            <w:r>
              <w:rPr>
                <w:rFonts w:ascii="Arial" w:cs="Arial" w:eastAsia="Arial" w:hAnsi="Arial"/>
                <w:sz w:val="20"/>
                <w:szCs w:val="20"/>
                <w:color w:val="auto"/>
                <w:w w:val="88"/>
              </w:rPr>
              <w:t>Section 10.06</w:t>
            </w:r>
          </w:p>
        </w:tc>
        <w:tc>
          <w:tcPr>
            <w:tcW w:w="7600" w:type="dxa"/>
            <w:vAlign w:val="bottom"/>
            <w:gridSpan w:val="3"/>
          </w:tcPr>
          <w:p>
            <w:pPr>
              <w:ind w:left="1000"/>
              <w:spacing w:after="0" w:line="224" w:lineRule="exact"/>
              <w:rPr>
                <w:sz w:val="20"/>
                <w:szCs w:val="20"/>
                <w:color w:val="auto"/>
              </w:rPr>
            </w:pPr>
            <w:r>
              <w:rPr>
                <w:rFonts w:ascii="Arial" w:cs="Arial" w:eastAsia="Arial" w:hAnsi="Arial"/>
                <w:sz w:val="20"/>
                <w:szCs w:val="20"/>
                <w:color w:val="auto"/>
              </w:rPr>
              <w:t>Successors and Assigns</w:t>
            </w: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168</w:t>
            </w:r>
          </w:p>
        </w:tc>
        <w:tc>
          <w:tcPr>
            <w:tcW w:w="156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9"/>
              </w:rPr>
              <w:t>171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00" w:type="dxa"/>
            <w:vAlign w:val="bottom"/>
            <w:gridSpan w:val="2"/>
          </w:tcPr>
          <w:p>
            <w:pPr>
              <w:spacing w:after="0" w:line="224" w:lineRule="exact"/>
              <w:rPr>
                <w:sz w:val="20"/>
                <w:szCs w:val="20"/>
                <w:color w:val="auto"/>
              </w:rPr>
            </w:pPr>
            <w:r>
              <w:rPr>
                <w:rFonts w:ascii="Arial" w:cs="Arial" w:eastAsia="Arial" w:hAnsi="Arial"/>
                <w:sz w:val="20"/>
                <w:szCs w:val="20"/>
                <w:color w:val="auto"/>
                <w:w w:val="88"/>
              </w:rPr>
              <w:t>Section 10.07</w:t>
            </w:r>
          </w:p>
        </w:tc>
        <w:tc>
          <w:tcPr>
            <w:tcW w:w="7600" w:type="dxa"/>
            <w:vAlign w:val="bottom"/>
            <w:gridSpan w:val="3"/>
          </w:tcPr>
          <w:p>
            <w:pPr>
              <w:ind w:left="1000"/>
              <w:spacing w:after="0" w:line="224" w:lineRule="exact"/>
              <w:rPr>
                <w:sz w:val="20"/>
                <w:szCs w:val="20"/>
                <w:color w:val="auto"/>
              </w:rPr>
            </w:pPr>
            <w:r>
              <w:rPr>
                <w:rFonts w:ascii="Arial" w:cs="Arial" w:eastAsia="Arial" w:hAnsi="Arial"/>
                <w:sz w:val="20"/>
                <w:szCs w:val="20"/>
                <w:color w:val="auto"/>
              </w:rPr>
              <w:t>Treatment of Certain Information; Confidentiality</w:t>
            </w: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173</w:t>
            </w:r>
          </w:p>
        </w:tc>
        <w:tc>
          <w:tcPr>
            <w:tcW w:w="156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9"/>
              </w:rPr>
              <w:t>176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00" w:type="dxa"/>
            <w:vAlign w:val="bottom"/>
            <w:gridSpan w:val="2"/>
          </w:tcPr>
          <w:p>
            <w:pPr>
              <w:spacing w:after="0" w:line="224" w:lineRule="exact"/>
              <w:rPr>
                <w:sz w:val="20"/>
                <w:szCs w:val="20"/>
                <w:color w:val="auto"/>
              </w:rPr>
            </w:pPr>
            <w:r>
              <w:rPr>
                <w:rFonts w:ascii="Arial" w:cs="Arial" w:eastAsia="Arial" w:hAnsi="Arial"/>
                <w:sz w:val="20"/>
                <w:szCs w:val="20"/>
                <w:color w:val="auto"/>
                <w:w w:val="88"/>
              </w:rPr>
              <w:t>Section 10.08</w:t>
            </w:r>
          </w:p>
        </w:tc>
        <w:tc>
          <w:tcPr>
            <w:tcW w:w="7600" w:type="dxa"/>
            <w:vAlign w:val="bottom"/>
            <w:gridSpan w:val="3"/>
          </w:tcPr>
          <w:p>
            <w:pPr>
              <w:ind w:left="1000"/>
              <w:spacing w:after="0" w:line="224" w:lineRule="exact"/>
              <w:rPr>
                <w:sz w:val="20"/>
                <w:szCs w:val="20"/>
                <w:color w:val="auto"/>
              </w:rPr>
            </w:pPr>
            <w:r>
              <w:rPr>
                <w:rFonts w:ascii="Arial" w:cs="Arial" w:eastAsia="Arial" w:hAnsi="Arial"/>
                <w:sz w:val="20"/>
                <w:szCs w:val="20"/>
                <w:color w:val="auto"/>
              </w:rPr>
              <w:t>Right of Setoff</w:t>
            </w: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174</w:t>
            </w:r>
          </w:p>
        </w:tc>
        <w:tc>
          <w:tcPr>
            <w:tcW w:w="156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9"/>
              </w:rPr>
              <w:t>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00" w:type="dxa"/>
            <w:vAlign w:val="bottom"/>
            <w:gridSpan w:val="2"/>
          </w:tcPr>
          <w:p>
            <w:pPr>
              <w:spacing w:after="0" w:line="224" w:lineRule="exact"/>
              <w:rPr>
                <w:sz w:val="20"/>
                <w:szCs w:val="20"/>
                <w:color w:val="auto"/>
              </w:rPr>
            </w:pPr>
            <w:r>
              <w:rPr>
                <w:rFonts w:ascii="Arial" w:cs="Arial" w:eastAsia="Arial" w:hAnsi="Arial"/>
                <w:sz w:val="20"/>
                <w:szCs w:val="20"/>
                <w:color w:val="auto"/>
                <w:w w:val="88"/>
              </w:rPr>
              <w:t>Section 10.09</w:t>
            </w:r>
          </w:p>
        </w:tc>
        <w:tc>
          <w:tcPr>
            <w:tcW w:w="7600" w:type="dxa"/>
            <w:vAlign w:val="bottom"/>
            <w:gridSpan w:val="3"/>
          </w:tcPr>
          <w:p>
            <w:pPr>
              <w:ind w:left="1000"/>
              <w:spacing w:after="0" w:line="224" w:lineRule="exact"/>
              <w:rPr>
                <w:sz w:val="20"/>
                <w:szCs w:val="20"/>
                <w:color w:val="auto"/>
              </w:rPr>
            </w:pPr>
            <w:r>
              <w:rPr>
                <w:rFonts w:ascii="Arial" w:cs="Arial" w:eastAsia="Arial" w:hAnsi="Arial"/>
                <w:sz w:val="20"/>
                <w:szCs w:val="20"/>
                <w:color w:val="auto"/>
              </w:rPr>
              <w:t>Interest Rate Limitation</w:t>
            </w: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175</w:t>
            </w:r>
          </w:p>
        </w:tc>
        <w:tc>
          <w:tcPr>
            <w:tcW w:w="156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9"/>
              </w:rPr>
              <w:t>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00" w:type="dxa"/>
            <w:vAlign w:val="bottom"/>
            <w:gridSpan w:val="2"/>
          </w:tcPr>
          <w:p>
            <w:pPr>
              <w:spacing w:after="0" w:line="224" w:lineRule="exact"/>
              <w:rPr>
                <w:sz w:val="20"/>
                <w:szCs w:val="20"/>
                <w:color w:val="auto"/>
              </w:rPr>
            </w:pPr>
            <w:r>
              <w:rPr>
                <w:rFonts w:ascii="Arial" w:cs="Arial" w:eastAsia="Arial" w:hAnsi="Arial"/>
                <w:sz w:val="20"/>
                <w:szCs w:val="20"/>
                <w:color w:val="auto"/>
                <w:w w:val="88"/>
              </w:rPr>
              <w:t>Section 10.10</w:t>
            </w:r>
          </w:p>
        </w:tc>
        <w:tc>
          <w:tcPr>
            <w:tcW w:w="7600" w:type="dxa"/>
            <w:vAlign w:val="bottom"/>
            <w:gridSpan w:val="3"/>
          </w:tcPr>
          <w:p>
            <w:pPr>
              <w:ind w:left="1000"/>
              <w:spacing w:after="0" w:line="224" w:lineRule="exact"/>
              <w:rPr>
                <w:sz w:val="20"/>
                <w:szCs w:val="20"/>
                <w:color w:val="auto"/>
              </w:rPr>
            </w:pPr>
            <w:r>
              <w:rPr>
                <w:rFonts w:ascii="Arial" w:cs="Arial" w:eastAsia="Arial" w:hAnsi="Arial"/>
                <w:sz w:val="20"/>
                <w:szCs w:val="20"/>
                <w:color w:val="auto"/>
              </w:rPr>
              <w:t>Counterparts; Integration; Effectiveness</w:t>
            </w: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175</w:t>
            </w:r>
          </w:p>
        </w:tc>
        <w:tc>
          <w:tcPr>
            <w:tcW w:w="156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9"/>
              </w:rPr>
              <w:t>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00" w:type="dxa"/>
            <w:vAlign w:val="bottom"/>
            <w:gridSpan w:val="2"/>
          </w:tcPr>
          <w:p>
            <w:pPr>
              <w:spacing w:after="0" w:line="224" w:lineRule="exact"/>
              <w:rPr>
                <w:sz w:val="20"/>
                <w:szCs w:val="20"/>
                <w:color w:val="auto"/>
              </w:rPr>
            </w:pPr>
            <w:r>
              <w:rPr>
                <w:rFonts w:ascii="Arial" w:cs="Arial" w:eastAsia="Arial" w:hAnsi="Arial"/>
                <w:sz w:val="20"/>
                <w:szCs w:val="20"/>
                <w:color w:val="auto"/>
                <w:w w:val="88"/>
              </w:rPr>
              <w:t>Section 10.11</w:t>
            </w:r>
          </w:p>
        </w:tc>
        <w:tc>
          <w:tcPr>
            <w:tcW w:w="7600" w:type="dxa"/>
            <w:vAlign w:val="bottom"/>
            <w:gridSpan w:val="3"/>
          </w:tcPr>
          <w:p>
            <w:pPr>
              <w:ind w:left="1000"/>
              <w:spacing w:after="0" w:line="224" w:lineRule="exact"/>
              <w:rPr>
                <w:sz w:val="20"/>
                <w:szCs w:val="20"/>
                <w:color w:val="auto"/>
              </w:rPr>
            </w:pPr>
            <w:r>
              <w:rPr>
                <w:rFonts w:ascii="Arial" w:cs="Arial" w:eastAsia="Arial" w:hAnsi="Arial"/>
                <w:sz w:val="20"/>
                <w:szCs w:val="20"/>
                <w:color w:val="auto"/>
              </w:rPr>
              <w:t>Survival of Agreement</w:t>
            </w: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175</w:t>
            </w:r>
          </w:p>
        </w:tc>
        <w:tc>
          <w:tcPr>
            <w:tcW w:w="156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9"/>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00" w:type="dxa"/>
            <w:vAlign w:val="bottom"/>
            <w:gridSpan w:val="2"/>
          </w:tcPr>
          <w:p>
            <w:pPr>
              <w:spacing w:after="0" w:line="224" w:lineRule="exact"/>
              <w:rPr>
                <w:sz w:val="20"/>
                <w:szCs w:val="20"/>
                <w:color w:val="auto"/>
              </w:rPr>
            </w:pPr>
            <w:r>
              <w:rPr>
                <w:rFonts w:ascii="Arial" w:cs="Arial" w:eastAsia="Arial" w:hAnsi="Arial"/>
                <w:sz w:val="20"/>
                <w:szCs w:val="20"/>
                <w:color w:val="auto"/>
                <w:w w:val="88"/>
              </w:rPr>
              <w:t>Section 10.12</w:t>
            </w:r>
          </w:p>
        </w:tc>
        <w:tc>
          <w:tcPr>
            <w:tcW w:w="7600" w:type="dxa"/>
            <w:vAlign w:val="bottom"/>
            <w:gridSpan w:val="3"/>
          </w:tcPr>
          <w:p>
            <w:pPr>
              <w:ind w:left="1000"/>
              <w:spacing w:after="0" w:line="224" w:lineRule="exact"/>
              <w:rPr>
                <w:sz w:val="20"/>
                <w:szCs w:val="20"/>
                <w:color w:val="auto"/>
              </w:rPr>
            </w:pPr>
            <w:r>
              <w:rPr>
                <w:rFonts w:ascii="Arial" w:cs="Arial" w:eastAsia="Arial" w:hAnsi="Arial"/>
                <w:sz w:val="20"/>
                <w:szCs w:val="20"/>
                <w:color w:val="auto"/>
              </w:rPr>
              <w:t>Severability</w:t>
            </w: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176</w:t>
            </w:r>
          </w:p>
        </w:tc>
        <w:tc>
          <w:tcPr>
            <w:tcW w:w="156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9"/>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00" w:type="dxa"/>
            <w:vAlign w:val="bottom"/>
            <w:gridSpan w:val="2"/>
          </w:tcPr>
          <w:p>
            <w:pPr>
              <w:spacing w:after="0" w:line="224" w:lineRule="exact"/>
              <w:rPr>
                <w:sz w:val="20"/>
                <w:szCs w:val="20"/>
                <w:color w:val="auto"/>
              </w:rPr>
            </w:pPr>
            <w:r>
              <w:rPr>
                <w:rFonts w:ascii="Arial" w:cs="Arial" w:eastAsia="Arial" w:hAnsi="Arial"/>
                <w:sz w:val="20"/>
                <w:szCs w:val="20"/>
                <w:color w:val="auto"/>
                <w:w w:val="88"/>
              </w:rPr>
              <w:t>Section 10.13</w:t>
            </w:r>
          </w:p>
        </w:tc>
        <w:tc>
          <w:tcPr>
            <w:tcW w:w="7600" w:type="dxa"/>
            <w:vAlign w:val="bottom"/>
            <w:gridSpan w:val="3"/>
          </w:tcPr>
          <w:p>
            <w:pPr>
              <w:ind w:left="1000"/>
              <w:spacing w:after="0" w:line="224" w:lineRule="exact"/>
              <w:rPr>
                <w:sz w:val="20"/>
                <w:szCs w:val="20"/>
                <w:color w:val="auto"/>
              </w:rPr>
            </w:pPr>
            <w:r>
              <w:rPr>
                <w:rFonts w:ascii="Arial" w:cs="Arial" w:eastAsia="Arial" w:hAnsi="Arial"/>
                <w:sz w:val="20"/>
                <w:szCs w:val="20"/>
                <w:color w:val="auto"/>
              </w:rPr>
              <w:t>Governing Law; Jurisdiction; Consent to Service of Process</w:t>
            </w: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176</w:t>
            </w:r>
          </w:p>
        </w:tc>
        <w:tc>
          <w:tcPr>
            <w:tcW w:w="156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9"/>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00" w:type="dxa"/>
            <w:vAlign w:val="bottom"/>
            <w:gridSpan w:val="2"/>
          </w:tcPr>
          <w:p>
            <w:pPr>
              <w:spacing w:after="0" w:line="224" w:lineRule="exact"/>
              <w:rPr>
                <w:sz w:val="20"/>
                <w:szCs w:val="20"/>
                <w:color w:val="auto"/>
              </w:rPr>
            </w:pPr>
            <w:r>
              <w:rPr>
                <w:rFonts w:ascii="Arial" w:cs="Arial" w:eastAsia="Arial" w:hAnsi="Arial"/>
                <w:sz w:val="20"/>
                <w:szCs w:val="20"/>
                <w:color w:val="auto"/>
                <w:w w:val="88"/>
              </w:rPr>
              <w:t>Section 10.14</w:t>
            </w:r>
          </w:p>
        </w:tc>
        <w:tc>
          <w:tcPr>
            <w:tcW w:w="7600" w:type="dxa"/>
            <w:vAlign w:val="bottom"/>
            <w:gridSpan w:val="3"/>
          </w:tcPr>
          <w:p>
            <w:pPr>
              <w:ind w:left="1000"/>
              <w:spacing w:after="0" w:line="224" w:lineRule="exact"/>
              <w:rPr>
                <w:sz w:val="20"/>
                <w:szCs w:val="20"/>
                <w:color w:val="auto"/>
              </w:rPr>
            </w:pPr>
            <w:r>
              <w:rPr>
                <w:rFonts w:ascii="Arial" w:cs="Arial" w:eastAsia="Arial" w:hAnsi="Arial"/>
                <w:sz w:val="20"/>
                <w:szCs w:val="20"/>
                <w:color w:val="auto"/>
              </w:rPr>
              <w:t>PATRIOT Act Notice; Lender’s Compliance Certification</w:t>
            </w: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177</w:t>
            </w:r>
          </w:p>
        </w:tc>
        <w:tc>
          <w:tcPr>
            <w:tcW w:w="156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9"/>
              </w:rPr>
              <w:t>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00" w:type="dxa"/>
            <w:vAlign w:val="bottom"/>
            <w:gridSpan w:val="2"/>
          </w:tcPr>
          <w:p>
            <w:pPr>
              <w:spacing w:after="0" w:line="224" w:lineRule="exact"/>
              <w:rPr>
                <w:sz w:val="20"/>
                <w:szCs w:val="20"/>
                <w:color w:val="auto"/>
              </w:rPr>
            </w:pPr>
            <w:r>
              <w:rPr>
                <w:rFonts w:ascii="Arial" w:cs="Arial" w:eastAsia="Arial" w:hAnsi="Arial"/>
                <w:sz w:val="20"/>
                <w:szCs w:val="20"/>
                <w:color w:val="auto"/>
                <w:w w:val="88"/>
              </w:rPr>
              <w:t>Section 10.15</w:t>
            </w:r>
          </w:p>
        </w:tc>
        <w:tc>
          <w:tcPr>
            <w:tcW w:w="7600" w:type="dxa"/>
            <w:vAlign w:val="bottom"/>
            <w:gridSpan w:val="3"/>
          </w:tcPr>
          <w:p>
            <w:pPr>
              <w:ind w:left="1000"/>
              <w:spacing w:after="0" w:line="224" w:lineRule="exact"/>
              <w:rPr>
                <w:sz w:val="20"/>
                <w:szCs w:val="20"/>
                <w:color w:val="auto"/>
              </w:rPr>
            </w:pPr>
            <w:r>
              <w:rPr>
                <w:rFonts w:ascii="Arial" w:cs="Arial" w:eastAsia="Arial" w:hAnsi="Arial"/>
                <w:sz w:val="20"/>
                <w:szCs w:val="20"/>
                <w:color w:val="auto"/>
              </w:rPr>
              <w:t>No Advisory or Fiduciary Responsibility</w:t>
            </w: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177</w:t>
            </w:r>
          </w:p>
        </w:tc>
        <w:tc>
          <w:tcPr>
            <w:tcW w:w="156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9"/>
              </w:rPr>
              <w:t>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00" w:type="dxa"/>
            <w:vAlign w:val="bottom"/>
            <w:gridSpan w:val="2"/>
          </w:tcPr>
          <w:p>
            <w:pPr>
              <w:spacing w:after="0" w:line="224" w:lineRule="exact"/>
              <w:rPr>
                <w:sz w:val="20"/>
                <w:szCs w:val="20"/>
                <w:color w:val="auto"/>
              </w:rPr>
            </w:pPr>
            <w:r>
              <w:rPr>
                <w:rFonts w:ascii="Arial" w:cs="Arial" w:eastAsia="Arial" w:hAnsi="Arial"/>
                <w:sz w:val="20"/>
                <w:szCs w:val="20"/>
                <w:color w:val="auto"/>
                <w:w w:val="88"/>
              </w:rPr>
              <w:t>Section 10.16</w:t>
            </w:r>
          </w:p>
        </w:tc>
        <w:tc>
          <w:tcPr>
            <w:tcW w:w="7600" w:type="dxa"/>
            <w:vAlign w:val="bottom"/>
            <w:gridSpan w:val="3"/>
          </w:tcPr>
          <w:p>
            <w:pPr>
              <w:ind w:left="1000"/>
              <w:spacing w:after="0" w:line="224" w:lineRule="exact"/>
              <w:rPr>
                <w:sz w:val="20"/>
                <w:szCs w:val="20"/>
                <w:color w:val="auto"/>
              </w:rPr>
            </w:pPr>
            <w:r>
              <w:rPr>
                <w:rFonts w:ascii="Arial" w:cs="Arial" w:eastAsia="Arial" w:hAnsi="Arial"/>
                <w:sz w:val="20"/>
                <w:szCs w:val="20"/>
                <w:color w:val="auto"/>
              </w:rPr>
              <w:t>Judgment Currency</w:t>
            </w: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FF0000"/>
                <w:strike w:val="1"/>
              </w:rPr>
              <w:t>178</w:t>
            </w:r>
          </w:p>
        </w:tc>
        <w:tc>
          <w:tcPr>
            <w:tcW w:w="156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9"/>
              </w:rPr>
              <w:t>181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00" w:type="dxa"/>
            <w:vAlign w:val="bottom"/>
            <w:gridSpan w:val="2"/>
          </w:tcPr>
          <w:p>
            <w:pPr>
              <w:spacing w:after="0" w:line="224" w:lineRule="exact"/>
              <w:rPr>
                <w:sz w:val="20"/>
                <w:szCs w:val="20"/>
                <w:color w:val="auto"/>
              </w:rPr>
            </w:pPr>
            <w:r>
              <w:rPr>
                <w:rFonts w:ascii="Arial" w:cs="Arial" w:eastAsia="Arial" w:hAnsi="Arial"/>
                <w:sz w:val="20"/>
                <w:szCs w:val="20"/>
                <w:color w:val="0000FF"/>
                <w:w w:val="88"/>
              </w:rPr>
              <w:t>Section 10.17</w:t>
            </w:r>
          </w:p>
        </w:tc>
        <w:tc>
          <w:tcPr>
            <w:tcW w:w="7600" w:type="dxa"/>
            <w:vAlign w:val="bottom"/>
            <w:gridSpan w:val="3"/>
          </w:tcPr>
          <w:p>
            <w:pPr>
              <w:ind w:left="1000"/>
              <w:spacing w:after="0" w:line="224" w:lineRule="exact"/>
              <w:rPr>
                <w:sz w:val="20"/>
                <w:szCs w:val="20"/>
                <w:color w:val="auto"/>
              </w:rPr>
            </w:pPr>
            <w:r>
              <w:rPr>
                <w:rFonts w:ascii="Arial" w:cs="Arial" w:eastAsia="Arial" w:hAnsi="Arial"/>
                <w:sz w:val="20"/>
                <w:szCs w:val="20"/>
                <w:color w:val="0000FF"/>
              </w:rPr>
              <w:t>Acknowledgment and Consents to Bail-In of EEA Financial Institutions</w:t>
            </w:r>
          </w:p>
        </w:tc>
        <w:tc>
          <w:tcPr>
            <w:tcW w:w="1060" w:type="dxa"/>
            <w:vAlign w:val="bottom"/>
          </w:tcPr>
          <w:p>
            <w:pPr>
              <w:spacing w:after="0"/>
              <w:rPr>
                <w:sz w:val="19"/>
                <w:szCs w:val="19"/>
                <w:color w:val="auto"/>
              </w:rPr>
            </w:pPr>
          </w:p>
        </w:tc>
        <w:tc>
          <w:tcPr>
            <w:tcW w:w="1560" w:type="dxa"/>
            <w:vAlign w:val="bottom"/>
            <w:gridSpan w:val="4"/>
          </w:tcPr>
          <w:p>
            <w:pPr>
              <w:ind w:left="1240"/>
              <w:spacing w:after="0" w:line="224" w:lineRule="exact"/>
              <w:rPr>
                <w:sz w:val="20"/>
                <w:szCs w:val="20"/>
                <w:color w:val="auto"/>
              </w:rPr>
            </w:pPr>
            <w:r>
              <w:rPr>
                <w:rFonts w:ascii="Arial" w:cs="Arial" w:eastAsia="Arial" w:hAnsi="Arial"/>
                <w:sz w:val="20"/>
                <w:szCs w:val="20"/>
                <w:color w:val="0000FF"/>
                <w:w w:val="89"/>
              </w:rPr>
              <w:t>181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Borders>
              <w:top w:val="single" w:sz="8" w:color="0000FF"/>
              <w:bottom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80" w:top="558" w:right="2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56"/>
        </w:trPr>
        <w:tc>
          <w:tcPr>
            <w:tcW w:w="2000" w:type="dxa"/>
            <w:vAlign w:val="bottom"/>
            <w:gridSpan w:val="3"/>
          </w:tcPr>
          <w:p>
            <w:pPr>
              <w:spacing w:after="0"/>
              <w:rPr>
                <w:sz w:val="20"/>
                <w:szCs w:val="20"/>
                <w:color w:val="auto"/>
              </w:rPr>
            </w:pPr>
            <w:r>
              <w:rPr>
                <w:rFonts w:ascii="Arial" w:cs="Arial" w:eastAsia="Arial" w:hAnsi="Arial"/>
                <w:sz w:val="20"/>
                <w:szCs w:val="20"/>
                <w:b w:val="1"/>
                <w:bCs w:val="1"/>
                <w:color w:val="auto"/>
              </w:rPr>
              <w:t>Schedules:</w:t>
            </w: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20" w:type="dxa"/>
            <w:vAlign w:val="bottom"/>
          </w:tcPr>
          <w:p>
            <w:pPr>
              <w:spacing w:after="0"/>
              <w:rPr>
                <w:sz w:val="22"/>
                <w:szCs w:val="22"/>
                <w:color w:val="auto"/>
              </w:rPr>
            </w:pPr>
          </w:p>
        </w:tc>
      </w:tr>
      <w:tr>
        <w:trPr>
          <w:trHeight w:val="392"/>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Schedule 1.01(A)</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Agreed Security Principles</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Schedule 1.01(B)</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Foreign Collateral Documents</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Schedule 1.01(C)</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Disqualified Institutions</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Schedule 2.01</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Lenders and Commitments</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Schedule 5.03</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w w:val="99"/>
              </w:rPr>
              <w:t>Required Consents, Authorizations, Notices and Filings</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Schedule 5.05(a)</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Financial Statements</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Schedule 5.06</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Litigation</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Schedule 5.09</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Insurance</w:t>
            </w:r>
          </w:p>
        </w:tc>
      </w:tr>
      <w:tr>
        <w:trPr>
          <w:trHeight w:val="266"/>
        </w:trPr>
        <w:tc>
          <w:tcPr>
            <w:tcW w:w="4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Arial" w:cs="Arial" w:eastAsia="Arial" w:hAnsi="Arial"/>
                <w:sz w:val="20"/>
                <w:szCs w:val="20"/>
                <w:color w:val="0000FF"/>
                <w:w w:val="86"/>
              </w:rPr>
              <w:t>Schedule 5.10(a)</w:t>
            </w:r>
          </w:p>
        </w:tc>
        <w:tc>
          <w:tcPr>
            <w:tcW w:w="620" w:type="dxa"/>
            <w:vAlign w:val="bottom"/>
          </w:tcPr>
          <w:p>
            <w:pPr>
              <w:spacing w:after="0"/>
              <w:rPr>
                <w:sz w:val="23"/>
                <w:szCs w:val="23"/>
                <w:color w:val="auto"/>
              </w:rPr>
            </w:pPr>
          </w:p>
        </w:tc>
        <w:tc>
          <w:tcPr>
            <w:tcW w:w="1000" w:type="dxa"/>
            <w:vAlign w:val="bottom"/>
          </w:tcPr>
          <w:p>
            <w:pPr>
              <w:jc w:val="right"/>
              <w:ind w:right="261"/>
              <w:spacing w:after="0"/>
              <w:rPr>
                <w:sz w:val="20"/>
                <w:szCs w:val="20"/>
                <w:color w:val="auto"/>
              </w:rPr>
            </w:pPr>
            <w:r>
              <w:rPr>
                <w:rFonts w:ascii="Arial" w:cs="Arial" w:eastAsia="Arial" w:hAnsi="Arial"/>
                <w:sz w:val="20"/>
                <w:szCs w:val="20"/>
                <w:u w:val="single" w:color="auto"/>
                <w:color w:val="0000FF"/>
              </w:rPr>
              <w:t>-</w:t>
            </w:r>
          </w:p>
        </w:tc>
        <w:tc>
          <w:tcPr>
            <w:tcW w:w="340" w:type="dxa"/>
            <w:vAlign w:val="bottom"/>
          </w:tcPr>
          <w:p>
            <w:pPr>
              <w:spacing w:after="0"/>
              <w:rPr>
                <w:sz w:val="23"/>
                <w:szCs w:val="23"/>
                <w:color w:val="auto"/>
              </w:rPr>
            </w:pPr>
          </w:p>
        </w:tc>
        <w:tc>
          <w:tcPr>
            <w:tcW w:w="4880" w:type="dxa"/>
            <w:vAlign w:val="bottom"/>
            <w:gridSpan w:val="2"/>
          </w:tcPr>
          <w:p>
            <w:pPr>
              <w:spacing w:after="0"/>
              <w:rPr>
                <w:sz w:val="20"/>
                <w:szCs w:val="20"/>
                <w:color w:val="auto"/>
              </w:rPr>
            </w:pPr>
            <w:r>
              <w:rPr>
                <w:rFonts w:ascii="Arial" w:cs="Arial" w:eastAsia="Arial" w:hAnsi="Arial"/>
                <w:sz w:val="20"/>
                <w:szCs w:val="20"/>
                <w:color w:val="0000FF"/>
              </w:rPr>
              <w:t>Taxes</w:t>
            </w:r>
          </w:p>
        </w:tc>
      </w:tr>
      <w:tr>
        <w:trPr>
          <w:trHeight w:val="20"/>
        </w:trPr>
        <w:tc>
          <w:tcPr>
            <w:tcW w:w="40" w:type="dxa"/>
            <w:vAlign w:val="bottom"/>
          </w:tcPr>
          <w:p>
            <w:pPr>
              <w:spacing w:after="0" w:line="20" w:lineRule="exact"/>
              <w:rPr>
                <w:sz w:val="1"/>
                <w:szCs w:val="1"/>
                <w:color w:val="auto"/>
              </w:rPr>
            </w:pPr>
          </w:p>
        </w:tc>
        <w:tc>
          <w:tcPr>
            <w:tcW w:w="1340" w:type="dxa"/>
            <w:vAlign w:val="bottom"/>
            <w:tcBorders>
              <w:top w:val="single" w:sz="8" w:color="0000FF"/>
              <w:bottom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241"/>
        </w:trPr>
        <w:tc>
          <w:tcPr>
            <w:tcW w:w="40" w:type="dxa"/>
            <w:vAlign w:val="bottom"/>
          </w:tcPr>
          <w:p>
            <w:pPr>
              <w:spacing w:after="0"/>
              <w:rPr>
                <w:sz w:val="20"/>
                <w:szCs w:val="20"/>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Schedule 5.12</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Subsidiaries</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Schedule 5.15</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Compliance with Law</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Schedule 5.16</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Intellectual Property</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Schedule 6.13</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Post Closing Obligations</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Schedule 7.01</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Indebtedness</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Schedule 7.02</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Existing Liens</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Schedule 7.04</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Investments</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Schedule 7.05</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Affiliate Transactions</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Schedule 7.07</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Existing Restrictions</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Schedule 10.02</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w w:val="91"/>
              </w:rPr>
              <w:t>Administrative Agent’s Office, Certain Addresses for Notices</w:t>
            </w:r>
          </w:p>
        </w:tc>
      </w:tr>
      <w:tr>
        <w:trPr>
          <w:trHeight w:val="473"/>
        </w:trPr>
        <w:tc>
          <w:tcPr>
            <w:tcW w:w="2000" w:type="dxa"/>
            <w:vAlign w:val="bottom"/>
            <w:gridSpan w:val="3"/>
          </w:tcPr>
          <w:p>
            <w:pPr>
              <w:spacing w:after="0"/>
              <w:rPr>
                <w:sz w:val="20"/>
                <w:szCs w:val="20"/>
                <w:color w:val="auto"/>
              </w:rPr>
            </w:pPr>
            <w:r>
              <w:rPr>
                <w:rFonts w:ascii="Arial" w:cs="Arial" w:eastAsia="Arial" w:hAnsi="Arial"/>
                <w:sz w:val="20"/>
                <w:szCs w:val="20"/>
                <w:b w:val="1"/>
                <w:bCs w:val="1"/>
                <w:color w:val="auto"/>
              </w:rPr>
              <w:t>Exhibits:</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A-1</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Notice of Borrowing</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A-2</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Notice of Extension/Conversion</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A-3</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Letter of Credit Request</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A-4</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Swing Line Loan Request</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B-1</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Revolving Note</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B-2</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Term Note</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B-3</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Swing Line Note</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C</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Assignment and Assumption</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D</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Compliance Certificate</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E</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Guaranty Agreement</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F-1</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United States Tax Compliance Certificate</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F-2</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Irish Lender Tax Certificate</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G</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U.S. Security Agreement</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H</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Intercompany Note</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I</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Intercompany Note Subordination Provisions</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J</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Perfection Certificate</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K</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Solvency Certificate</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L</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Specified Discount Prepayment Notice</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M</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Specified Discount Prepayment Response</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N</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Discount Range Prepayment Notice</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O</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Discount Range Prepayment Offer</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P</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Solicited Discounted Prepayment Notice</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Q</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Solicited Discounted Prepayment Offer</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R</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Acceptance and Prepayment Notice</w:t>
            </w:r>
          </w:p>
        </w:tc>
      </w:tr>
      <w:tr>
        <w:trPr>
          <w:trHeight w:val="28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rPr>
              <w:t>Exhibit S</w:t>
            </w:r>
          </w:p>
        </w:tc>
        <w:tc>
          <w:tcPr>
            <w:tcW w:w="10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5220" w:type="dxa"/>
            <w:vAlign w:val="bottom"/>
            <w:gridSpan w:val="3"/>
          </w:tcPr>
          <w:p>
            <w:pPr>
              <w:ind w:left="340"/>
              <w:spacing w:after="0"/>
              <w:rPr>
                <w:sz w:val="20"/>
                <w:szCs w:val="20"/>
                <w:color w:val="auto"/>
              </w:rPr>
            </w:pPr>
            <w:r>
              <w:rPr>
                <w:rFonts w:ascii="Arial" w:cs="Arial" w:eastAsia="Arial" w:hAnsi="Arial"/>
                <w:sz w:val="20"/>
                <w:szCs w:val="20"/>
                <w:color w:val="auto"/>
              </w:rPr>
              <w:t>Form of Prepayment Notice</w:t>
            </w:r>
          </w:p>
        </w:tc>
      </w:tr>
    </w:tbl>
    <w:p>
      <w:pPr>
        <w:spacing w:after="0" w:line="200" w:lineRule="exact"/>
        <w:rPr>
          <w:sz w:val="20"/>
          <w:szCs w:val="20"/>
          <w:color w:val="auto"/>
        </w:rPr>
      </w:pPr>
    </w:p>
    <w:p>
      <w:pPr>
        <w:sectPr>
          <w:pgSz w:w="11900" w:h="16838" w:orient="portrait"/>
          <w:cols w:equalWidth="0" w:num="1">
            <w:col w:w="10219"/>
          </w:cols>
          <w:pgMar w:left="240" w:top="360" w:right="1440"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type w:val="continuous"/>
        </w:sectPr>
      </w:pPr>
    </w:p>
    <w:bookmarkStart w:id="196" w:name="page197"/>
    <w:bookmarkEnd w:id="196"/>
    <w:p>
      <w:pPr>
        <w:jc w:val="center"/>
        <w:ind w:right="-19"/>
        <w:spacing w:after="0"/>
        <w:rPr>
          <w:sz w:val="20"/>
          <w:szCs w:val="20"/>
          <w:color w:val="auto"/>
        </w:rPr>
      </w:pPr>
      <w:r>
        <w:rPr>
          <w:rFonts w:ascii="Arial" w:cs="Arial" w:eastAsia="Arial" w:hAnsi="Arial"/>
          <w:sz w:val="20"/>
          <w:szCs w:val="20"/>
          <w:u w:val="single" w:color="auto"/>
          <w:color w:val="auto"/>
        </w:rPr>
        <w:t>CREDIT AGREEMENT</w:t>
      </w:r>
    </w:p>
    <w:p>
      <w:pPr>
        <w:spacing w:after="0" w:line="200" w:lineRule="exact"/>
        <w:rPr>
          <w:sz w:val="20"/>
          <w:szCs w:val="20"/>
          <w:color w:val="auto"/>
        </w:rPr>
      </w:pPr>
    </w:p>
    <w:p>
      <w:pPr>
        <w:spacing w:after="0" w:line="232" w:lineRule="exact"/>
        <w:rPr>
          <w:sz w:val="20"/>
          <w:szCs w:val="20"/>
          <w:color w:val="auto"/>
        </w:rPr>
      </w:pPr>
    </w:p>
    <w:p>
      <w:pPr>
        <w:ind w:firstLine="1297"/>
        <w:spacing w:after="0" w:line="258" w:lineRule="auto"/>
        <w:rPr>
          <w:sz w:val="20"/>
          <w:szCs w:val="20"/>
          <w:color w:val="auto"/>
        </w:rPr>
      </w:pPr>
      <w:r>
        <w:rPr>
          <w:rFonts w:ascii="Arial" w:cs="Arial" w:eastAsia="Arial" w:hAnsi="Arial"/>
          <w:sz w:val="19"/>
          <w:szCs w:val="19"/>
          <w:color w:val="auto"/>
        </w:rPr>
        <w:t xml:space="preserve">This Credit Agreement, dated June 18, 2015 (as </w:t>
      </w:r>
      <w:r>
        <w:rPr>
          <w:rFonts w:ascii="Arial" w:cs="Arial" w:eastAsia="Arial" w:hAnsi="Arial"/>
          <w:sz w:val="19"/>
          <w:szCs w:val="19"/>
          <w:u w:val="single" w:color="auto"/>
          <w:color w:val="0000FF"/>
        </w:rPr>
        <w:t>amended by Amendment No. 1, dated July 12, 2016, and as further</w:t>
      </w:r>
      <w:r>
        <w:rPr>
          <w:rFonts w:ascii="Arial" w:cs="Arial" w:eastAsia="Arial" w:hAnsi="Arial"/>
          <w:sz w:val="19"/>
          <w:szCs w:val="19"/>
          <w:color w:val="auto"/>
        </w:rPr>
        <w:t xml:space="preserve"> amended, restated, amended and restated, supplemented or otherwise modified from time to time, this “</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Jazz Pharmaceuticals Public Limited Company, a public limited company organized under the laws of Ireland (“</w:t>
      </w:r>
      <w:r>
        <w:rPr>
          <w:rFonts w:ascii="Arial" w:cs="Arial" w:eastAsia="Arial" w:hAnsi="Arial"/>
          <w:sz w:val="19"/>
          <w:szCs w:val="19"/>
          <w:u w:val="single" w:color="auto"/>
          <w:color w:val="auto"/>
        </w:rPr>
        <w:t>Parent</w:t>
      </w:r>
      <w:r>
        <w:rPr>
          <w:rFonts w:ascii="Arial" w:cs="Arial" w:eastAsia="Arial" w:hAnsi="Arial"/>
          <w:sz w:val="19"/>
          <w:szCs w:val="19"/>
          <w:color w:val="auto"/>
        </w:rPr>
        <w:t>”), Jazz Securities Limited, a Section 110 company incorporated under the laws of Ireland (the “</w:t>
      </w:r>
      <w:r>
        <w:rPr>
          <w:rFonts w:ascii="Arial" w:cs="Arial" w:eastAsia="Arial" w:hAnsi="Arial"/>
          <w:sz w:val="19"/>
          <w:szCs w:val="19"/>
          <w:u w:val="single" w:color="auto"/>
          <w:color w:val="auto"/>
        </w:rPr>
        <w:t>Lead Borrower</w:t>
      </w:r>
      <w:r>
        <w:rPr>
          <w:rFonts w:ascii="Arial" w:cs="Arial" w:eastAsia="Arial" w:hAnsi="Arial"/>
          <w:sz w:val="19"/>
          <w:szCs w:val="19"/>
          <w:color w:val="auto"/>
        </w:rPr>
        <w:t>”), Jazz Pharmaceuticals, Inc., a Delaware corporation (the “</w:t>
      </w:r>
      <w:r>
        <w:rPr>
          <w:rFonts w:ascii="Arial" w:cs="Arial" w:eastAsia="Arial" w:hAnsi="Arial"/>
          <w:sz w:val="19"/>
          <w:szCs w:val="19"/>
          <w:u w:val="single" w:color="auto"/>
          <w:color w:val="auto"/>
        </w:rPr>
        <w:t>U.S.</w:t>
      </w:r>
      <w:r>
        <w:rPr>
          <w:rFonts w:ascii="Arial" w:cs="Arial" w:eastAsia="Arial" w:hAnsi="Arial"/>
          <w:sz w:val="19"/>
          <w:szCs w:val="19"/>
          <w:color w:val="auto"/>
        </w:rPr>
        <w:t xml:space="preserve"> </w:t>
      </w:r>
      <w:r>
        <w:rPr>
          <w:rFonts w:ascii="Arial" w:cs="Arial" w:eastAsia="Arial" w:hAnsi="Arial"/>
          <w:sz w:val="19"/>
          <w:szCs w:val="19"/>
          <w:u w:val="single" w:color="auto"/>
          <w:color w:val="auto"/>
        </w:rPr>
        <w:t>Borrower</w:t>
      </w:r>
      <w:r>
        <w:rPr>
          <w:rFonts w:ascii="Arial" w:cs="Arial" w:eastAsia="Arial" w:hAnsi="Arial"/>
          <w:sz w:val="19"/>
          <w:szCs w:val="19"/>
          <w:color w:val="auto"/>
        </w:rPr>
        <w:t>”), Jazz Financing I Limited , a company incorporated under the laws of Ireland (“</w:t>
      </w:r>
      <w:r>
        <w:rPr>
          <w:rFonts w:ascii="Arial" w:cs="Arial" w:eastAsia="Arial" w:hAnsi="Arial"/>
          <w:sz w:val="19"/>
          <w:szCs w:val="19"/>
          <w:u w:val="single" w:color="auto"/>
          <w:color w:val="auto"/>
        </w:rPr>
        <w:t>Jazz Financing I</w:t>
      </w:r>
      <w:r>
        <w:rPr>
          <w:rFonts w:ascii="Arial" w:cs="Arial" w:eastAsia="Arial" w:hAnsi="Arial"/>
          <w:sz w:val="19"/>
          <w:szCs w:val="19"/>
          <w:color w:val="auto"/>
        </w:rPr>
        <w:t>”), Jazz Pharmaceuticals Ireland Limited, a company incorporated under the laws of Ireland (“</w:t>
      </w:r>
      <w:r>
        <w:rPr>
          <w:rFonts w:ascii="Arial" w:cs="Arial" w:eastAsia="Arial" w:hAnsi="Arial"/>
          <w:sz w:val="19"/>
          <w:szCs w:val="19"/>
          <w:u w:val="single" w:color="auto"/>
          <w:color w:val="auto"/>
        </w:rPr>
        <w:t>Jazz Ireland</w:t>
      </w:r>
      <w:r>
        <w:rPr>
          <w:rFonts w:ascii="Arial" w:cs="Arial" w:eastAsia="Arial" w:hAnsi="Arial"/>
          <w:sz w:val="19"/>
          <w:szCs w:val="19"/>
          <w:color w:val="auto"/>
        </w:rPr>
        <w:t>”), the Lenders (as hereinafter defined) and Bank of America, N.A., as Administrative Agent, Collateral Agent, Swing Line Lender and L/C Issuer.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PRELIMINARY STATEMENTS:</w:t>
      </w:r>
    </w:p>
    <w:p>
      <w:pPr>
        <w:spacing w:after="0" w:line="216" w:lineRule="exact"/>
        <w:rPr>
          <w:sz w:val="20"/>
          <w:szCs w:val="20"/>
          <w:color w:val="auto"/>
        </w:rPr>
      </w:pPr>
    </w:p>
    <w:p>
      <w:pPr>
        <w:ind w:firstLine="1297"/>
        <w:spacing w:after="0" w:line="250" w:lineRule="auto"/>
        <w:rPr>
          <w:sz w:val="20"/>
          <w:szCs w:val="20"/>
          <w:color w:val="auto"/>
        </w:rPr>
      </w:pPr>
      <w:r>
        <w:rPr>
          <w:rFonts w:ascii="Arial" w:cs="Arial" w:eastAsia="Arial" w:hAnsi="Arial"/>
          <w:sz w:val="20"/>
          <w:szCs w:val="20"/>
          <w:color w:val="FF0000"/>
          <w:strike w:val="1"/>
        </w:rPr>
        <w:t>The</w:t>
      </w:r>
      <w:r>
        <w:rPr>
          <w:rFonts w:ascii="Arial" w:cs="Arial" w:eastAsia="Arial" w:hAnsi="Arial"/>
          <w:sz w:val="20"/>
          <w:szCs w:val="20"/>
          <w:u w:val="single" w:color="auto"/>
          <w:color w:val="0000FF"/>
        </w:rPr>
        <w:t>On the Closing Date, the Lenders provided the</w:t>
      </w:r>
      <w:r>
        <w:rPr>
          <w:rFonts w:ascii="Arial" w:cs="Arial" w:eastAsia="Arial" w:hAnsi="Arial"/>
          <w:sz w:val="20"/>
          <w:szCs w:val="20"/>
          <w:color w:val="FF0000"/>
        </w:rPr>
        <w:t xml:space="preserve"> </w:t>
      </w:r>
      <w:r>
        <w:rPr>
          <w:rFonts w:ascii="Arial" w:cs="Arial" w:eastAsia="Arial" w:hAnsi="Arial"/>
          <w:sz w:val="20"/>
          <w:szCs w:val="20"/>
          <w:color w:val="000000"/>
        </w:rPr>
        <w:t>Lead Borrower</w:t>
      </w:r>
      <w:r>
        <w:rPr>
          <w:rFonts w:ascii="Arial" w:cs="Arial" w:eastAsia="Arial" w:hAnsi="Arial"/>
          <w:sz w:val="20"/>
          <w:szCs w:val="20"/>
          <w:color w:val="FF0000"/>
        </w:rPr>
        <w:t xml:space="preserve"> </w:t>
      </w:r>
      <w:r>
        <w:rPr>
          <w:rFonts w:ascii="Arial" w:cs="Arial" w:eastAsia="Arial" w:hAnsi="Arial"/>
          <w:sz w:val="20"/>
          <w:szCs w:val="20"/>
          <w:color w:val="FF0000"/>
          <w:strike w:val="1"/>
        </w:rPr>
        <w:t>has requested that the Lenders provide</w:t>
      </w:r>
      <w:r>
        <w:rPr>
          <w:rFonts w:ascii="Arial" w:cs="Arial" w:eastAsia="Arial" w:hAnsi="Arial"/>
          <w:sz w:val="20"/>
          <w:szCs w:val="20"/>
          <w:color w:val="FF0000"/>
        </w:rPr>
        <w:t xml:space="preserve"> </w:t>
      </w:r>
      <w:r>
        <w:rPr>
          <w:rFonts w:ascii="Arial" w:cs="Arial" w:eastAsia="Arial" w:hAnsi="Arial"/>
          <w:sz w:val="20"/>
          <w:szCs w:val="20"/>
          <w:color w:val="000000"/>
        </w:rPr>
        <w:t>a term loan A facility</w:t>
      </w:r>
      <w:r>
        <w:rPr>
          <w:rFonts w:ascii="Arial" w:cs="Arial" w:eastAsia="Arial" w:hAnsi="Arial"/>
          <w:sz w:val="20"/>
          <w:szCs w:val="20"/>
          <w:color w:val="FF0000"/>
        </w:rPr>
        <w:t xml:space="preserve"> </w:t>
      </w:r>
      <w:r>
        <w:rPr>
          <w:rFonts w:ascii="Arial" w:cs="Arial" w:eastAsia="Arial" w:hAnsi="Arial"/>
          <w:sz w:val="20"/>
          <w:szCs w:val="20"/>
          <w:color w:val="000000"/>
        </w:rPr>
        <w:t>in the aggregate principal amount of $750,000,000 and a revolving credit facility in the aggregate principal amount of $</w:t>
      </w:r>
      <w:r>
        <w:rPr>
          <w:rFonts w:ascii="Arial" w:cs="Arial" w:eastAsia="Arial" w:hAnsi="Arial"/>
          <w:sz w:val="20"/>
          <w:szCs w:val="20"/>
          <w:color w:val="FF0000"/>
          <w:strike w:val="1"/>
        </w:rPr>
        <w:t>750,000,000,</w:t>
      </w:r>
      <w:r>
        <w:rPr>
          <w:rFonts w:ascii="Arial" w:cs="Arial" w:eastAsia="Arial" w:hAnsi="Arial"/>
          <w:sz w:val="20"/>
          <w:szCs w:val="20"/>
          <w:u w:val="single" w:color="auto"/>
          <w:color w:val="0000FF"/>
        </w:rPr>
        <w:t>750,000,000.</w:t>
      </w:r>
    </w:p>
    <w:p>
      <w:pPr>
        <w:spacing w:after="0" w:line="186" w:lineRule="exact"/>
        <w:rPr>
          <w:sz w:val="20"/>
          <w:szCs w:val="20"/>
          <w:color w:val="auto"/>
        </w:rPr>
      </w:pPr>
    </w:p>
    <w:p>
      <w:pPr>
        <w:ind w:right="320" w:firstLine="1297"/>
        <w:spacing w:after="0" w:line="342" w:lineRule="auto"/>
        <w:rPr>
          <w:sz w:val="20"/>
          <w:szCs w:val="20"/>
          <w:color w:val="auto"/>
        </w:rPr>
      </w:pPr>
      <w:r>
        <w:rPr>
          <w:rFonts w:ascii="Arial" w:cs="Arial" w:eastAsia="Arial" w:hAnsi="Arial"/>
          <w:sz w:val="16"/>
          <w:szCs w:val="16"/>
          <w:u w:val="single" w:color="auto"/>
          <w:color w:val="0000FF"/>
        </w:rPr>
        <w:t>The Lead Borrower has requested that the Lenders provide Incremental Revolving Commitments in the aggregate principal amount of $500,000,000,</w:t>
      </w:r>
      <w:r>
        <w:rPr>
          <w:rFonts w:ascii="Arial" w:cs="Arial" w:eastAsia="Arial" w:hAnsi="Arial"/>
          <w:sz w:val="16"/>
          <w:szCs w:val="16"/>
          <w:color w:val="0000FF"/>
        </w:rPr>
        <w:t xml:space="preserve"> </w:t>
      </w:r>
      <w:r>
        <w:rPr>
          <w:rFonts w:ascii="Arial" w:cs="Arial" w:eastAsia="Arial" w:hAnsi="Arial"/>
          <w:sz w:val="16"/>
          <w:szCs w:val="16"/>
          <w:color w:val="000000"/>
        </w:rPr>
        <w:t>and the Lenders have indicated their willingness to</w:t>
      </w:r>
      <w:r>
        <w:rPr>
          <w:rFonts w:ascii="Arial" w:cs="Arial" w:eastAsia="Arial" w:hAnsi="Arial"/>
          <w:sz w:val="16"/>
          <w:szCs w:val="16"/>
          <w:color w:val="0000FF"/>
        </w:rPr>
        <w:t xml:space="preserve"> </w:t>
      </w:r>
      <w:r>
        <w:rPr>
          <w:rFonts w:ascii="Arial" w:cs="Arial" w:eastAsia="Arial" w:hAnsi="Arial"/>
          <w:sz w:val="16"/>
          <w:szCs w:val="16"/>
          <w:color w:val="FF0000"/>
          <w:strike w:val="1"/>
        </w:rPr>
        <w:t>lend and the L/C Issuer has indicated its willingness to issue</w:t>
      </w:r>
      <w:r>
        <w:rPr>
          <w:rFonts w:ascii="Arial" w:cs="Arial" w:eastAsia="Arial" w:hAnsi="Arial"/>
          <w:sz w:val="16"/>
          <w:szCs w:val="16"/>
          <w:color w:val="0000FF"/>
        </w:rPr>
        <w:t xml:space="preserve"> </w:t>
      </w:r>
      <w:r>
        <w:rPr>
          <w:rFonts w:ascii="Arial" w:cs="Arial" w:eastAsia="Arial" w:hAnsi="Arial"/>
          <w:sz w:val="16"/>
          <w:szCs w:val="16"/>
          <w:color w:val="FF0000"/>
          <w:strike w:val="1"/>
        </w:rPr>
        <w:t>letters of credit, in each case</w:t>
      </w:r>
      <w:r>
        <w:rPr>
          <w:rFonts w:ascii="Arial" w:cs="Arial" w:eastAsia="Arial" w:hAnsi="Arial"/>
          <w:sz w:val="16"/>
          <w:szCs w:val="16"/>
          <w:u w:val="single" w:color="auto"/>
          <w:color w:val="0000FF"/>
        </w:rPr>
        <w:t>provide such Incremental Revolving Commitments</w:t>
      </w:r>
      <w:r>
        <w:rPr>
          <w:rFonts w:ascii="Arial" w:cs="Arial" w:eastAsia="Arial" w:hAnsi="Arial"/>
          <w:sz w:val="16"/>
          <w:szCs w:val="16"/>
          <w:color w:val="000000"/>
        </w:rPr>
        <w:t>, on the terms and subject to the conditions set forth herein.</w:t>
      </w:r>
    </w:p>
    <w:p>
      <w:pPr>
        <w:spacing w:after="0" w:line="1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DEFINITIONS AND ACCOUNTING TERMS</w:t>
      </w:r>
    </w:p>
    <w:p>
      <w:pPr>
        <w:spacing w:after="0" w:line="229"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1.01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set forth below:</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Acceptable Discount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2.19(d)(ii)</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Acceptable Prepayment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2.19(d)(iii)</w:t>
      </w:r>
      <w:r>
        <w:rPr>
          <w:rFonts w:ascii="Arial" w:cs="Arial" w:eastAsia="Arial" w:hAnsi="Arial"/>
          <w:sz w:val="20"/>
          <w:szCs w:val="20"/>
          <w:color w:val="auto"/>
        </w:rPr>
        <w:t>.</w:t>
      </w:r>
    </w:p>
    <w:p>
      <w:pPr>
        <w:spacing w:after="0" w:line="216" w:lineRule="exact"/>
        <w:rPr>
          <w:sz w:val="20"/>
          <w:szCs w:val="20"/>
          <w:color w:val="auto"/>
        </w:rPr>
      </w:pPr>
    </w:p>
    <w:p>
      <w:pPr>
        <w:ind w:right="10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Acceptance and Prepayment Notice</w:t>
      </w:r>
      <w:r>
        <w:rPr>
          <w:rFonts w:ascii="Arial" w:cs="Arial" w:eastAsia="Arial" w:hAnsi="Arial"/>
          <w:sz w:val="20"/>
          <w:szCs w:val="20"/>
          <w:color w:val="auto"/>
        </w:rPr>
        <w:t xml:space="preserve">” means an irrevocable written notice from Parent or any of its Subsidiaries accepting a Solicited Discounted Prepayment Offer to make a Discounted Term Loan Prepayment at the Acceptable Discount specified therein pursuant to </w:t>
      </w:r>
      <w:r>
        <w:rPr>
          <w:rFonts w:ascii="Arial" w:cs="Arial" w:eastAsia="Arial" w:hAnsi="Arial"/>
          <w:sz w:val="20"/>
          <w:szCs w:val="20"/>
          <w:u w:val="single" w:color="auto"/>
          <w:color w:val="auto"/>
        </w:rPr>
        <w:t>Section 2.19(d)</w:t>
      </w:r>
      <w:r>
        <w:rPr>
          <w:rFonts w:ascii="Arial" w:cs="Arial" w:eastAsia="Arial" w:hAnsi="Arial"/>
          <w:sz w:val="20"/>
          <w:szCs w:val="20"/>
          <w:color w:val="auto"/>
        </w:rPr>
        <w:t xml:space="preserve"> substantially the form of </w:t>
      </w:r>
      <w:r>
        <w:rPr>
          <w:rFonts w:ascii="Arial" w:cs="Arial" w:eastAsia="Arial" w:hAnsi="Arial"/>
          <w:sz w:val="20"/>
          <w:szCs w:val="20"/>
          <w:u w:val="single" w:color="auto"/>
          <w:color w:val="auto"/>
        </w:rPr>
        <w:t>Exhibit R</w:t>
      </w:r>
      <w:r>
        <w:rPr>
          <w:rFonts w:ascii="Arial" w:cs="Arial" w:eastAsia="Arial" w:hAnsi="Arial"/>
          <w:sz w:val="20"/>
          <w:szCs w:val="20"/>
          <w:color w:val="auto"/>
        </w:rPr>
        <w:t xml:space="preserve"> hereto.</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Acceptance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2.19(d)(ii)</w:t>
      </w:r>
      <w:r>
        <w:rPr>
          <w:rFonts w:ascii="Arial" w:cs="Arial" w:eastAsia="Arial" w:hAnsi="Arial"/>
          <w:sz w:val="20"/>
          <w:szCs w:val="20"/>
          <w:color w:val="auto"/>
        </w:rPr>
        <w:t>.</w:t>
      </w:r>
    </w:p>
    <w:p>
      <w:pPr>
        <w:spacing w:after="0" w:line="216" w:lineRule="exact"/>
        <w:rPr>
          <w:sz w:val="20"/>
          <w:szCs w:val="20"/>
          <w:color w:val="auto"/>
        </w:rPr>
      </w:pPr>
    </w:p>
    <w:p>
      <w:pPr>
        <w:ind w:right="10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 Consideration</w:t>
      </w:r>
      <w:r>
        <w:rPr>
          <w:rFonts w:ascii="Arial" w:cs="Arial" w:eastAsia="Arial" w:hAnsi="Arial"/>
          <w:sz w:val="20"/>
          <w:szCs w:val="20"/>
          <w:color w:val="auto"/>
        </w:rPr>
        <w:t>” means the sum of the cash purchase price for any Permitted Acquisition payable at or prior to the closing date of such Permitted Acquisition (and which, for the avoidance of doubt, shall not include any purchase price adjustment, royalty, earnout, contingent payment or any other deferred payment of a similar nature) plus the aggregate principal amount of Indebtedness assumed on such date in connection with such Permitted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197" w:name="page198"/>
    <w:bookmarkEnd w:id="19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Agents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9.03</w:t>
      </w:r>
      <w:r>
        <w:rPr>
          <w:rFonts w:ascii="Arial" w:cs="Arial" w:eastAsia="Arial" w:hAnsi="Arial"/>
          <w:sz w:val="18"/>
          <w:szCs w:val="18"/>
          <w:color w:val="auto"/>
        </w:rPr>
        <w:t>, each an “</w:t>
      </w:r>
      <w:r>
        <w:rPr>
          <w:rFonts w:ascii="Arial" w:cs="Arial" w:eastAsia="Arial" w:hAnsi="Arial"/>
          <w:sz w:val="18"/>
          <w:szCs w:val="18"/>
          <w:u w:val="single" w:color="auto"/>
          <w:color w:val="auto"/>
        </w:rPr>
        <w:t>Additional Agent</w:t>
      </w:r>
      <w:r>
        <w:rPr>
          <w:rFonts w:ascii="Arial" w:cs="Arial" w:eastAsia="Arial" w:hAnsi="Arial"/>
          <w:sz w:val="18"/>
          <w:szCs w:val="18"/>
          <w:color w:val="auto"/>
        </w:rPr>
        <w:t>” and any two or more “</w:t>
      </w:r>
      <w:r>
        <w:rPr>
          <w:rFonts w:ascii="Arial" w:cs="Arial" w:eastAsia="Arial" w:hAnsi="Arial"/>
          <w:sz w:val="18"/>
          <w:szCs w:val="18"/>
          <w:u w:val="single" w:color="auto"/>
          <w:color w:val="auto"/>
        </w:rPr>
        <w:t>Additional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Agents</w:t>
      </w:r>
      <w:r>
        <w:rPr>
          <w:rFonts w:ascii="Arial" w:cs="Arial" w:eastAsia="Arial" w:hAnsi="Arial"/>
          <w:sz w:val="20"/>
          <w:szCs w:val="20"/>
          <w:color w:val="auto"/>
        </w:rPr>
        <w:t>”.</w:t>
      </w:r>
    </w:p>
    <w:p>
      <w:pPr>
        <w:spacing w:after="0" w:line="200" w:lineRule="exact"/>
        <w:rPr>
          <w:sz w:val="20"/>
          <w:szCs w:val="20"/>
          <w:color w:val="auto"/>
        </w:rPr>
      </w:pPr>
    </w:p>
    <w:p>
      <w:pPr>
        <w:jc w:val="both"/>
        <w:ind w:right="3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Eurodollar Rate</w:t>
      </w:r>
      <w:r>
        <w:rPr>
          <w:rFonts w:ascii="Arial" w:cs="Arial" w:eastAsia="Arial" w:hAnsi="Arial"/>
          <w:sz w:val="20"/>
          <w:szCs w:val="20"/>
          <w:color w:val="auto"/>
        </w:rPr>
        <w:t>” means, for the Interest Period for each Eurodollar Loan comprising part of the same Group, the quotient obtained (expressed as a decimal, carried out to five decimal places) by dividing (i) the applicable Eurodollar Rate for such Interest Period by (ii) 1.00 minus the Eurodollar Reserve Percentage.</w:t>
      </w:r>
    </w:p>
    <w:p>
      <w:pPr>
        <w:spacing w:after="0" w:line="186" w:lineRule="exact"/>
        <w:rPr>
          <w:sz w:val="20"/>
          <w:szCs w:val="20"/>
          <w:color w:val="auto"/>
        </w:rPr>
      </w:pPr>
    </w:p>
    <w:p>
      <w:pPr>
        <w:ind w:right="4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Bank of America (through itself or one of its designated Affiliates or branch offices), in its capacity as administrative agent under any of the Loan Documents, or any successor administrative agent.</w:t>
      </w:r>
    </w:p>
    <w:p>
      <w:pPr>
        <w:spacing w:after="0" w:line="177" w:lineRule="exact"/>
        <w:rPr>
          <w:sz w:val="20"/>
          <w:szCs w:val="20"/>
          <w:color w:val="auto"/>
        </w:rPr>
      </w:pPr>
    </w:p>
    <w:p>
      <w:pPr>
        <w:ind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or such other address or account as the Administrative Agent may from time to time notify the Lead Borrower and the Lenders.</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27" w:lineRule="exact"/>
        <w:rPr>
          <w:sz w:val="20"/>
          <w:szCs w:val="20"/>
          <w:color w:val="auto"/>
        </w:rPr>
      </w:pPr>
    </w:p>
    <w:p>
      <w:pPr>
        <w:ind w:right="2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another Person that directly, or indirectly through one or more intermediaries, Controls or is Controlled by or is under common Control with the Person specified.</w:t>
      </w:r>
    </w:p>
    <w:p>
      <w:pPr>
        <w:spacing w:after="0" w:line="177" w:lineRule="exact"/>
        <w:rPr>
          <w:sz w:val="20"/>
          <w:szCs w:val="20"/>
          <w:color w:val="auto"/>
        </w:rPr>
      </w:pPr>
    </w:p>
    <w:p>
      <w:pPr>
        <w:ind w:right="1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w:t>
      </w:r>
      <w:r>
        <w:rPr>
          <w:rFonts w:ascii="Arial" w:cs="Arial" w:eastAsia="Arial" w:hAnsi="Arial"/>
          <w:sz w:val="20"/>
          <w:szCs w:val="20"/>
          <w:color w:val="auto"/>
        </w:rPr>
        <w:t>” means the Administrative Agent, the Collateral Agent and any successors and assigns in such capacity, and “Agents” means any two or more of them.</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Related Persons</w:t>
      </w:r>
      <w:r>
        <w:rPr>
          <w:rFonts w:ascii="Arial" w:cs="Arial" w:eastAsia="Arial" w:hAnsi="Arial"/>
          <w:sz w:val="20"/>
          <w:szCs w:val="20"/>
          <w:color w:val="auto"/>
        </w:rPr>
        <w:t>” means each Agent, together with its Related Parties.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at any date the Commitments of all the Lenders.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Agreed Security Principles</w:t>
      </w:r>
      <w:r>
        <w:rPr>
          <w:rFonts w:ascii="Arial" w:cs="Arial" w:eastAsia="Arial" w:hAnsi="Arial"/>
          <w:sz w:val="20"/>
          <w:szCs w:val="20"/>
          <w:color w:val="auto"/>
        </w:rPr>
        <w:t xml:space="preserve">” means the agreed security principles set forth on </w:t>
      </w:r>
      <w:r>
        <w:rPr>
          <w:rFonts w:ascii="Arial" w:cs="Arial" w:eastAsia="Arial" w:hAnsi="Arial"/>
          <w:sz w:val="20"/>
          <w:szCs w:val="20"/>
          <w:u w:val="single" w:color="auto"/>
          <w:color w:val="auto"/>
        </w:rPr>
        <w:t>Schedule 1.01(A)</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specified in the preamble.</w:t>
      </w:r>
    </w:p>
    <w:p>
      <w:pPr>
        <w:spacing w:after="0" w:line="216" w:lineRule="exact"/>
        <w:rPr>
          <w:sz w:val="20"/>
          <w:szCs w:val="20"/>
          <w:color w:val="auto"/>
        </w:rPr>
      </w:pPr>
    </w:p>
    <w:p>
      <w:pPr>
        <w:ind w:right="7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0000FF"/>
        </w:rPr>
        <w:t>Amendment No. 1” means Amendment No. 1 to this Agreement, dated as of July 12, 2016, by and among Parent, the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Borrowers, the Guarantors, the Administrative Agent and the Lenders party thereto.</w:t>
      </w:r>
    </w:p>
    <w:p>
      <w:pPr>
        <w:spacing w:after="0" w:line="177" w:lineRule="exact"/>
        <w:rPr>
          <w:sz w:val="20"/>
          <w:szCs w:val="20"/>
          <w:color w:val="auto"/>
        </w:rPr>
      </w:pPr>
    </w:p>
    <w:p>
      <w:pPr>
        <w:ind w:right="140" w:firstLine="1297"/>
        <w:spacing w:after="0" w:line="291" w:lineRule="auto"/>
        <w:rPr>
          <w:sz w:val="20"/>
          <w:szCs w:val="20"/>
          <w:color w:val="auto"/>
        </w:rPr>
      </w:pPr>
      <w:r>
        <w:rPr>
          <w:rFonts w:ascii="Arial" w:cs="Arial" w:eastAsia="Arial" w:hAnsi="Arial"/>
          <w:sz w:val="18"/>
          <w:szCs w:val="18"/>
          <w:u w:val="single" w:color="auto"/>
          <w:color w:val="0000FF"/>
        </w:rPr>
        <w:t>“Amendment No. 1 Arrangers” means Bank of America, N.A., Citigroup Global Markets, Inc., DNB (UK) Limited, J.P. Morgan Securities LLC, RBC Capital Markets, Sumitomo Mitsui Banking Corporation, New York Branch and The Bank of Tokyo-Mitsubishi UFJ, Ltd., in their respective capacities as joint arranger and joint bookrunner for Amendment No. 1 or any successor thereto.</w:t>
      </w:r>
    </w:p>
    <w:p>
      <w:pPr>
        <w:spacing w:after="0" w:line="152" w:lineRule="exact"/>
        <w:rPr>
          <w:sz w:val="20"/>
          <w:szCs w:val="20"/>
          <w:color w:val="auto"/>
        </w:rPr>
      </w:pPr>
    </w:p>
    <w:p>
      <w:pPr>
        <w:ind w:right="40" w:firstLine="1297"/>
        <w:spacing w:after="0" w:line="250" w:lineRule="auto"/>
        <w:rPr>
          <w:sz w:val="20"/>
          <w:szCs w:val="20"/>
          <w:color w:val="auto"/>
        </w:rPr>
      </w:pPr>
      <w:r>
        <w:rPr>
          <w:rFonts w:ascii="Arial" w:cs="Arial" w:eastAsia="Arial" w:hAnsi="Arial"/>
          <w:sz w:val="20"/>
          <w:szCs w:val="20"/>
          <w:u w:val="single" w:color="auto"/>
          <w:color w:val="0000FF"/>
        </w:rPr>
        <w:t>“Amendment No. 1 Co-Documentation Agent” means each of Barclays Bank PLC, Credit Suisse AG, Cayman Islands Branch, HSBC Bank plc, HSBC Bank USA, N.A., Morgan Stanley Senior Funding, Inc. and SunTrust Bank, in their respective capacities as co-documentation agent for Amendment No. 1.</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98" w:name="page199"/>
    <w:bookmarkEnd w:id="198"/>
    <w:p>
      <w:pPr>
        <w:ind w:right="60" w:firstLine="1297"/>
        <w:spacing w:after="0" w:line="250" w:lineRule="auto"/>
        <w:rPr>
          <w:sz w:val="20"/>
          <w:szCs w:val="20"/>
          <w:color w:val="auto"/>
        </w:rPr>
      </w:pPr>
      <w:r>
        <w:rPr>
          <w:rFonts w:ascii="Arial" w:cs="Arial" w:eastAsia="Arial" w:hAnsi="Arial"/>
          <w:sz w:val="20"/>
          <w:szCs w:val="20"/>
          <w:u w:val="single" w:color="auto"/>
          <w:color w:val="0000FF"/>
        </w:rPr>
        <w:t>“Amendment No. 1 Co-Syndication Agent” means each of Citibank, N.A., DNB (UK) Limited, JPMorgan Chase Bank, N.A., Royal Bank of Canada, Sumitomo Mitsui Banking Corporation, New York Branch and The Bank of Tokyo-Mitsubishi UFJ, Ltd., in their respective capacities as co-syndication agent for Amendment No. 1.</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“Amendment No. 1 Effective Date” has the meaning specified in Amendment No. 1.</w:t>
      </w:r>
    </w:p>
    <w:p>
      <w:pPr>
        <w:spacing w:after="0" w:line="216" w:lineRule="exact"/>
        <w:rPr>
          <w:sz w:val="20"/>
          <w:szCs w:val="20"/>
          <w:color w:val="auto"/>
        </w:rPr>
      </w:pPr>
    </w:p>
    <w:p>
      <w:pPr>
        <w:ind w:right="80" w:firstLine="1297"/>
        <w:spacing w:after="0" w:line="278"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u w:val="single" w:color="auto"/>
          <w:color w:val="000000"/>
        </w:rPr>
        <w:t>Anti-Money Laundering Laws</w:t>
      </w:r>
      <w:r>
        <w:rPr>
          <w:rFonts w:ascii="Arial" w:cs="Arial" w:eastAsia="Arial" w:hAnsi="Arial"/>
          <w:sz w:val="18"/>
          <w:szCs w:val="18"/>
          <w:color w:val="000000"/>
        </w:rPr>
        <w:t>” means any and all laws, statutes, regulations or obligatory government orders, decrees,</w:t>
      </w:r>
      <w:r>
        <w:rPr>
          <w:rFonts w:ascii="Arial" w:cs="Arial" w:eastAsia="Arial" w:hAnsi="Arial"/>
          <w:sz w:val="18"/>
          <w:szCs w:val="18"/>
          <w:color w:val="0000FF"/>
        </w:rPr>
        <w:t xml:space="preserve"> </w:t>
      </w:r>
      <w:r>
        <w:rPr>
          <w:rFonts w:ascii="Arial" w:cs="Arial" w:eastAsia="Arial" w:hAnsi="Arial"/>
          <w:sz w:val="18"/>
          <w:szCs w:val="18"/>
          <w:color w:val="000000"/>
        </w:rPr>
        <w:t>ordinances or rules applicable to a Loan Party, its Subsidiaries or Affiliates related to terrorism financing or money laundering, including any applicable provision of Title III of the Uniting and Strengthening America by Providing Appropriate Tools Required to Intercept and Obstruct Terrorism Act (USA PATRIOT Act) of 2001 (Title III of Pub. L. 107-56) and The Currency and Foreign Transactions Reporting Act (also known as the “</w:t>
      </w:r>
      <w:r>
        <w:rPr>
          <w:rFonts w:ascii="Arial" w:cs="Arial" w:eastAsia="Arial" w:hAnsi="Arial"/>
          <w:sz w:val="18"/>
          <w:szCs w:val="18"/>
          <w:u w:val="single" w:color="auto"/>
          <w:color w:val="000000"/>
        </w:rPr>
        <w:t>Bank Secrecy Act</w:t>
      </w:r>
      <w:r>
        <w:rPr>
          <w:rFonts w:ascii="Arial" w:cs="Arial" w:eastAsia="Arial" w:hAnsi="Arial"/>
          <w:sz w:val="18"/>
          <w:szCs w:val="18"/>
          <w:color w:val="000000"/>
        </w:rPr>
        <w:t>,” 31 U.S.C. §§ 5311-5330 and 12 U.S.C. §§ 1818(s), 1820(b) and 1951-1959).</w:t>
      </w:r>
    </w:p>
    <w:p>
      <w:pPr>
        <w:spacing w:after="0" w:line="165" w:lineRule="exact"/>
        <w:rPr>
          <w:sz w:val="20"/>
          <w:szCs w:val="20"/>
          <w:color w:val="auto"/>
        </w:rPr>
      </w:pPr>
    </w:p>
    <w:p>
      <w:pPr>
        <w:ind w:right="5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Commitment Fee Percentage</w:t>
      </w:r>
      <w:r>
        <w:rPr>
          <w:rFonts w:ascii="Arial" w:cs="Arial" w:eastAsia="Arial" w:hAnsi="Arial"/>
          <w:sz w:val="20"/>
          <w:szCs w:val="20"/>
          <w:color w:val="auto"/>
        </w:rPr>
        <w:t>” means a percentage per annum set forth below corresponding to the Secured Leverage Ratio as of the most recent Calculation Date:</w:t>
      </w:r>
    </w:p>
    <w:p>
      <w:pPr>
        <w:spacing w:after="0" w:line="309" w:lineRule="exact"/>
        <w:rPr>
          <w:sz w:val="20"/>
          <w:szCs w:val="20"/>
          <w:color w:val="auto"/>
        </w:rPr>
      </w:pPr>
    </w:p>
    <w:tbl>
      <w:tblPr>
        <w:tblLayout w:type="fixed"/>
        <w:tblInd w:w="2490" w:type="dxa"/>
        <w:tblCellMar>
          <w:top w:w="0" w:type="dxa"/>
          <w:left w:w="0" w:type="dxa"/>
          <w:bottom w:w="0" w:type="dxa"/>
          <w:right w:w="0" w:type="dxa"/>
        </w:tblCellMar>
      </w:tblPr>
      <w:tr>
        <w:trPr>
          <w:trHeight w:val="253"/>
        </w:trPr>
        <w:tc>
          <w:tcPr>
            <w:tcW w:w="128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4"/>
              </w:rPr>
              <w:t>Pricing</w:t>
            </w:r>
          </w:p>
        </w:tc>
        <w:tc>
          <w:tcPr>
            <w:tcW w:w="3560" w:type="dxa"/>
            <w:vAlign w:val="bottom"/>
            <w:tcBorders>
              <w:top w:val="single" w:sz="8" w:color="00000A"/>
              <w:right w:val="single" w:sz="8" w:color="00000A"/>
            </w:tcBorders>
          </w:tcPr>
          <w:p>
            <w:pPr>
              <w:spacing w:after="0"/>
              <w:rPr>
                <w:sz w:val="22"/>
                <w:szCs w:val="22"/>
                <w:color w:val="auto"/>
              </w:rPr>
            </w:pPr>
          </w:p>
        </w:tc>
        <w:tc>
          <w:tcPr>
            <w:tcW w:w="30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1"/>
              </w:rPr>
              <w:t>Applicable Commitment Fee</w:t>
            </w:r>
          </w:p>
        </w:tc>
      </w:tr>
      <w:tr>
        <w:trPr>
          <w:trHeight w:val="250"/>
        </w:trPr>
        <w:tc>
          <w:tcPr>
            <w:tcW w:w="12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6"/>
              </w:rPr>
              <w:t>Level</w:t>
            </w:r>
          </w:p>
        </w:tc>
        <w:tc>
          <w:tcPr>
            <w:tcW w:w="35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Secured Leverage Ratio</w:t>
            </w:r>
          </w:p>
        </w:tc>
        <w:tc>
          <w:tcPr>
            <w:tcW w:w="30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4"/>
              </w:rPr>
              <w:t>Percentage</w:t>
            </w:r>
          </w:p>
        </w:tc>
      </w:tr>
      <w:tr>
        <w:trPr>
          <w:trHeight w:val="23"/>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3560" w:type="dxa"/>
            <w:vAlign w:val="bottom"/>
            <w:tcBorders>
              <w:bottom w:val="single" w:sz="8" w:color="00000A"/>
              <w:right w:val="single" w:sz="8" w:color="00000A"/>
            </w:tcBorders>
          </w:tcPr>
          <w:p>
            <w:pPr>
              <w:spacing w:after="0"/>
              <w:rPr>
                <w:sz w:val="2"/>
                <w:szCs w:val="2"/>
                <w:color w:val="auto"/>
              </w:rPr>
            </w:pPr>
          </w:p>
        </w:tc>
        <w:tc>
          <w:tcPr>
            <w:tcW w:w="3060" w:type="dxa"/>
            <w:vAlign w:val="bottom"/>
            <w:tcBorders>
              <w:bottom w:val="single" w:sz="8" w:color="00000A"/>
              <w:right w:val="single" w:sz="8" w:color="00000A"/>
            </w:tcBorders>
          </w:tcPr>
          <w:p>
            <w:pPr>
              <w:spacing w:after="0"/>
              <w:rPr>
                <w:sz w:val="2"/>
                <w:szCs w:val="2"/>
                <w:color w:val="auto"/>
              </w:rPr>
            </w:pPr>
          </w:p>
        </w:tc>
      </w:tr>
      <w:tr>
        <w:trPr>
          <w:trHeight w:val="282"/>
        </w:trPr>
        <w:tc>
          <w:tcPr>
            <w:tcW w:w="1280" w:type="dxa"/>
            <w:vAlign w:val="bottom"/>
            <w:tcBorders>
              <w:left w:val="single" w:sz="8" w:color="00000A"/>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20"/>
                <w:szCs w:val="20"/>
                <w:color w:val="auto"/>
              </w:rPr>
              <w:t>I</w:t>
            </w:r>
          </w:p>
        </w:tc>
        <w:tc>
          <w:tcPr>
            <w:tcW w:w="356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20"/>
                <w:szCs w:val="20"/>
                <w:color w:val="auto"/>
                <w:w w:val="92"/>
              </w:rPr>
              <w:t>≥ 1.50:1.00</w:t>
            </w:r>
          </w:p>
        </w:tc>
        <w:tc>
          <w:tcPr>
            <w:tcW w:w="306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20"/>
                <w:szCs w:val="20"/>
                <w:color w:val="auto"/>
                <w:w w:val="88"/>
              </w:rPr>
              <w:t>0.35%</w:t>
            </w:r>
          </w:p>
        </w:tc>
      </w:tr>
      <w:tr>
        <w:trPr>
          <w:trHeight w:val="254"/>
        </w:trPr>
        <w:tc>
          <w:tcPr>
            <w:tcW w:w="128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II</w:t>
            </w:r>
          </w:p>
        </w:tc>
        <w:tc>
          <w:tcPr>
            <w:tcW w:w="35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&lt; 1.50:1.00 and ≥ 0.50:1.00</w:t>
            </w:r>
          </w:p>
        </w:tc>
        <w:tc>
          <w:tcPr>
            <w:tcW w:w="30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8"/>
              </w:rPr>
              <w:t>0.30%</w:t>
            </w:r>
          </w:p>
        </w:tc>
      </w:tr>
      <w:tr>
        <w:trPr>
          <w:trHeight w:val="23"/>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3560" w:type="dxa"/>
            <w:vAlign w:val="bottom"/>
            <w:tcBorders>
              <w:bottom w:val="single" w:sz="8" w:color="00000A"/>
              <w:right w:val="single" w:sz="8" w:color="00000A"/>
            </w:tcBorders>
          </w:tcPr>
          <w:p>
            <w:pPr>
              <w:spacing w:after="0"/>
              <w:rPr>
                <w:sz w:val="2"/>
                <w:szCs w:val="2"/>
                <w:color w:val="auto"/>
              </w:rPr>
            </w:pPr>
          </w:p>
        </w:tc>
        <w:tc>
          <w:tcPr>
            <w:tcW w:w="3060" w:type="dxa"/>
            <w:vAlign w:val="bottom"/>
            <w:tcBorders>
              <w:bottom w:val="single" w:sz="8" w:color="00000A"/>
              <w:right w:val="single" w:sz="8" w:color="00000A"/>
            </w:tcBorders>
          </w:tcPr>
          <w:p>
            <w:pPr>
              <w:spacing w:after="0"/>
              <w:rPr>
                <w:sz w:val="2"/>
                <w:szCs w:val="2"/>
                <w:color w:val="auto"/>
              </w:rPr>
            </w:pPr>
          </w:p>
        </w:tc>
      </w:tr>
      <w:tr>
        <w:trPr>
          <w:trHeight w:val="257"/>
        </w:trPr>
        <w:tc>
          <w:tcPr>
            <w:tcW w:w="1280" w:type="dxa"/>
            <w:vAlign w:val="bottom"/>
            <w:tcBorders>
              <w:left w:val="single" w:sz="8" w:color="00000A"/>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20"/>
                <w:szCs w:val="20"/>
                <w:color w:val="auto"/>
              </w:rPr>
              <w:t>III</w:t>
            </w:r>
          </w:p>
        </w:tc>
        <w:tc>
          <w:tcPr>
            <w:tcW w:w="356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20"/>
                <w:szCs w:val="20"/>
                <w:color w:val="auto"/>
                <w:w w:val="91"/>
              </w:rPr>
              <w:t>&lt; 0.50:1.00</w:t>
            </w:r>
          </w:p>
        </w:tc>
        <w:tc>
          <w:tcPr>
            <w:tcW w:w="306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20"/>
                <w:szCs w:val="20"/>
                <w:color w:val="auto"/>
                <w:w w:val="88"/>
              </w:rPr>
              <w:t>0.25%</w:t>
            </w:r>
          </w:p>
        </w:tc>
      </w:tr>
      <w:tr>
        <w:trPr>
          <w:trHeight w:val="20"/>
        </w:trPr>
        <w:tc>
          <w:tcPr>
            <w:tcW w:w="1280" w:type="dxa"/>
            <w:vAlign w:val="bottom"/>
            <w:tcBorders>
              <w:left w:val="single" w:sz="8" w:color="00000A"/>
              <w:right w:val="single" w:sz="8" w:color="00000A"/>
            </w:tcBorders>
            <w:shd w:val="clear" w:color="auto" w:fill="00000A"/>
          </w:tcPr>
          <w:p>
            <w:pPr>
              <w:spacing w:after="0" w:line="20" w:lineRule="exact"/>
              <w:rPr>
                <w:sz w:val="1"/>
                <w:szCs w:val="1"/>
                <w:color w:val="auto"/>
              </w:rPr>
            </w:pPr>
          </w:p>
        </w:tc>
        <w:tc>
          <w:tcPr>
            <w:tcW w:w="3560" w:type="dxa"/>
            <w:vAlign w:val="bottom"/>
            <w:tcBorders>
              <w:right w:val="single" w:sz="8" w:color="00000A"/>
            </w:tcBorders>
            <w:shd w:val="clear" w:color="auto" w:fill="00000A"/>
          </w:tcPr>
          <w:p>
            <w:pPr>
              <w:spacing w:after="0" w:line="20" w:lineRule="exact"/>
              <w:rPr>
                <w:sz w:val="1"/>
                <w:szCs w:val="1"/>
                <w:color w:val="auto"/>
              </w:rPr>
            </w:pPr>
          </w:p>
        </w:tc>
        <w:tc>
          <w:tcPr>
            <w:tcW w:w="3060" w:type="dxa"/>
            <w:vAlign w:val="bottom"/>
            <w:tcBorders>
              <w:right w:val="single" w:sz="8" w:color="00000A"/>
            </w:tcBorders>
            <w:shd w:val="clear" w:color="auto" w:fill="00000A"/>
          </w:tcPr>
          <w:p>
            <w:pPr>
              <w:spacing w:after="0" w:line="20" w:lineRule="exact"/>
              <w:rPr>
                <w:sz w:val="1"/>
                <w:szCs w:val="1"/>
                <w:color w:val="auto"/>
              </w:rPr>
            </w:pPr>
          </w:p>
        </w:tc>
      </w:tr>
    </w:tbl>
    <w:p>
      <w:pPr>
        <w:spacing w:after="0" w:line="213" w:lineRule="exact"/>
        <w:rPr>
          <w:sz w:val="20"/>
          <w:szCs w:val="20"/>
          <w:color w:val="auto"/>
        </w:rPr>
      </w:pPr>
    </w:p>
    <w:p>
      <w:pPr>
        <w:ind w:firstLine="1297"/>
        <w:spacing w:after="0" w:line="269" w:lineRule="auto"/>
        <w:rPr>
          <w:sz w:val="20"/>
          <w:szCs w:val="20"/>
          <w:color w:val="auto"/>
        </w:rPr>
      </w:pPr>
      <w:r>
        <w:rPr>
          <w:rFonts w:ascii="Arial" w:cs="Arial" w:eastAsia="Arial" w:hAnsi="Arial"/>
          <w:sz w:val="18"/>
          <w:szCs w:val="18"/>
          <w:color w:val="auto"/>
        </w:rPr>
        <w:t>Each Applicable Commitment Fee Percentage shall be determined and adjusted quarterly on the date (each, a “</w:t>
      </w:r>
      <w:r>
        <w:rPr>
          <w:rFonts w:ascii="Arial" w:cs="Arial" w:eastAsia="Arial" w:hAnsi="Arial"/>
          <w:sz w:val="18"/>
          <w:szCs w:val="18"/>
          <w:u w:val="single" w:color="auto"/>
          <w:color w:val="auto"/>
        </w:rPr>
        <w:t>Calculation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three Business Days after the earlier of the actual delivery date by which Parent provides, or the required delivery date by which Parent is required to provide, the consolidated financial information required by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and the Compliance Certificate required by </w:t>
      </w:r>
      <w:r>
        <w:rPr>
          <w:rFonts w:ascii="Arial" w:cs="Arial" w:eastAsia="Arial" w:hAnsi="Arial"/>
          <w:sz w:val="18"/>
          <w:szCs w:val="18"/>
          <w:u w:val="single" w:color="auto"/>
          <w:color w:val="auto"/>
        </w:rPr>
        <w:t>Section 6.01(c)</w:t>
      </w:r>
      <w:r>
        <w:rPr>
          <w:rFonts w:ascii="Arial" w:cs="Arial" w:eastAsia="Arial" w:hAnsi="Arial"/>
          <w:sz w:val="18"/>
          <w:szCs w:val="18"/>
          <w:color w:val="auto"/>
        </w:rPr>
        <w:t xml:space="preserve"> for the fiscal quarter or year of Parent most recently ended prior to the Calculation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Applicable Commitment Fee Percentage shall be deemed to be (i) (x) in Pricing Level </w:t>
      </w:r>
      <w:r>
        <w:rPr>
          <w:rFonts w:ascii="Arial" w:cs="Arial" w:eastAsia="Arial" w:hAnsi="Arial"/>
          <w:sz w:val="18"/>
          <w:szCs w:val="18"/>
          <w:color w:val="FF0000"/>
          <w:strike w:val="1"/>
        </w:rPr>
        <w:t>II</w:t>
      </w:r>
      <w:r>
        <w:rPr>
          <w:rFonts w:ascii="Arial" w:cs="Arial" w:eastAsia="Arial" w:hAnsi="Arial"/>
          <w:sz w:val="18"/>
          <w:szCs w:val="18"/>
          <w:u w:val="single" w:color="auto"/>
          <w:color w:val="0000FF"/>
        </w:rPr>
        <w:t>I</w:t>
      </w:r>
      <w:r>
        <w:rPr>
          <w:rFonts w:ascii="Arial" w:cs="Arial" w:eastAsia="Arial" w:hAnsi="Arial"/>
          <w:sz w:val="18"/>
          <w:szCs w:val="18"/>
          <w:color w:val="auto"/>
        </w:rPr>
        <w:t xml:space="preserve"> from the </w:t>
      </w:r>
      <w:r>
        <w:rPr>
          <w:rFonts w:ascii="Arial" w:cs="Arial" w:eastAsia="Arial" w:hAnsi="Arial"/>
          <w:sz w:val="18"/>
          <w:szCs w:val="18"/>
          <w:color w:val="FF0000"/>
          <w:strike w:val="1"/>
        </w:rPr>
        <w:t>Closing</w:t>
      </w:r>
      <w:r>
        <w:rPr>
          <w:rFonts w:ascii="Arial" w:cs="Arial" w:eastAsia="Arial" w:hAnsi="Arial"/>
          <w:sz w:val="18"/>
          <w:szCs w:val="18"/>
          <w:u w:val="single" w:color="auto"/>
          <w:color w:val="0000FF"/>
        </w:rPr>
        <w:t>Amendment No. 1 Effective</w:t>
      </w:r>
      <w:r>
        <w:rPr>
          <w:rFonts w:ascii="Arial" w:cs="Arial" w:eastAsia="Arial" w:hAnsi="Arial"/>
          <w:sz w:val="18"/>
          <w:szCs w:val="18"/>
          <w:color w:val="auto"/>
        </w:rPr>
        <w:t xml:space="preserve"> Date until the first Calculation Date occurring after </w:t>
      </w:r>
      <w:r>
        <w:rPr>
          <w:rFonts w:ascii="Arial" w:cs="Arial" w:eastAsia="Arial" w:hAnsi="Arial"/>
          <w:sz w:val="18"/>
          <w:szCs w:val="18"/>
          <w:color w:val="FF0000"/>
          <w:strike w:val="1"/>
        </w:rPr>
        <w:t>the first full fiscal quarter of Parent subsequent to the Closing Date</w:t>
      </w:r>
      <w:r>
        <w:rPr>
          <w:rFonts w:ascii="Arial" w:cs="Arial" w:eastAsia="Arial" w:hAnsi="Arial"/>
          <w:sz w:val="18"/>
          <w:szCs w:val="18"/>
          <w:u w:val="single" w:color="auto"/>
          <w:color w:val="0000FF"/>
        </w:rPr>
        <w:t>September 30, 2016</w:t>
      </w:r>
      <w:r>
        <w:rPr>
          <w:rFonts w:ascii="Arial" w:cs="Arial" w:eastAsia="Arial" w:hAnsi="Arial"/>
          <w:sz w:val="18"/>
          <w:szCs w:val="18"/>
          <w:color w:val="auto"/>
        </w:rPr>
        <w:t xml:space="preserve"> and</w:t>
      </w:r>
    </w:p>
    <w:p>
      <w:pPr>
        <w:spacing w:after="0" w:line="2" w:lineRule="exact"/>
        <w:rPr>
          <w:sz w:val="20"/>
          <w:szCs w:val="20"/>
          <w:color w:val="auto"/>
        </w:rPr>
      </w:pPr>
    </w:p>
    <w:p>
      <w:pPr>
        <w:ind w:right="60" w:firstLine="8"/>
        <w:spacing w:after="0" w:line="266" w:lineRule="auto"/>
        <w:tabs>
          <w:tab w:leader="none" w:pos="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in Pricing Level I at any time during the existence of an Event of Default under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and (ii) if Parent fails to provide the consolidated financial information required by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or the Compliance Certificate required by </w:t>
      </w:r>
      <w:r>
        <w:rPr>
          <w:rFonts w:ascii="Arial" w:cs="Arial" w:eastAsia="Arial" w:hAnsi="Arial"/>
          <w:sz w:val="18"/>
          <w:szCs w:val="18"/>
          <w:u w:val="single" w:color="auto"/>
          <w:color w:val="auto"/>
        </w:rPr>
        <w:t>Section</w:t>
      </w:r>
    </w:p>
    <w:p>
      <w:pPr>
        <w:ind w:right="60"/>
        <w:spacing w:after="0" w:line="241" w:lineRule="auto"/>
        <w:rPr>
          <w:rFonts w:ascii="Arial" w:cs="Arial" w:eastAsia="Arial" w:hAnsi="Arial"/>
          <w:sz w:val="18"/>
          <w:szCs w:val="18"/>
          <w:color w:val="auto"/>
        </w:rPr>
      </w:pPr>
      <w:r>
        <w:rPr>
          <w:rFonts w:ascii="Arial" w:cs="Arial" w:eastAsia="Arial" w:hAnsi="Arial"/>
          <w:sz w:val="20"/>
          <w:szCs w:val="20"/>
          <w:u w:val="single" w:color="auto"/>
          <w:color w:val="auto"/>
        </w:rPr>
        <w:t>6.01(c)</w:t>
      </w:r>
      <w:r>
        <w:rPr>
          <w:rFonts w:ascii="Arial" w:cs="Arial" w:eastAsia="Arial" w:hAnsi="Arial"/>
          <w:sz w:val="20"/>
          <w:szCs w:val="20"/>
          <w:color w:val="auto"/>
        </w:rPr>
        <w:t xml:space="preserve"> for the most recently ended fiscal quarter or year of Parent preceding any applicable Calculation Date, each Applicable Commitment Fee Percentage from such Calculation Date shall be based on Pricing Level I until such time as such consolidated financial information and an appropriate Officer’s Certificate is provided.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ind w:left="5660" w:hanging="111"/>
        <w:spacing w:after="0"/>
        <w:tabs>
          <w:tab w:leader="none" w:pos="566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366" w:right="319" w:bottom="1440" w:gutter="0" w:footer="0" w:header="0"/>
        </w:sectPr>
      </w:pPr>
    </w:p>
    <w:bookmarkStart w:id="199" w:name="page200"/>
    <w:bookmarkEnd w:id="199"/>
    <w:p>
      <w:pPr>
        <w:ind w:right="8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 xml:space="preserve">” means a percentage per annum equal to, for purposes of calculating (A) the applicable interest rate for any day for any Term Loan, Revolving Loan or Swing Line Loan or (B) the applicable rate of the Letter of Credit Fee for any day for purposes of </w:t>
      </w:r>
      <w:r>
        <w:rPr>
          <w:rFonts w:ascii="Arial" w:cs="Arial" w:eastAsia="Arial" w:hAnsi="Arial"/>
          <w:sz w:val="20"/>
          <w:szCs w:val="20"/>
          <w:u w:val="single" w:color="auto"/>
          <w:color w:val="auto"/>
        </w:rPr>
        <w:t>Section 2.11(b)(i)</w:t>
      </w:r>
      <w:r>
        <w:rPr>
          <w:rFonts w:ascii="Arial" w:cs="Arial" w:eastAsia="Arial" w:hAnsi="Arial"/>
          <w:sz w:val="20"/>
          <w:szCs w:val="20"/>
          <w:color w:val="auto"/>
        </w:rPr>
        <w:t>, the applicable percentage per annum set forth below corresponding to the Secured Leverage Ratio as of the most recent Calculation Date:</w:t>
      </w:r>
    </w:p>
    <w:p>
      <w:pPr>
        <w:spacing w:after="0" w:line="323" w:lineRule="exact"/>
        <w:rPr>
          <w:sz w:val="20"/>
          <w:szCs w:val="20"/>
          <w:color w:val="auto"/>
        </w:rPr>
      </w:pPr>
    </w:p>
    <w:tbl>
      <w:tblPr>
        <w:tblLayout w:type="fixed"/>
        <w:tblInd w:w="2210" w:type="dxa"/>
        <w:tblCellMar>
          <w:top w:w="0" w:type="dxa"/>
          <w:left w:w="0" w:type="dxa"/>
          <w:bottom w:w="0" w:type="dxa"/>
          <w:right w:w="0" w:type="dxa"/>
        </w:tblCellMar>
      </w:tblPr>
      <w:tr>
        <w:trPr>
          <w:trHeight w:val="253"/>
        </w:trPr>
        <w:tc>
          <w:tcPr>
            <w:tcW w:w="1360" w:type="dxa"/>
            <w:vAlign w:val="bottom"/>
            <w:tcBorders>
              <w:top w:val="single" w:sz="8" w:color="00000A"/>
              <w:left w:val="single" w:sz="8" w:color="00000A"/>
              <w:right w:val="single" w:sz="8" w:color="00000A"/>
            </w:tcBorders>
          </w:tcPr>
          <w:p>
            <w:pPr>
              <w:spacing w:after="0"/>
              <w:rPr>
                <w:sz w:val="22"/>
                <w:szCs w:val="22"/>
                <w:color w:val="auto"/>
              </w:rPr>
            </w:pPr>
          </w:p>
        </w:tc>
        <w:tc>
          <w:tcPr>
            <w:tcW w:w="2760" w:type="dxa"/>
            <w:vAlign w:val="bottom"/>
            <w:tcBorders>
              <w:top w:val="single" w:sz="8" w:color="00000A"/>
              <w:right w:val="single" w:sz="8" w:color="00000A"/>
            </w:tcBorders>
          </w:tcPr>
          <w:p>
            <w:pPr>
              <w:spacing w:after="0"/>
              <w:rPr>
                <w:sz w:val="22"/>
                <w:szCs w:val="22"/>
                <w:color w:val="auto"/>
              </w:rPr>
            </w:pPr>
          </w:p>
        </w:tc>
        <w:tc>
          <w:tcPr>
            <w:tcW w:w="21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Letter of Credit Fee and</w:t>
            </w:r>
          </w:p>
        </w:tc>
        <w:tc>
          <w:tcPr>
            <w:tcW w:w="20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4"/>
              </w:rPr>
              <w:t>Applicable Margin for</w:t>
            </w:r>
          </w:p>
        </w:tc>
      </w:tr>
      <w:tr>
        <w:trPr>
          <w:trHeight w:val="230"/>
        </w:trPr>
        <w:tc>
          <w:tcPr>
            <w:tcW w:w="1360" w:type="dxa"/>
            <w:vAlign w:val="bottom"/>
            <w:tcBorders>
              <w:left w:val="single" w:sz="8" w:color="00000A"/>
              <w:right w:val="single" w:sz="8" w:color="00000A"/>
            </w:tcBorders>
          </w:tcPr>
          <w:p>
            <w:pPr>
              <w:spacing w:after="0"/>
              <w:rPr>
                <w:sz w:val="19"/>
                <w:szCs w:val="19"/>
                <w:color w:val="auto"/>
              </w:rPr>
            </w:pPr>
          </w:p>
        </w:tc>
        <w:tc>
          <w:tcPr>
            <w:tcW w:w="2760" w:type="dxa"/>
            <w:vAlign w:val="bottom"/>
            <w:tcBorders>
              <w:right w:val="single" w:sz="8" w:color="00000A"/>
            </w:tcBorders>
          </w:tcPr>
          <w:p>
            <w:pPr>
              <w:spacing w:after="0"/>
              <w:rPr>
                <w:sz w:val="19"/>
                <w:szCs w:val="19"/>
                <w:color w:val="auto"/>
              </w:rPr>
            </w:pPr>
          </w:p>
        </w:tc>
        <w:tc>
          <w:tcPr>
            <w:tcW w:w="21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4"/>
              </w:rPr>
              <w:t>Applicable Margin for</w:t>
            </w:r>
          </w:p>
        </w:tc>
        <w:tc>
          <w:tcPr>
            <w:tcW w:w="20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Swing Line Loans,</w:t>
            </w:r>
          </w:p>
        </w:tc>
      </w:tr>
      <w:tr>
        <w:trPr>
          <w:trHeight w:val="230"/>
        </w:trPr>
        <w:tc>
          <w:tcPr>
            <w:tcW w:w="1360" w:type="dxa"/>
            <w:vAlign w:val="bottom"/>
            <w:tcBorders>
              <w:left w:val="single" w:sz="8" w:color="00000A"/>
              <w:right w:val="single" w:sz="8" w:color="00000A"/>
            </w:tcBorders>
          </w:tcPr>
          <w:p>
            <w:pPr>
              <w:spacing w:after="0"/>
              <w:rPr>
                <w:sz w:val="19"/>
                <w:szCs w:val="19"/>
                <w:color w:val="auto"/>
              </w:rPr>
            </w:pPr>
          </w:p>
        </w:tc>
        <w:tc>
          <w:tcPr>
            <w:tcW w:w="2760" w:type="dxa"/>
            <w:vAlign w:val="bottom"/>
            <w:tcBorders>
              <w:right w:val="single" w:sz="8" w:color="00000A"/>
            </w:tcBorders>
          </w:tcPr>
          <w:p>
            <w:pPr>
              <w:spacing w:after="0"/>
              <w:rPr>
                <w:sz w:val="19"/>
                <w:szCs w:val="19"/>
                <w:color w:val="auto"/>
              </w:rPr>
            </w:pPr>
          </w:p>
        </w:tc>
        <w:tc>
          <w:tcPr>
            <w:tcW w:w="21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Revolving Loans and</w:t>
            </w:r>
          </w:p>
        </w:tc>
        <w:tc>
          <w:tcPr>
            <w:tcW w:w="20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Revolving Loans and</w:t>
            </w:r>
          </w:p>
        </w:tc>
      </w:tr>
      <w:tr>
        <w:trPr>
          <w:trHeight w:val="230"/>
        </w:trPr>
        <w:tc>
          <w:tcPr>
            <w:tcW w:w="1360" w:type="dxa"/>
            <w:vAlign w:val="bottom"/>
            <w:tcBorders>
              <w:left w:val="single" w:sz="8" w:color="00000A"/>
              <w:right w:val="single" w:sz="8" w:color="00000A"/>
            </w:tcBorders>
          </w:tcPr>
          <w:p>
            <w:pPr>
              <w:spacing w:after="0"/>
              <w:rPr>
                <w:sz w:val="19"/>
                <w:szCs w:val="19"/>
                <w:color w:val="auto"/>
              </w:rPr>
            </w:pPr>
          </w:p>
        </w:tc>
        <w:tc>
          <w:tcPr>
            <w:tcW w:w="2760" w:type="dxa"/>
            <w:vAlign w:val="bottom"/>
            <w:tcBorders>
              <w:right w:val="single" w:sz="8" w:color="00000A"/>
            </w:tcBorders>
          </w:tcPr>
          <w:p>
            <w:pPr>
              <w:spacing w:after="0"/>
              <w:rPr>
                <w:sz w:val="19"/>
                <w:szCs w:val="19"/>
                <w:color w:val="auto"/>
              </w:rPr>
            </w:pPr>
          </w:p>
        </w:tc>
        <w:tc>
          <w:tcPr>
            <w:tcW w:w="21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7"/>
              </w:rPr>
              <w:t>Term Loans that are</w:t>
            </w:r>
          </w:p>
        </w:tc>
        <w:tc>
          <w:tcPr>
            <w:tcW w:w="20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7"/>
              </w:rPr>
              <w:t>Term Loans that are</w:t>
            </w:r>
          </w:p>
        </w:tc>
      </w:tr>
      <w:tr>
        <w:trPr>
          <w:trHeight w:val="250"/>
        </w:trPr>
        <w:tc>
          <w:tcPr>
            <w:tcW w:w="13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2"/>
              </w:rPr>
              <w:t>Pricing Level</w:t>
            </w:r>
          </w:p>
        </w:tc>
        <w:tc>
          <w:tcPr>
            <w:tcW w:w="27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Secured Leverage Ratio</w:t>
            </w:r>
          </w:p>
        </w:tc>
        <w:tc>
          <w:tcPr>
            <w:tcW w:w="21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Eurodollar Loans</w:t>
            </w:r>
          </w:p>
        </w:tc>
        <w:tc>
          <w:tcPr>
            <w:tcW w:w="20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6"/>
              </w:rPr>
              <w:t>Base Rate Loans</w:t>
            </w:r>
          </w:p>
        </w:tc>
      </w:tr>
      <w:tr>
        <w:trPr>
          <w:trHeight w:val="23"/>
        </w:trPr>
        <w:tc>
          <w:tcPr>
            <w:tcW w:w="1360" w:type="dxa"/>
            <w:vAlign w:val="bottom"/>
            <w:tcBorders>
              <w:left w:val="single" w:sz="8" w:color="00000A"/>
              <w:bottom w:val="single" w:sz="8" w:color="00000A"/>
              <w:right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1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r>
      <w:tr>
        <w:trPr>
          <w:trHeight w:val="282"/>
        </w:trPr>
        <w:tc>
          <w:tcPr>
            <w:tcW w:w="1360" w:type="dxa"/>
            <w:vAlign w:val="bottom"/>
            <w:tcBorders>
              <w:left w:val="single" w:sz="8" w:color="00000A"/>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20"/>
                <w:szCs w:val="20"/>
                <w:color w:val="auto"/>
              </w:rPr>
              <w:t>I</w:t>
            </w:r>
          </w:p>
        </w:tc>
        <w:tc>
          <w:tcPr>
            <w:tcW w:w="276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20"/>
                <w:szCs w:val="20"/>
                <w:color w:val="auto"/>
                <w:w w:val="92"/>
              </w:rPr>
              <w:t>≥ 2.50:1.00</w:t>
            </w:r>
          </w:p>
        </w:tc>
        <w:tc>
          <w:tcPr>
            <w:tcW w:w="216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20"/>
                <w:szCs w:val="20"/>
                <w:color w:val="auto"/>
                <w:w w:val="91"/>
              </w:rPr>
              <w:t>2.25%</w:t>
            </w:r>
          </w:p>
        </w:tc>
        <w:tc>
          <w:tcPr>
            <w:tcW w:w="208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20"/>
                <w:szCs w:val="20"/>
                <w:color w:val="auto"/>
                <w:w w:val="91"/>
              </w:rPr>
              <w:t>1.25%</w:t>
            </w:r>
          </w:p>
        </w:tc>
      </w:tr>
      <w:tr>
        <w:trPr>
          <w:trHeight w:val="254"/>
        </w:trPr>
        <w:tc>
          <w:tcPr>
            <w:tcW w:w="13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II</w:t>
            </w:r>
          </w:p>
        </w:tc>
        <w:tc>
          <w:tcPr>
            <w:tcW w:w="27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&lt; 2.50:1.00 and ≥ 1.50.1.00</w:t>
            </w:r>
          </w:p>
        </w:tc>
        <w:tc>
          <w:tcPr>
            <w:tcW w:w="21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1"/>
              </w:rPr>
              <w:t>2.00%</w:t>
            </w:r>
          </w:p>
        </w:tc>
        <w:tc>
          <w:tcPr>
            <w:tcW w:w="20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1"/>
              </w:rPr>
              <w:t>1.00%</w:t>
            </w:r>
          </w:p>
        </w:tc>
      </w:tr>
      <w:tr>
        <w:trPr>
          <w:trHeight w:val="23"/>
        </w:trPr>
        <w:tc>
          <w:tcPr>
            <w:tcW w:w="1360" w:type="dxa"/>
            <w:vAlign w:val="bottom"/>
            <w:tcBorders>
              <w:left w:val="single" w:sz="8" w:color="00000A"/>
              <w:bottom w:val="single" w:sz="8" w:color="00000A"/>
              <w:right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1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r>
      <w:tr>
        <w:trPr>
          <w:trHeight w:val="282"/>
        </w:trPr>
        <w:tc>
          <w:tcPr>
            <w:tcW w:w="1360" w:type="dxa"/>
            <w:vAlign w:val="bottom"/>
            <w:tcBorders>
              <w:left w:val="single" w:sz="8" w:color="00000A"/>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20"/>
                <w:szCs w:val="20"/>
                <w:color w:val="auto"/>
              </w:rPr>
              <w:t>III</w:t>
            </w:r>
          </w:p>
        </w:tc>
        <w:tc>
          <w:tcPr>
            <w:tcW w:w="276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20"/>
                <w:szCs w:val="20"/>
                <w:color w:val="auto"/>
                <w:w w:val="89"/>
              </w:rPr>
              <w:t>&lt; 1.50:1.00 and ≥ 0.50:1.00</w:t>
            </w:r>
          </w:p>
        </w:tc>
        <w:tc>
          <w:tcPr>
            <w:tcW w:w="216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20"/>
                <w:szCs w:val="20"/>
                <w:color w:val="auto"/>
                <w:w w:val="91"/>
              </w:rPr>
              <w:t>1.75%</w:t>
            </w:r>
          </w:p>
        </w:tc>
        <w:tc>
          <w:tcPr>
            <w:tcW w:w="208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Arial" w:cs="Arial" w:eastAsia="Arial" w:hAnsi="Arial"/>
                <w:sz w:val="20"/>
                <w:szCs w:val="20"/>
                <w:color w:val="auto"/>
                <w:w w:val="91"/>
              </w:rPr>
              <w:t>0.75%</w:t>
            </w:r>
          </w:p>
        </w:tc>
      </w:tr>
      <w:tr>
        <w:trPr>
          <w:trHeight w:val="254"/>
        </w:trPr>
        <w:tc>
          <w:tcPr>
            <w:tcW w:w="13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IV</w:t>
            </w:r>
          </w:p>
        </w:tc>
        <w:tc>
          <w:tcPr>
            <w:tcW w:w="27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1"/>
              </w:rPr>
              <w:t>&lt; 0.50:1.00</w:t>
            </w:r>
          </w:p>
        </w:tc>
        <w:tc>
          <w:tcPr>
            <w:tcW w:w="21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1"/>
              </w:rPr>
              <w:t>1.50%</w:t>
            </w:r>
          </w:p>
        </w:tc>
        <w:tc>
          <w:tcPr>
            <w:tcW w:w="20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1"/>
              </w:rPr>
              <w:t>0.50%</w:t>
            </w:r>
          </w:p>
        </w:tc>
      </w:tr>
      <w:tr>
        <w:trPr>
          <w:trHeight w:val="23"/>
        </w:trPr>
        <w:tc>
          <w:tcPr>
            <w:tcW w:w="1360" w:type="dxa"/>
            <w:vAlign w:val="bottom"/>
            <w:tcBorders>
              <w:left w:val="single" w:sz="8" w:color="00000A"/>
              <w:bottom w:val="single" w:sz="8" w:color="00000A"/>
              <w:right w:val="single" w:sz="8" w:color="00000A"/>
            </w:tcBorders>
          </w:tcPr>
          <w:p>
            <w:pPr>
              <w:spacing w:after="0"/>
              <w:rPr>
                <w:sz w:val="2"/>
                <w:szCs w:val="2"/>
                <w:color w:val="auto"/>
              </w:rPr>
            </w:pPr>
          </w:p>
        </w:tc>
        <w:tc>
          <w:tcPr>
            <w:tcW w:w="2760" w:type="dxa"/>
            <w:vAlign w:val="bottom"/>
            <w:tcBorders>
              <w:bottom w:val="single" w:sz="8" w:color="00000A"/>
              <w:right w:val="single" w:sz="8" w:color="00000A"/>
            </w:tcBorders>
          </w:tcPr>
          <w:p>
            <w:pPr>
              <w:spacing w:after="0"/>
              <w:rPr>
                <w:sz w:val="2"/>
                <w:szCs w:val="2"/>
                <w:color w:val="auto"/>
              </w:rPr>
            </w:pPr>
          </w:p>
        </w:tc>
        <w:tc>
          <w:tcPr>
            <w:tcW w:w="21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r>
    </w:tbl>
    <w:p>
      <w:pPr>
        <w:spacing w:after="0" w:line="213" w:lineRule="exact"/>
        <w:rPr>
          <w:sz w:val="20"/>
          <w:szCs w:val="20"/>
          <w:color w:val="auto"/>
        </w:rPr>
      </w:pPr>
    </w:p>
    <w:p>
      <w:pPr>
        <w:ind w:right="80" w:firstLine="1297"/>
        <w:spacing w:after="0" w:line="272" w:lineRule="auto"/>
        <w:rPr>
          <w:sz w:val="20"/>
          <w:szCs w:val="20"/>
          <w:color w:val="auto"/>
        </w:rPr>
      </w:pPr>
      <w:r>
        <w:rPr>
          <w:rFonts w:ascii="Arial" w:cs="Arial" w:eastAsia="Arial" w:hAnsi="Arial"/>
          <w:sz w:val="18"/>
          <w:szCs w:val="18"/>
          <w:color w:val="auto"/>
        </w:rPr>
        <w:t>Each Applicable Margin shall be determined and adjusted quarterly on the date (each a “</w:t>
      </w:r>
      <w:r>
        <w:rPr>
          <w:rFonts w:ascii="Arial" w:cs="Arial" w:eastAsia="Arial" w:hAnsi="Arial"/>
          <w:sz w:val="18"/>
          <w:szCs w:val="18"/>
          <w:u w:val="single" w:color="auto"/>
          <w:color w:val="auto"/>
        </w:rPr>
        <w:t>Calculation Date</w:t>
      </w:r>
      <w:r>
        <w:rPr>
          <w:rFonts w:ascii="Arial" w:cs="Arial" w:eastAsia="Arial" w:hAnsi="Arial"/>
          <w:sz w:val="18"/>
          <w:szCs w:val="18"/>
          <w:color w:val="auto"/>
        </w:rPr>
        <w:t xml:space="preserve">”) three Business Days after the earlier of the actual delivery date by which Parent provides, or the required delivery date by which Parent is required to provide, the consolidated financial information required by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and the Compliance Certificate required by </w:t>
      </w:r>
      <w:r>
        <w:rPr>
          <w:rFonts w:ascii="Arial" w:cs="Arial" w:eastAsia="Arial" w:hAnsi="Arial"/>
          <w:sz w:val="18"/>
          <w:szCs w:val="18"/>
          <w:u w:val="single" w:color="auto"/>
          <w:color w:val="auto"/>
        </w:rPr>
        <w:t>Section</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9"/>
          <w:szCs w:val="19"/>
          <w:u w:val="single" w:color="auto"/>
          <w:color w:val="auto"/>
        </w:rPr>
        <w:t>6.01(c)</w:t>
      </w:r>
      <w:r>
        <w:rPr>
          <w:rFonts w:ascii="Arial" w:cs="Arial" w:eastAsia="Arial" w:hAnsi="Arial"/>
          <w:sz w:val="19"/>
          <w:szCs w:val="19"/>
          <w:color w:val="auto"/>
        </w:rPr>
        <w:t xml:space="preserve"> for the fiscal quarter or year of Parent most recently ended prior to the Calculation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 any Term Loan, Revolving Loan or Swing Line Loan or (B) the Letter of Credit Fee, the Applicable Margin shall be deemed to be (i) (x) in Pricing Level </w:t>
      </w:r>
      <w:r>
        <w:rPr>
          <w:rFonts w:ascii="Arial" w:cs="Arial" w:eastAsia="Arial" w:hAnsi="Arial"/>
          <w:sz w:val="19"/>
          <w:szCs w:val="19"/>
          <w:color w:val="FF0000"/>
          <w:strike w:val="1"/>
        </w:rPr>
        <w:t>III</w:t>
      </w:r>
      <w:r>
        <w:rPr>
          <w:rFonts w:ascii="Arial" w:cs="Arial" w:eastAsia="Arial" w:hAnsi="Arial"/>
          <w:sz w:val="19"/>
          <w:szCs w:val="19"/>
          <w:u w:val="single" w:color="auto"/>
          <w:color w:val="0000FF"/>
        </w:rPr>
        <w:t>II</w:t>
      </w:r>
      <w:r>
        <w:rPr>
          <w:rFonts w:ascii="Arial" w:cs="Arial" w:eastAsia="Arial" w:hAnsi="Arial"/>
          <w:sz w:val="19"/>
          <w:szCs w:val="19"/>
          <w:color w:val="auto"/>
        </w:rPr>
        <w:t xml:space="preserve"> from the </w:t>
      </w:r>
      <w:r>
        <w:rPr>
          <w:rFonts w:ascii="Arial" w:cs="Arial" w:eastAsia="Arial" w:hAnsi="Arial"/>
          <w:sz w:val="19"/>
          <w:szCs w:val="19"/>
          <w:color w:val="FF0000"/>
          <w:strike w:val="1"/>
        </w:rPr>
        <w:t>Closing</w:t>
      </w:r>
      <w:r>
        <w:rPr>
          <w:rFonts w:ascii="Arial" w:cs="Arial" w:eastAsia="Arial" w:hAnsi="Arial"/>
          <w:sz w:val="19"/>
          <w:szCs w:val="19"/>
          <w:u w:val="single" w:color="auto"/>
          <w:color w:val="0000FF"/>
        </w:rPr>
        <w:t>Amendment No. 1 Effective</w:t>
      </w:r>
      <w:r>
        <w:rPr>
          <w:rFonts w:ascii="Arial" w:cs="Arial" w:eastAsia="Arial" w:hAnsi="Arial"/>
          <w:sz w:val="19"/>
          <w:szCs w:val="19"/>
          <w:color w:val="auto"/>
        </w:rPr>
        <w:t xml:space="preserve"> Date until the first Calculation Date occurring after </w:t>
      </w:r>
      <w:r>
        <w:rPr>
          <w:rFonts w:ascii="Arial" w:cs="Arial" w:eastAsia="Arial" w:hAnsi="Arial"/>
          <w:sz w:val="19"/>
          <w:szCs w:val="19"/>
          <w:color w:val="FF0000"/>
          <w:strike w:val="1"/>
        </w:rPr>
        <w:t>the first full fiscal quarter</w:t>
      </w:r>
      <w:r>
        <w:rPr>
          <w:rFonts w:ascii="Arial" w:cs="Arial" w:eastAsia="Arial" w:hAnsi="Arial"/>
          <w:sz w:val="19"/>
          <w:szCs w:val="19"/>
          <w:color w:val="auto"/>
        </w:rPr>
        <w:t xml:space="preserve"> </w:t>
      </w:r>
      <w:r>
        <w:rPr>
          <w:rFonts w:ascii="Arial" w:cs="Arial" w:eastAsia="Arial" w:hAnsi="Arial"/>
          <w:sz w:val="19"/>
          <w:szCs w:val="19"/>
          <w:color w:val="FF0000"/>
          <w:strike w:val="1"/>
        </w:rPr>
        <w:t>of Parent subsequent to the Closing Date</w:t>
      </w:r>
      <w:r>
        <w:rPr>
          <w:rFonts w:ascii="Arial" w:cs="Arial" w:eastAsia="Arial" w:hAnsi="Arial"/>
          <w:sz w:val="19"/>
          <w:szCs w:val="19"/>
          <w:u w:val="single" w:color="auto"/>
          <w:color w:val="0000FF"/>
        </w:rPr>
        <w:t>September 30, 2016</w:t>
      </w:r>
      <w:r>
        <w:rPr>
          <w:rFonts w:ascii="Arial" w:cs="Arial" w:eastAsia="Arial" w:hAnsi="Arial"/>
          <w:sz w:val="19"/>
          <w:szCs w:val="19"/>
          <w:color w:val="FF0000"/>
        </w:rPr>
        <w:t xml:space="preserve"> </w:t>
      </w:r>
      <w:r>
        <w:rPr>
          <w:rFonts w:ascii="Arial" w:cs="Arial" w:eastAsia="Arial" w:hAnsi="Arial"/>
          <w:sz w:val="19"/>
          <w:szCs w:val="19"/>
          <w:color w:val="000000"/>
        </w:rPr>
        <w:t>and (y) in Pricing Level I at any time during the existence of an Event of Default</w:t>
      </w:r>
      <w:r>
        <w:rPr>
          <w:rFonts w:ascii="Arial" w:cs="Arial" w:eastAsia="Arial" w:hAnsi="Arial"/>
          <w:sz w:val="19"/>
          <w:szCs w:val="19"/>
          <w:color w:val="FF0000"/>
        </w:rPr>
        <w:t xml:space="preserve"> </w:t>
      </w:r>
      <w:r>
        <w:rPr>
          <w:rFonts w:ascii="Arial" w:cs="Arial" w:eastAsia="Arial" w:hAnsi="Arial"/>
          <w:sz w:val="19"/>
          <w:szCs w:val="19"/>
          <w:color w:val="000000"/>
        </w:rPr>
        <w:t xml:space="preserve">under </w:t>
      </w:r>
      <w:r>
        <w:rPr>
          <w:rFonts w:ascii="Arial" w:cs="Arial" w:eastAsia="Arial" w:hAnsi="Arial"/>
          <w:sz w:val="19"/>
          <w:szCs w:val="19"/>
          <w:u w:val="single" w:color="auto"/>
          <w:color w:val="000000"/>
        </w:rPr>
        <w:t>Sections 8.01(a)</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w:t>
      </w:r>
      <w:r>
        <w:rPr>
          <w:rFonts w:ascii="Arial" w:cs="Arial" w:eastAsia="Arial" w:hAnsi="Arial"/>
          <w:sz w:val="19"/>
          <w:szCs w:val="19"/>
          <w:color w:val="000000"/>
        </w:rPr>
        <w:t xml:space="preserve"> or </w:t>
      </w:r>
      <w:r>
        <w:rPr>
          <w:rFonts w:ascii="Arial" w:cs="Arial" w:eastAsia="Arial" w:hAnsi="Arial"/>
          <w:sz w:val="19"/>
          <w:szCs w:val="19"/>
          <w:u w:val="single" w:color="auto"/>
          <w:color w:val="000000"/>
        </w:rPr>
        <w:t>(i)</w:t>
      </w:r>
      <w:r>
        <w:rPr>
          <w:rFonts w:ascii="Arial" w:cs="Arial" w:eastAsia="Arial" w:hAnsi="Arial"/>
          <w:sz w:val="19"/>
          <w:szCs w:val="19"/>
          <w:color w:val="000000"/>
        </w:rPr>
        <w:t xml:space="preserve"> and (ii) if Parent fails to provide the consolidated financial information required by </w:t>
      </w:r>
      <w:r>
        <w:rPr>
          <w:rFonts w:ascii="Arial" w:cs="Arial" w:eastAsia="Arial" w:hAnsi="Arial"/>
          <w:sz w:val="19"/>
          <w:szCs w:val="19"/>
          <w:u w:val="single" w:color="auto"/>
          <w:color w:val="000000"/>
        </w:rPr>
        <w:t>Section 6.01(a)</w:t>
      </w:r>
      <w:r>
        <w:rPr>
          <w:rFonts w:ascii="Arial" w:cs="Arial" w:eastAsia="Arial" w:hAnsi="Arial"/>
          <w:sz w:val="19"/>
          <w:szCs w:val="19"/>
          <w:color w:val="000000"/>
        </w:rPr>
        <w:t xml:space="preserve"> or </w:t>
      </w:r>
      <w:r>
        <w:rPr>
          <w:rFonts w:ascii="Arial" w:cs="Arial" w:eastAsia="Arial" w:hAnsi="Arial"/>
          <w:sz w:val="19"/>
          <w:szCs w:val="19"/>
          <w:u w:val="single" w:color="auto"/>
          <w:color w:val="000000"/>
        </w:rPr>
        <w:t>(b)</w:t>
      </w:r>
      <w:r>
        <w:rPr>
          <w:rFonts w:ascii="Arial" w:cs="Arial" w:eastAsia="Arial" w:hAnsi="Arial"/>
          <w:sz w:val="19"/>
          <w:szCs w:val="19"/>
          <w:color w:val="000000"/>
        </w:rPr>
        <w:t xml:space="preserve">, as applicable, or the Compliance Certificate required by </w:t>
      </w:r>
      <w:r>
        <w:rPr>
          <w:rFonts w:ascii="Arial" w:cs="Arial" w:eastAsia="Arial" w:hAnsi="Arial"/>
          <w:sz w:val="19"/>
          <w:szCs w:val="19"/>
          <w:u w:val="single" w:color="auto"/>
          <w:color w:val="000000"/>
        </w:rPr>
        <w:t>Section 6.01(c)</w:t>
      </w:r>
      <w:r>
        <w:rPr>
          <w:rFonts w:ascii="Arial" w:cs="Arial" w:eastAsia="Arial" w:hAnsi="Arial"/>
          <w:sz w:val="19"/>
          <w:szCs w:val="19"/>
          <w:color w:val="000000"/>
        </w:rPr>
        <w:t xml:space="preserve"> for the most recently ended fiscal quarter or year of Parent preceding any applicable Calculation Date, each Applicable Margin from such Calculation Date shall be based on Pricing Level I until such time as such consolidated financial information and an appropriate Officer’s Certificate is provided.</w:t>
      </w:r>
    </w:p>
    <w:p>
      <w:pPr>
        <w:spacing w:after="0" w:line="187" w:lineRule="exact"/>
        <w:rPr>
          <w:sz w:val="20"/>
          <w:szCs w:val="20"/>
          <w:color w:val="auto"/>
        </w:rPr>
      </w:pPr>
    </w:p>
    <w:p>
      <w:pPr>
        <w:ind w:firstLine="1297"/>
        <w:spacing w:after="0" w:line="272" w:lineRule="auto"/>
        <w:rPr>
          <w:sz w:val="20"/>
          <w:szCs w:val="20"/>
          <w:color w:val="auto"/>
        </w:rPr>
      </w:pPr>
      <w:r>
        <w:rPr>
          <w:rFonts w:ascii="Arial" w:cs="Arial" w:eastAsia="Arial" w:hAnsi="Arial"/>
          <w:sz w:val="18"/>
          <w:szCs w:val="18"/>
          <w:color w:val="auto"/>
        </w:rPr>
        <w:t xml:space="preserve">In the event that the Administrative Agent and Parent determine in good faith that any financial statement or Compliance Certificate delivered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is inaccurate (regardless of whether this Agreement or the Revolving Commitments are in effect when such inaccuracy is discovered), and such inaccuracy, if corrected would have led to a higher Applicable Margin for any period (an “</w:t>
      </w:r>
      <w:r>
        <w:rPr>
          <w:rFonts w:ascii="Arial" w:cs="Arial" w:eastAsia="Arial" w:hAnsi="Arial"/>
          <w:sz w:val="18"/>
          <w:szCs w:val="18"/>
          <w:u w:val="single" w:color="auto"/>
          <w:color w:val="auto"/>
        </w:rPr>
        <w:t>Applicable Period</w:t>
      </w:r>
      <w:r>
        <w:rPr>
          <w:rFonts w:ascii="Arial" w:cs="Arial" w:eastAsia="Arial" w:hAnsi="Arial"/>
          <w:sz w:val="18"/>
          <w:szCs w:val="18"/>
          <w:color w:val="auto"/>
        </w:rPr>
        <w:t>”) than the Applicable Margin applied for such Applicable Period, then (i) Parent shall immediately deliver to the Administrative Agent a correct Compliance Certificate for such Applicable Period, (ii) the Applicable Margin shall be determined by reference to the corrected Compliance Certificate (but in no event shall the Lenders owe any amounts to the Borrowers), and (iii) the applicable Borrower shall within three Business Days of demand therefor by the Administrative Agent pay to the Administrative Agent the additional interest owing as a result of such increased Applicable Margin for such Applicable Period, which payment shall be promptly applied by the Administrative Agent in accordance with the terms hereof. This paragraph shall not limit the rights of the Administrative Agent and the Lenders hereunder.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00" w:name="page201"/>
    <w:bookmarkEnd w:id="200"/>
    <w:p>
      <w:pPr>
        <w:ind w:right="60"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with respect to any Lender at any time, the percentage of the Aggregate Commitments represented by the aggregate of such Lender’s Revolving Commitment Percentage and its Term Commitment Percentage at such time, in each case subject to adjustment as provided in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Commitments of each Lender to make Loans and the obligation of the L/C Issuer to make L/C Credit Extensions have been terminated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of each Class and for all Classes is set forth opposite the name of such Lender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under the caption “Commitments” of the applicable Class or under the caption “Aggregate Commitment Percentage,” as applicable, or in the Assignment and Assumption pursuant to which such Lender becomes a party hereto, as applicable.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Prepayment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2.09(f)</w:t>
      </w:r>
      <w:r>
        <w:rPr>
          <w:rFonts w:ascii="Arial" w:cs="Arial" w:eastAsia="Arial" w:hAnsi="Arial"/>
          <w:sz w:val="20"/>
          <w:szCs w:val="20"/>
          <w:color w:val="auto"/>
        </w:rPr>
        <w:t>.</w:t>
      </w:r>
    </w:p>
    <w:p>
      <w:pPr>
        <w:spacing w:after="0" w:line="216" w:lineRule="exact"/>
        <w:rPr>
          <w:sz w:val="20"/>
          <w:szCs w:val="20"/>
          <w:color w:val="auto"/>
        </w:rPr>
      </w:pPr>
    </w:p>
    <w:p>
      <w:pPr>
        <w:ind w:firstLine="1297"/>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Affiliate</w:t>
      </w:r>
      <w:r>
        <w:rPr>
          <w:rFonts w:ascii="Arial" w:cs="Arial" w:eastAsia="Arial" w:hAnsi="Arial"/>
          <w:sz w:val="18"/>
          <w:szCs w:val="18"/>
          <w:color w:val="auto"/>
        </w:rPr>
        <w:t>” means any Person that is, at the time of determination, exempt from any U.S. federal withholding tax imposed under Section 871, 881, 1441 or 1442 of the Code on U.S. source interest payments, including (A) any United States Person, (B) any Person or foreign branch of such Person, in each case entitled to claim benefits under a tax treaty that eliminates U.S. federal withholding Tax on U.S. source interest payments, (C) a Person entitled to claim exemption from U.S. federal withholding Taxes for income that is effectively connected with a U.S. trade or business, (D) a Person entitled to claim the exemption from U.S. federal withholding tax on U.S. source interest payments pursuant to the portfolio interest exemption under Section 881(c) of the Code, or (E) a Person entitled to claim an exemption from U.S. federal withholding tax on U.S. source interest payments due to its owners satisfying clause (A), (B), (C), or (D) above.</w:t>
      </w:r>
    </w:p>
    <w:p>
      <w:pPr>
        <w:spacing w:after="0" w:line="169" w:lineRule="exact"/>
        <w:rPr>
          <w:sz w:val="20"/>
          <w:szCs w:val="20"/>
          <w:color w:val="auto"/>
        </w:rPr>
      </w:pPr>
    </w:p>
    <w:p>
      <w:pPr>
        <w:ind w:right="4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(i) a Lender, (ii) an Affiliate of a Lender or (iii) an entity or an Affiliate of an entity that administers or manages a Lender.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“Arrivo” means Arrivo Bioventures LLC.</w:t>
      </w:r>
    </w:p>
    <w:p>
      <w:pPr>
        <w:spacing w:after="0" w:line="216" w:lineRule="exact"/>
        <w:rPr>
          <w:sz w:val="20"/>
          <w:szCs w:val="20"/>
          <w:color w:val="auto"/>
        </w:rPr>
      </w:pPr>
    </w:p>
    <w:p>
      <w:pPr>
        <w:ind w:right="120" w:firstLine="1297"/>
        <w:spacing w:after="0" w:line="260" w:lineRule="auto"/>
        <w:rPr>
          <w:sz w:val="20"/>
          <w:szCs w:val="20"/>
          <w:color w:val="auto"/>
        </w:rPr>
      </w:pPr>
      <w:r>
        <w:rPr>
          <w:rFonts w:ascii="Arial" w:cs="Arial" w:eastAsia="Arial" w:hAnsi="Arial"/>
          <w:sz w:val="20"/>
          <w:szCs w:val="20"/>
          <w:u w:val="single" w:color="auto"/>
          <w:color w:val="0000FF"/>
        </w:rPr>
        <w:t>“Arrivo Agreement” means that certain Subscription Agreement, dated May 10, 2016, by and among Jazz Financing Lux S.à r.l. and Arrivo, relating to a venture to develop a portfolio of early stage assets similar to JZP-110.</w:t>
      </w:r>
    </w:p>
    <w:p>
      <w:pPr>
        <w:spacing w:after="0" w:line="177" w:lineRule="exact"/>
        <w:rPr>
          <w:sz w:val="20"/>
          <w:szCs w:val="20"/>
          <w:color w:val="auto"/>
        </w:rPr>
      </w:pPr>
    </w:p>
    <w:p>
      <w:pPr>
        <w:ind w:right="2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 Disposition</w:t>
      </w:r>
      <w:r>
        <w:rPr>
          <w:rFonts w:ascii="Arial" w:cs="Arial" w:eastAsia="Arial" w:hAnsi="Arial"/>
          <w:sz w:val="20"/>
          <w:szCs w:val="20"/>
          <w:color w:val="auto"/>
        </w:rPr>
        <w:t>” means any Disposition (or series of related Dispositions) of any assets (other than Unrestricted Margin Stock) by Parent or any of its Restricted Subsidiaries in respect of which either the fair market value of such property or the Disposition Consideration payable to the Parent or any of its Restricted Subsidiaries exceeds $1,000,000, excluding any Disposition by way of Casualty or Condemnation.</w:t>
      </w:r>
    </w:p>
    <w:p>
      <w:pPr>
        <w:spacing w:after="0" w:line="192" w:lineRule="exact"/>
        <w:rPr>
          <w:sz w:val="20"/>
          <w:szCs w:val="20"/>
          <w:color w:val="auto"/>
        </w:rPr>
      </w:pPr>
    </w:p>
    <w:p>
      <w:pPr>
        <w:ind w:right="2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 Group</w:t>
      </w:r>
      <w:r>
        <w:rPr>
          <w:rFonts w:ascii="Arial" w:cs="Arial" w:eastAsia="Arial" w:hAnsi="Arial"/>
          <w:sz w:val="20"/>
          <w:szCs w:val="20"/>
          <w:color w:val="auto"/>
        </w:rPr>
        <w:t>” means two or more Eligible Assignees that are Affiliates of one another or two or more Approved Funds managed by the same investment advisor or by Affiliated investment advisors.</w:t>
      </w:r>
    </w:p>
    <w:p>
      <w:pPr>
        <w:spacing w:after="0" w:line="177" w:lineRule="exact"/>
        <w:rPr>
          <w:sz w:val="20"/>
          <w:szCs w:val="20"/>
          <w:color w:val="auto"/>
        </w:rPr>
      </w:pPr>
    </w:p>
    <w:p>
      <w:pPr>
        <w:ind w:right="60"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means an assignment and assumption entered into by a Lender and an Eligible Assignee (with the consent of any party whose consent is required by </w:t>
      </w:r>
      <w:r>
        <w:rPr>
          <w:rFonts w:ascii="Arial" w:cs="Arial" w:eastAsia="Arial" w:hAnsi="Arial"/>
          <w:sz w:val="19"/>
          <w:szCs w:val="19"/>
          <w:u w:val="single" w:color="auto"/>
          <w:color w:val="auto"/>
        </w:rPr>
        <w:t>Section 10.06(b)</w:t>
      </w:r>
      <w:r>
        <w:rPr>
          <w:rFonts w:ascii="Arial" w:cs="Arial" w:eastAsia="Arial" w:hAnsi="Arial"/>
          <w:sz w:val="19"/>
          <w:szCs w:val="19"/>
          <w:color w:val="auto"/>
        </w:rPr>
        <w:t xml:space="preserve"> and/or the definition of “Eligible Assignee”), and accepted by the Administrative Agent,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or any other form (including electronic documentation generated by use of an electronic platform) approved by the Administrative Agent and the Lead Borrower.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366" w:right="339" w:bottom="1440" w:gutter="0" w:footer="0" w:header="0"/>
        </w:sectPr>
      </w:pPr>
    </w:p>
    <w:bookmarkStart w:id="201" w:name="page202"/>
    <w:bookmarkEnd w:id="201"/>
    <w:p>
      <w:pPr>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Auction Agent</w:t>
      </w:r>
      <w:r>
        <w:rPr>
          <w:rFonts w:ascii="Arial" w:cs="Arial" w:eastAsia="Arial" w:hAnsi="Arial"/>
          <w:sz w:val="20"/>
          <w:szCs w:val="20"/>
          <w:color w:val="auto"/>
        </w:rPr>
        <w:t xml:space="preserve">” means (a) the Administrative Agent or (b) any other financial institution or advisor employed by Parent or any of its Subsidiaries (whether or not an Affiliate of the Administrative Agent) to act as an arranger in connection with a Discounted Term Loan Prepayment pursuant to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neither Parent nor any of its Subsidiaries shall designate the Administrative Agent as the Auction Agent without the written consent of the Administrative Agent (it being understood that the Administrative Agent shall be under no obligation to agree to act as the Auction Agent).</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Auto-Extension Letter of Credit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2.05(c)(iii)</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Amount</w:t>
      </w:r>
      <w:r>
        <w:rPr>
          <w:rFonts w:ascii="Arial" w:cs="Arial" w:eastAsia="Arial" w:hAnsi="Arial"/>
          <w:sz w:val="20"/>
          <w:szCs w:val="20"/>
          <w:color w:val="auto"/>
        </w:rPr>
        <w:t>” means, at any date, an amount equal to:</w:t>
      </w:r>
    </w:p>
    <w:p>
      <w:pPr>
        <w:spacing w:after="0" w:line="229" w:lineRule="exact"/>
        <w:rPr>
          <w:sz w:val="20"/>
          <w:szCs w:val="20"/>
          <w:color w:val="auto"/>
        </w:rPr>
      </w:pPr>
    </w:p>
    <w:p>
      <w:pPr>
        <w:ind w:left="2180" w:hanging="875"/>
        <w:spacing w:after="0"/>
        <w:tabs>
          <w:tab w:leader="none" w:pos="218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the sum of (without duplication):</w:t>
      </w:r>
    </w:p>
    <w:p>
      <w:pPr>
        <w:spacing w:after="0" w:line="202" w:lineRule="exact"/>
        <w:rPr>
          <w:rFonts w:ascii="Arial" w:cs="Arial" w:eastAsia="Arial" w:hAnsi="Arial"/>
          <w:sz w:val="20"/>
          <w:szCs w:val="20"/>
          <w:color w:val="auto"/>
        </w:rPr>
      </w:pPr>
    </w:p>
    <w:p>
      <w:pPr>
        <w:ind w:left="2780" w:hanging="827"/>
        <w:spacing w:after="0"/>
        <w:tabs>
          <w:tab w:leader="none" w:pos="278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$385,000,000;</w:t>
      </w:r>
    </w:p>
    <w:p>
      <w:pPr>
        <w:spacing w:after="0" w:line="202" w:lineRule="exact"/>
        <w:rPr>
          <w:rFonts w:ascii="Arial" w:cs="Arial" w:eastAsia="Arial" w:hAnsi="Arial"/>
          <w:sz w:val="20"/>
          <w:szCs w:val="20"/>
          <w:color w:val="auto"/>
        </w:rPr>
      </w:pPr>
    </w:p>
    <w:p>
      <w:pPr>
        <w:ind w:left="1300" w:right="340" w:firstLine="653"/>
        <w:spacing w:after="0" w:line="289" w:lineRule="auto"/>
        <w:tabs>
          <w:tab w:leader="none" w:pos="2838"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the Net Cash Proceeds received after the Closing Date and on or prior to such date from any issuance of Qualified Capital Stock by Parent;</w:t>
      </w:r>
    </w:p>
    <w:p>
      <w:pPr>
        <w:spacing w:after="0" w:line="134" w:lineRule="exact"/>
        <w:rPr>
          <w:rFonts w:ascii="Arial" w:cs="Arial" w:eastAsia="Arial" w:hAnsi="Arial"/>
          <w:sz w:val="20"/>
          <w:szCs w:val="20"/>
          <w:color w:val="auto"/>
        </w:rPr>
      </w:pPr>
    </w:p>
    <w:p>
      <w:pPr>
        <w:jc w:val="both"/>
        <w:ind w:left="1300" w:right="640" w:firstLine="653"/>
        <w:spacing w:after="0" w:line="278" w:lineRule="auto"/>
        <w:tabs>
          <w:tab w:leader="none" w:pos="2893"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the Net Cash Proceeds received after the Closing Date and on or prior to such date by Parent or any Restricted Subsidiary from the issuance of convertible or exchangeable debt securities that have been converted into or exchanged for Qualified Capital Stock of Parent; and</w:t>
      </w:r>
    </w:p>
    <w:p>
      <w:pPr>
        <w:spacing w:after="0" w:line="146" w:lineRule="exact"/>
        <w:rPr>
          <w:rFonts w:ascii="Arial" w:cs="Arial" w:eastAsia="Arial" w:hAnsi="Arial"/>
          <w:sz w:val="20"/>
          <w:szCs w:val="20"/>
          <w:color w:val="auto"/>
        </w:rPr>
      </w:pPr>
    </w:p>
    <w:p>
      <w:pPr>
        <w:ind w:left="2880" w:hanging="927"/>
        <w:spacing w:after="0"/>
        <w:tabs>
          <w:tab w:leader="none" w:pos="288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 xml:space="preserve">Cumulative Excess Cash Flow as of such date; </w:t>
      </w:r>
      <w:r>
        <w:rPr>
          <w:rFonts w:ascii="Arial" w:cs="Arial" w:eastAsia="Arial" w:hAnsi="Arial"/>
          <w:sz w:val="20"/>
          <w:szCs w:val="20"/>
          <w:u w:val="single" w:color="auto"/>
          <w:color w:val="auto"/>
        </w:rPr>
        <w:t>minus</w:t>
      </w:r>
    </w:p>
    <w:p>
      <w:pPr>
        <w:spacing w:after="0" w:line="202" w:lineRule="exact"/>
        <w:rPr>
          <w:rFonts w:ascii="Arial" w:cs="Arial" w:eastAsia="Arial" w:hAnsi="Arial"/>
          <w:sz w:val="20"/>
          <w:szCs w:val="20"/>
          <w:color w:val="auto"/>
        </w:rPr>
      </w:pPr>
    </w:p>
    <w:p>
      <w:pPr>
        <w:ind w:left="2180" w:hanging="875"/>
        <w:spacing w:after="0"/>
        <w:tabs>
          <w:tab w:leader="none" w:pos="218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the amount of any usage of such Available Amount pursuant to </w:t>
      </w:r>
      <w:r>
        <w:rPr>
          <w:rFonts w:ascii="Arial" w:cs="Arial" w:eastAsia="Arial" w:hAnsi="Arial"/>
          <w:sz w:val="19"/>
          <w:szCs w:val="19"/>
          <w:u w:val="single" w:color="auto"/>
          <w:color w:val="auto"/>
        </w:rPr>
        <w:t>Section 7.04(w)</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7.06(i)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7.08(b)</w:t>
      </w:r>
      <w:r>
        <w:rPr>
          <w:rFonts w:ascii="Arial" w:cs="Arial" w:eastAsia="Arial" w:hAnsi="Arial"/>
          <w:sz w:val="20"/>
          <w:szCs w:val="20"/>
          <w:color w:val="auto"/>
        </w:rPr>
        <w:t>, in each case prior to such date.</w:t>
      </w:r>
    </w:p>
    <w:p>
      <w:pPr>
        <w:spacing w:after="0" w:line="189" w:lineRule="exact"/>
        <w:rPr>
          <w:sz w:val="20"/>
          <w:szCs w:val="20"/>
          <w:color w:val="auto"/>
        </w:rPr>
      </w:pPr>
    </w:p>
    <w:p>
      <w:pPr>
        <w:ind w:right="20" w:firstLine="129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Amount Conditions</w:t>
      </w:r>
      <w:r>
        <w:rPr>
          <w:rFonts w:ascii="Arial" w:cs="Arial" w:eastAsia="Arial" w:hAnsi="Arial"/>
          <w:sz w:val="19"/>
          <w:szCs w:val="19"/>
          <w:color w:val="auto"/>
        </w:rPr>
        <w:t xml:space="preserve">” means, prior to and after giving effect to any usage of the Available Amount, (a) no Default or Event of Default shall have occurred and be continuing and (b) Parent shall be in compliance with the covenants set forth in </w:t>
      </w:r>
      <w:r>
        <w:rPr>
          <w:rFonts w:ascii="Arial" w:cs="Arial" w:eastAsia="Arial" w:hAnsi="Arial"/>
          <w:sz w:val="19"/>
          <w:szCs w:val="19"/>
          <w:u w:val="single" w:color="auto"/>
          <w:color w:val="auto"/>
        </w:rPr>
        <w:t>Section 7.10</w:t>
      </w:r>
      <w:r>
        <w:rPr>
          <w:rFonts w:ascii="Arial" w:cs="Arial" w:eastAsia="Arial" w:hAnsi="Arial"/>
          <w:sz w:val="19"/>
          <w:szCs w:val="19"/>
          <w:color w:val="auto"/>
        </w:rPr>
        <w:t xml:space="preserve"> on a pro forma basis in accordance with </w:t>
      </w:r>
      <w:r>
        <w:rPr>
          <w:rFonts w:ascii="Arial" w:cs="Arial" w:eastAsia="Arial" w:hAnsi="Arial"/>
          <w:sz w:val="19"/>
          <w:szCs w:val="19"/>
          <w:u w:val="single" w:color="auto"/>
          <w:color w:val="auto"/>
        </w:rPr>
        <w:t>Section 1.03(c)</w:t>
      </w:r>
      <w:r>
        <w:rPr>
          <w:rFonts w:ascii="Arial" w:cs="Arial" w:eastAsia="Arial" w:hAnsi="Arial"/>
          <w:sz w:val="19"/>
          <w:szCs w:val="19"/>
          <w:color w:val="auto"/>
        </w:rPr>
        <w:t xml:space="preserve"> (and, if applicable, </w:t>
      </w:r>
      <w:r>
        <w:rPr>
          <w:rFonts w:ascii="Arial" w:cs="Arial" w:eastAsia="Arial" w:hAnsi="Arial"/>
          <w:sz w:val="19"/>
          <w:szCs w:val="19"/>
          <w:u w:val="single" w:color="auto"/>
          <w:color w:val="auto"/>
        </w:rPr>
        <w:t>Section 1.03(e)</w:t>
      </w:r>
      <w:r>
        <w:rPr>
          <w:rFonts w:ascii="Arial" w:cs="Arial" w:eastAsia="Arial" w:hAnsi="Arial"/>
          <w:sz w:val="19"/>
          <w:szCs w:val="19"/>
          <w:color w:val="auto"/>
        </w:rPr>
        <w:t xml:space="preserve">) and (c) solely with respect to Restricted Payments made pursuant to </w:t>
      </w:r>
      <w:r>
        <w:rPr>
          <w:rFonts w:ascii="Arial" w:cs="Arial" w:eastAsia="Arial" w:hAnsi="Arial"/>
          <w:sz w:val="19"/>
          <w:szCs w:val="19"/>
          <w:u w:val="single" w:color="auto"/>
          <w:color w:val="auto"/>
        </w:rPr>
        <w:t>Section 7.06(i)</w:t>
      </w:r>
      <w:r>
        <w:rPr>
          <w:rFonts w:ascii="Arial" w:cs="Arial" w:eastAsia="Arial" w:hAnsi="Arial"/>
          <w:sz w:val="19"/>
          <w:szCs w:val="19"/>
          <w:color w:val="auto"/>
        </w:rPr>
        <w:t xml:space="preserve">, the Secured Leverage Ratio, as of the end of the most recently completed Test Period, shall be less than or equal to 2.50 to 1.0 on a pro forma basis in accordance with </w:t>
      </w:r>
      <w:r>
        <w:rPr>
          <w:rFonts w:ascii="Arial" w:cs="Arial" w:eastAsia="Arial" w:hAnsi="Arial"/>
          <w:sz w:val="19"/>
          <w:szCs w:val="19"/>
          <w:u w:val="single" w:color="auto"/>
          <w:color w:val="auto"/>
        </w:rPr>
        <w:t>Section 1.03(c)</w:t>
      </w:r>
      <w:r>
        <w:rPr>
          <w:rFonts w:ascii="Arial" w:cs="Arial" w:eastAsia="Arial" w:hAnsi="Arial"/>
          <w:sz w:val="19"/>
          <w:szCs w:val="19"/>
          <w:color w:val="auto"/>
        </w:rPr>
        <w:t>.</w:t>
      </w:r>
    </w:p>
    <w:p>
      <w:pPr>
        <w:spacing w:after="0" w:line="181" w:lineRule="exact"/>
        <w:rPr>
          <w:sz w:val="20"/>
          <w:szCs w:val="20"/>
          <w:color w:val="auto"/>
        </w:rPr>
      </w:pPr>
    </w:p>
    <w:p>
      <w:pPr>
        <w:ind w:right="160" w:firstLine="1297"/>
        <w:spacing w:after="0" w:line="260" w:lineRule="auto"/>
        <w:rPr>
          <w:sz w:val="20"/>
          <w:szCs w:val="20"/>
          <w:color w:val="auto"/>
        </w:rPr>
      </w:pPr>
      <w:r>
        <w:rPr>
          <w:rFonts w:ascii="Arial" w:cs="Arial" w:eastAsia="Arial" w:hAnsi="Arial"/>
          <w:sz w:val="20"/>
          <w:szCs w:val="20"/>
          <w:u w:val="single" w:color="auto"/>
          <w:color w:val="0000FF"/>
        </w:rPr>
        <w:t>“Bail-In Action” means the exercise of any Write-Down and Conversion Powers by the applicable EEA Resolution Authority in respect of any liability of an EEA Financial Institution.</w:t>
      </w:r>
    </w:p>
    <w:p>
      <w:pPr>
        <w:spacing w:after="0" w:line="177" w:lineRule="exact"/>
        <w:rPr>
          <w:sz w:val="20"/>
          <w:szCs w:val="20"/>
          <w:color w:val="auto"/>
        </w:rPr>
      </w:pPr>
    </w:p>
    <w:p>
      <w:pPr>
        <w:jc w:val="both"/>
        <w:ind w:right="200" w:firstLine="1297"/>
        <w:spacing w:after="0" w:line="250" w:lineRule="auto"/>
        <w:rPr>
          <w:sz w:val="20"/>
          <w:szCs w:val="20"/>
          <w:color w:val="auto"/>
        </w:rPr>
      </w:pPr>
      <w:r>
        <w:rPr>
          <w:rFonts w:ascii="Arial" w:cs="Arial" w:eastAsia="Arial" w:hAnsi="Arial"/>
          <w:sz w:val="20"/>
          <w:szCs w:val="20"/>
          <w:u w:val="single" w:color="auto"/>
          <w:color w:val="0000FF"/>
        </w:rPr>
        <w:t>“Bail-In Legislation”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Code</w:t>
      </w:r>
      <w:r>
        <w:rPr>
          <w:rFonts w:ascii="Arial" w:cs="Arial" w:eastAsia="Arial" w:hAnsi="Arial"/>
          <w:sz w:val="19"/>
          <w:szCs w:val="19"/>
          <w:color w:val="auto"/>
        </w:rPr>
        <w:t>” means Title 11 of the United States Code, as now and hereafter in effect, or any successor statute.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02" w:name="page203"/>
    <w:bookmarkEnd w:id="202"/>
    <w:p>
      <w:pPr>
        <w:ind w:right="860"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the Bankruptcy Code and all other liquidation, receivership, moratorium, conservatorship, assignment for the benefit of creditors, insolvency, examinership or similar federal, state or foreign law for the relief of debtors.</w:t>
      </w:r>
    </w:p>
    <w:p>
      <w:pPr>
        <w:spacing w:after="0" w:line="7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for any day, a fluctuating rate per annum equal to the highest of (a) the Federal Funds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1/2 of 1%</w:t>
      </w:r>
    </w:p>
    <w:p>
      <w:pPr>
        <w:spacing w:after="0" w:line="62" w:lineRule="exact"/>
        <w:rPr>
          <w:sz w:val="20"/>
          <w:szCs w:val="20"/>
          <w:color w:val="auto"/>
        </w:rPr>
      </w:pPr>
    </w:p>
    <w:p>
      <w:pPr>
        <w:ind w:right="80" w:firstLine="8"/>
        <w:spacing w:after="0"/>
        <w:tabs>
          <w:tab w:leader="none" w:pos="28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the rate of interest in effect for such day as publicly announced from time to time by Bank of America as its “prime rate”, and (c) the Eurodollar Rate plus 1.00%; and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rate announced by Bank of America shall take effect at the opening of business on the day specified in the public announcement of such change.</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that bears interest based on the Base Rate.</w:t>
      </w:r>
    </w:p>
    <w:p>
      <w:pPr>
        <w:spacing w:after="0" w:line="162" w:lineRule="exact"/>
        <w:rPr>
          <w:sz w:val="20"/>
          <w:szCs w:val="20"/>
          <w:color w:val="auto"/>
        </w:rPr>
      </w:pPr>
    </w:p>
    <w:p>
      <w:pPr>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Bermuda Share Charges</w:t>
      </w:r>
      <w:r>
        <w:rPr>
          <w:rFonts w:ascii="Arial" w:cs="Arial" w:eastAsia="Arial" w:hAnsi="Arial"/>
          <w:sz w:val="20"/>
          <w:szCs w:val="20"/>
          <w:color w:val="auto"/>
        </w:rPr>
        <w:t>” means charges granted by the Parent and Jazz Ireland of their equity interests in the relevant Foreign Subsidiaries in favor of the Collateral Agent for the benefit of the Finance Parties, which charges shall be in form and substance reasonably satisfactory to the Administrative Agent.</w:t>
      </w:r>
    </w:p>
    <w:p>
      <w:pPr>
        <w:spacing w:after="0" w:line="132" w:lineRule="exact"/>
        <w:rPr>
          <w:sz w:val="20"/>
          <w:szCs w:val="20"/>
          <w:color w:val="auto"/>
        </w:rPr>
      </w:pPr>
    </w:p>
    <w:p>
      <w:pPr>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 of Directors</w:t>
      </w:r>
      <w:r>
        <w:rPr>
          <w:rFonts w:ascii="Arial" w:cs="Arial" w:eastAsia="Arial" w:hAnsi="Arial"/>
          <w:sz w:val="20"/>
          <w:szCs w:val="20"/>
          <w:color w:val="auto"/>
        </w:rPr>
        <w:t>” means, with respect to any Person, (i) in the case of any corporation, the board of directors of such Person (or any committee or subcommittee thereof), (ii) in the case of any limited liability company, the board of managers (or any committee or subcommittee thereof) or managing member of such Person, (iii) in the case of any partnership, the board of directors of the general partner of such Person and (iv) in any other case, the functional equivalent of the foregoing.</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10.02(d)</w:t>
      </w:r>
      <w:r>
        <w:rPr>
          <w:rFonts w:ascii="Arial" w:cs="Arial" w:eastAsia="Arial" w:hAnsi="Arial"/>
          <w:sz w:val="20"/>
          <w:szCs w:val="20"/>
          <w:color w:val="auto"/>
        </w:rPr>
        <w:t>.</w:t>
      </w:r>
    </w:p>
    <w:p>
      <w:pPr>
        <w:spacing w:after="0" w:line="162" w:lineRule="exact"/>
        <w:rPr>
          <w:sz w:val="20"/>
          <w:szCs w:val="20"/>
          <w:color w:val="auto"/>
        </w:rPr>
      </w:pPr>
    </w:p>
    <w:p>
      <w:pPr>
        <w:ind w:right="2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Borrowers</w:t>
      </w:r>
      <w:r>
        <w:rPr>
          <w:rFonts w:ascii="Arial" w:cs="Arial" w:eastAsia="Arial" w:hAnsi="Arial"/>
          <w:sz w:val="20"/>
          <w:szCs w:val="20"/>
          <w:color w:val="auto"/>
        </w:rPr>
        <w:t>” means the Lead Borrower, the U.S. Borrower and the Irish Borrowers collectively (unless the context otherwise requires that such term shall apply only to the Lead Borrower).</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1.07</w:t>
      </w:r>
      <w:r>
        <w:rPr>
          <w:rFonts w:ascii="Arial" w:cs="Arial" w:eastAsia="Arial" w:hAnsi="Arial"/>
          <w:sz w:val="20"/>
          <w:szCs w:val="20"/>
          <w:color w:val="auto"/>
        </w:rPr>
        <w:t>.</w:t>
      </w:r>
    </w:p>
    <w:p>
      <w:pPr>
        <w:spacing w:after="0" w:line="162" w:lineRule="exact"/>
        <w:rPr>
          <w:sz w:val="20"/>
          <w:szCs w:val="20"/>
          <w:color w:val="auto"/>
        </w:rPr>
      </w:pPr>
    </w:p>
    <w:p>
      <w:pPr>
        <w:ind w:right="60" w:firstLine="1297"/>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other than a Saturday, Sunday or other day on which commercial banks are authorized to close under the Laws of, or are in fact closed in, (x) the state where the Administrative Agent’s Office is located and (y) if such day relates to the payment of any obligation or the performance of any covenant, duty or obligation of any Irish Borrower, Ireland, except that (i) when used in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with respect to any action taken by or with respect to any L/C Issuer, the term “Business Day” shall not include any day on which commercial banks are authorized to close under the Laws of, or are in fact closed in, the jurisdiction where such L/C Issuer’s Lending Office is located and (ii) when used in connection with a Eurodollar Loan,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such day that is also a day on which dealings in Dollar deposits are conducted by and between banks in the London interbank market.</w:t>
      </w:r>
    </w:p>
    <w:p>
      <w:pPr>
        <w:spacing w:after="0" w:line="169" w:lineRule="exact"/>
        <w:rPr>
          <w:sz w:val="20"/>
          <w:szCs w:val="20"/>
          <w:color w:val="auto"/>
        </w:rPr>
      </w:pPr>
    </w:p>
    <w:p>
      <w:pPr>
        <w:ind w:right="200"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w:t>
      </w:r>
      <w:r>
        <w:rPr>
          <w:rFonts w:ascii="Arial" w:cs="Arial" w:eastAsia="Arial" w:hAnsi="Arial"/>
          <w:sz w:val="19"/>
          <w:szCs w:val="19"/>
          <w:color w:val="auto"/>
        </w:rPr>
        <w:t xml:space="preserve">” of any Person means any lease of (or other arrangement conveying the right to use) property (whether real, personal or mixed) by such Person as lessee which would, in accordance with GAAP, be required to be accounted for as a capital lease on the balance sheet of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lease or other arrangement that, under GAAP as in effect on the Closing Date, would not be required to be accounted for as a capital lease shall not constitute a “Capital Lease” hereunder.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03" w:name="page204"/>
    <w:bookmarkEnd w:id="203"/>
    <w:p>
      <w:pPr>
        <w:ind w:right="18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Obligations</w:t>
      </w:r>
      <w:r>
        <w:rPr>
          <w:rFonts w:ascii="Arial" w:cs="Arial" w:eastAsia="Arial" w:hAnsi="Arial"/>
          <w:sz w:val="16"/>
          <w:szCs w:val="16"/>
          <w:color w:val="auto"/>
        </w:rPr>
        <w:t>” means, with respect to any Person, all obligations of such Person as lessee under Capital Leases, which, as of any time of determination, shall be equal to the amount of liability under such Capital Leases required at such time to be capitalized and reflected as a liability on a balance sheet of such Person (excluding the footnotes thereto) prepared in accordance with GAAP.</w:t>
      </w:r>
    </w:p>
    <w:p>
      <w:pPr>
        <w:spacing w:after="0" w:line="118" w:lineRule="exact"/>
        <w:rPr>
          <w:sz w:val="20"/>
          <w:szCs w:val="20"/>
          <w:color w:val="auto"/>
        </w:rPr>
      </w:pPr>
    </w:p>
    <w:p>
      <w:pPr>
        <w:ind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w:t>
      </w:r>
      <w:r>
        <w:rPr>
          <w:rFonts w:ascii="Arial" w:cs="Arial" w:eastAsia="Arial" w:hAnsi="Arial"/>
          <w:sz w:val="19"/>
          <w:szCs w:val="19"/>
          <w:color w:val="auto"/>
        </w:rPr>
        <w:t>” means to pledge and deposit with or deliver to the Collateral Agent, for the benefit of the Administrative Agent, any L/C Issuer or any Swing Line Lender (as applicable) and the Lenders, as collateral for L/C Obligations, Senior Credit Obligations in respect of Swing Line Loans, or obligations of Lenders to fund participations in respect of either thereof (as the context may require), cash, deposit account balances or, if the applicable L/C Issuer or Swing Line Lender, as applicable, benefiting from such collateral shall agree in its sole discretion, other credit support (including a backup letter of credit), in each case pursuant to documentation (including as to stated amount in the case of a backup letter of credit which shall not be more than 103%) in form and substance reasonably satisfactory to (a) the Administrative Agent, (b) the Collateral Agent and (c) the applicable L/C Issuer or Swing Line Lender (as applicable) (which documents are hereby consented to by the Lenders). “</w:t>
      </w:r>
      <w:r>
        <w:rPr>
          <w:rFonts w:ascii="Arial" w:cs="Arial" w:eastAsia="Arial" w:hAnsi="Arial"/>
          <w:sz w:val="19"/>
          <w:szCs w:val="19"/>
          <w:u w:val="single" w:color="auto"/>
          <w:color w:val="auto"/>
        </w:rPr>
        <w:t>Cash Collateral</w:t>
      </w:r>
      <w:r>
        <w:rPr>
          <w:rFonts w:ascii="Arial" w:cs="Arial" w:eastAsia="Arial" w:hAnsi="Arial"/>
          <w:sz w:val="19"/>
          <w:szCs w:val="19"/>
          <w:color w:val="auto"/>
        </w:rPr>
        <w:t>” and “</w:t>
      </w:r>
      <w:r>
        <w:rPr>
          <w:rFonts w:ascii="Arial" w:cs="Arial" w:eastAsia="Arial" w:hAnsi="Arial"/>
          <w:sz w:val="19"/>
          <w:szCs w:val="19"/>
          <w:u w:val="single" w:color="auto"/>
          <w:color w:val="auto"/>
        </w:rPr>
        <w:t>Cash Collateralization</w:t>
      </w:r>
      <w:r>
        <w:rPr>
          <w:rFonts w:ascii="Arial" w:cs="Arial" w:eastAsia="Arial" w:hAnsi="Arial"/>
          <w:sz w:val="19"/>
          <w:szCs w:val="19"/>
          <w:color w:val="auto"/>
        </w:rPr>
        <w:t>” shall have meanings correlative to the foregoing and shall include the proceeds of such cash collateral and other credit support.</w:t>
      </w:r>
    </w:p>
    <w:p>
      <w:pPr>
        <w:spacing w:after="0" w:line="185" w:lineRule="exact"/>
        <w:rPr>
          <w:sz w:val="20"/>
          <w:szCs w:val="20"/>
          <w:color w:val="auto"/>
        </w:rPr>
      </w:pPr>
    </w:p>
    <w:p>
      <w:pPr>
        <w:ind w:right="24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Agreement</w:t>
      </w:r>
      <w:r>
        <w:rPr>
          <w:rFonts w:ascii="Arial" w:cs="Arial" w:eastAsia="Arial" w:hAnsi="Arial"/>
          <w:sz w:val="19"/>
          <w:szCs w:val="19"/>
          <w:color w:val="auto"/>
        </w:rPr>
        <w:t>” means any agreement to provide cash management services, including treasury, depository, overdraft, credit or debit card, purchasing cards, electronic funds transfer and other cash management arrangements.</w:t>
      </w:r>
    </w:p>
    <w:p>
      <w:pPr>
        <w:spacing w:after="0" w:line="153" w:lineRule="exact"/>
        <w:rPr>
          <w:sz w:val="20"/>
          <w:szCs w:val="20"/>
          <w:color w:val="auto"/>
        </w:rPr>
      </w:pPr>
    </w:p>
    <w:p>
      <w:pPr>
        <w:ind w:right="20"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Bank</w:t>
      </w:r>
      <w:r>
        <w:rPr>
          <w:rFonts w:ascii="Arial" w:cs="Arial" w:eastAsia="Arial" w:hAnsi="Arial"/>
          <w:sz w:val="20"/>
          <w:szCs w:val="20"/>
          <w:color w:val="auto"/>
        </w:rPr>
        <w:t>” means any Person that is a Lender, an Agent or an Affiliate of a Lender or an Agent (i) at the time it entered into a Cash Management Agreement with a Loan Party or (ii) that is designated as a “Cash Management Bank” (so long as, upon such designation, a Cash Management Agreement exists between such Person and a Loan Party), in each case, even if such Person for any reason ceases for any reason after the execution of such agreement or such designation to be a Lender, an Agent or an Affiliate of a Lender or an Agent.</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Obligations</w:t>
      </w:r>
      <w:r>
        <w:rPr>
          <w:rFonts w:ascii="Arial" w:cs="Arial" w:eastAsia="Arial" w:hAnsi="Arial"/>
          <w:sz w:val="20"/>
          <w:szCs w:val="20"/>
          <w:color w:val="auto"/>
        </w:rPr>
        <w:t>” means all obligations under any Secured Cash Management Agreements.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Casualty</w:t>
      </w:r>
      <w:r>
        <w:rPr>
          <w:rFonts w:ascii="Arial" w:cs="Arial" w:eastAsia="Arial" w:hAnsi="Arial"/>
          <w:sz w:val="19"/>
          <w:szCs w:val="19"/>
          <w:color w:val="auto"/>
        </w:rPr>
        <w:t>” means any casualty, damage, destruction or other similar loss with respect to real or personal property or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improvements.</w:t>
      </w:r>
    </w:p>
    <w:p>
      <w:pPr>
        <w:spacing w:after="0" w:line="200" w:lineRule="exact"/>
        <w:rPr>
          <w:sz w:val="20"/>
          <w:szCs w:val="20"/>
          <w:color w:val="auto"/>
        </w:rPr>
      </w:pPr>
    </w:p>
    <w:p>
      <w:pPr>
        <w:ind w:right="20"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Casualty Event</w:t>
      </w:r>
      <w:r>
        <w:rPr>
          <w:rFonts w:ascii="Arial" w:cs="Arial" w:eastAsia="Arial" w:hAnsi="Arial"/>
          <w:sz w:val="20"/>
          <w:szCs w:val="20"/>
          <w:color w:val="auto"/>
        </w:rPr>
        <w:t>” means any involuntary loss of title, any involuntary loss of, damage to or any destruction of, or any condemnation or other taking (including by any Governmental Authority) of, any property of Parent or any of its Subsidiaries. “Casualty Event” shall include but not be limited to any taking of all or any part of any real property of any person or any part thereof, in or by condemnation or other eminent domain proceedings pursuant to any requirement of Law, or by reason of the temporary requisition of the use or occupancy of all or any part of any real property of any person or any part thereof by any Governmental Authority, civil or military, or any settlement in lieu thereof.</w:t>
      </w:r>
    </w:p>
    <w:p>
      <w:pPr>
        <w:spacing w:after="0" w:line="196" w:lineRule="exact"/>
        <w:rPr>
          <w:sz w:val="20"/>
          <w:szCs w:val="20"/>
          <w:color w:val="auto"/>
        </w:rPr>
      </w:pPr>
    </w:p>
    <w:p>
      <w:pPr>
        <w:ind w:right="3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CBI Banking Authorisation</w:t>
      </w:r>
      <w:r>
        <w:rPr>
          <w:rFonts w:ascii="Arial" w:cs="Arial" w:eastAsia="Arial" w:hAnsi="Arial"/>
          <w:sz w:val="20"/>
          <w:szCs w:val="20"/>
          <w:color w:val="auto"/>
        </w:rPr>
        <w:t>” means an authorisation issued by the Central Bank of Ireland under section 9A of the Central Bank Act 1971 of Ireland.</w:t>
      </w:r>
    </w:p>
    <w:p>
      <w:pPr>
        <w:spacing w:after="0" w:line="177" w:lineRule="exact"/>
        <w:rPr>
          <w:sz w:val="20"/>
          <w:szCs w:val="20"/>
          <w:color w:val="auto"/>
        </w:rPr>
      </w:pPr>
    </w:p>
    <w:p>
      <w:pPr>
        <w:ind w:right="2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CEA Swap Obligation</w:t>
      </w:r>
      <w:r>
        <w:rPr>
          <w:rFonts w:ascii="Arial" w:cs="Arial" w:eastAsia="Arial" w:hAnsi="Arial"/>
          <w:sz w:val="19"/>
          <w:szCs w:val="19"/>
          <w:color w:val="auto"/>
        </w:rPr>
        <w:t>” means, with respect to any Guarantor, any obligation to pay or perform under any agreement, contract or transaction that constitutes a “swap” within the meaning of section 1a(47)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04" w:name="page205"/>
    <w:bookmarkEnd w:id="204"/>
    <w:p>
      <w:pPr>
        <w:ind w:left="1300"/>
        <w:spacing w:after="0"/>
        <w:rPr>
          <w:sz w:val="20"/>
          <w:szCs w:val="20"/>
          <w:color w:val="auto"/>
        </w:rPr>
      </w:pPr>
      <w:r>
        <w:rPr>
          <w:rFonts w:ascii="Arial" w:cs="Arial" w:eastAsia="Arial" w:hAnsi="Arial"/>
          <w:sz w:val="20"/>
          <w:szCs w:val="20"/>
          <w:u w:val="single" w:color="auto"/>
          <w:color w:val="0000FF"/>
        </w:rPr>
        <w:t>“Celator” means Celator Pharmaceuticals, Inc., a Delaware corporation.</w:t>
      </w:r>
    </w:p>
    <w:p>
      <w:pPr>
        <w:spacing w:after="0" w:line="216" w:lineRule="exact"/>
        <w:rPr>
          <w:sz w:val="20"/>
          <w:szCs w:val="20"/>
          <w:color w:val="auto"/>
        </w:rPr>
      </w:pPr>
    </w:p>
    <w:p>
      <w:pPr>
        <w:jc w:val="both"/>
        <w:ind w:right="160" w:firstLine="1297"/>
        <w:spacing w:after="0" w:line="250" w:lineRule="auto"/>
        <w:rPr>
          <w:sz w:val="20"/>
          <w:szCs w:val="20"/>
          <w:color w:val="auto"/>
        </w:rPr>
      </w:pPr>
      <w:r>
        <w:rPr>
          <w:rFonts w:ascii="Arial" w:cs="Arial" w:eastAsia="Arial" w:hAnsi="Arial"/>
          <w:sz w:val="20"/>
          <w:szCs w:val="20"/>
          <w:u w:val="single" w:color="auto"/>
          <w:color w:val="0000FF"/>
        </w:rPr>
        <w:t>“Celator Acquisition” means the acquisition of Celator pursuant to that certain Agreement and Plan of Merger dated May 27, 2016 among Parent, Plex Merger Sub, Inc., a Delaware corporation, and Celator, including the subsequent acquisition of any Equity Interests remaining after the tender offer contemplated thereby.</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Person that is a controlled foreign corporation under Section 957 of the Code.</w:t>
      </w:r>
    </w:p>
    <w:p>
      <w:pPr>
        <w:spacing w:after="0" w:line="216" w:lineRule="exact"/>
        <w:rPr>
          <w:sz w:val="20"/>
          <w:szCs w:val="20"/>
          <w:color w:val="auto"/>
        </w:rPr>
      </w:pPr>
    </w:p>
    <w:p>
      <w:pPr>
        <w:ind w:firstLine="1297"/>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Closing Date, of any of the following: (a) the adoption or taking effect of any applicable law, rule, regulation or treaty, (b) any change in any applicable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9" w:lineRule="exact"/>
        <w:rPr>
          <w:sz w:val="20"/>
          <w:szCs w:val="20"/>
          <w:color w:val="auto"/>
        </w:rPr>
      </w:pPr>
    </w:p>
    <w:p>
      <w:pPr>
        <w:ind w:right="40" w:firstLine="1297"/>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means (a) the acquisition of beneficial ownership (within the meaning of the Exchange Act and the rules of the SEC thereunder as in effect on the </w:t>
      </w:r>
      <w:r>
        <w:rPr>
          <w:rFonts w:ascii="Arial" w:cs="Arial" w:eastAsia="Arial" w:hAnsi="Arial"/>
          <w:sz w:val="19"/>
          <w:szCs w:val="19"/>
          <w:color w:val="FF0000"/>
          <w:strike w:val="1"/>
        </w:rPr>
        <w:t>date hereof</w:t>
      </w:r>
      <w:r>
        <w:rPr>
          <w:rFonts w:ascii="Arial" w:cs="Arial" w:eastAsia="Arial" w:hAnsi="Arial"/>
          <w:sz w:val="19"/>
          <w:szCs w:val="19"/>
          <w:u w:val="single" w:color="auto"/>
          <w:color w:val="0000FF"/>
        </w:rPr>
        <w:t>Closing Date</w:t>
      </w:r>
      <w:r>
        <w:rPr>
          <w:rFonts w:ascii="Arial" w:cs="Arial" w:eastAsia="Arial" w:hAnsi="Arial"/>
          <w:sz w:val="19"/>
          <w:szCs w:val="19"/>
          <w:color w:val="auto"/>
        </w:rPr>
        <w:t xml:space="preserve">) by any Person or group (within the meaning of the Exchange Act and the rules of the SEC thereunder) of Equity Interests representing more than 35% of the aggregate ordinary voting power represented by the issued and outstanding Equity Interests of Parent; (b) Parent ceases to own, directly or indirectly, 100% of the Equity Interests of any Borrower; or (c) the occurrence of a change of control, or other similar provision, as defined in any agreement or instrument evidencing any Material Indebtedness (triggering a default or mandatory prepayment, which default or mandatory prepayment has not been waived in writing) other than Indebtedness permitted under </w:t>
      </w:r>
      <w:r>
        <w:rPr>
          <w:rFonts w:ascii="Arial" w:cs="Arial" w:eastAsia="Arial" w:hAnsi="Arial"/>
          <w:sz w:val="19"/>
          <w:szCs w:val="19"/>
          <w:u w:val="single" w:color="auto"/>
          <w:color w:val="auto"/>
        </w:rPr>
        <w:t>Section 7.01(p)</w:t>
      </w:r>
      <w:r>
        <w:rPr>
          <w:rFonts w:ascii="Arial" w:cs="Arial" w:eastAsia="Arial" w:hAnsi="Arial"/>
          <w:sz w:val="19"/>
          <w:szCs w:val="19"/>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1.07</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June 18, 2015.</w:t>
      </w:r>
    </w:p>
    <w:p>
      <w:pPr>
        <w:spacing w:after="0" w:line="216" w:lineRule="exact"/>
        <w:rPr>
          <w:sz w:val="20"/>
          <w:szCs w:val="20"/>
          <w:color w:val="auto"/>
        </w:rPr>
      </w:pPr>
    </w:p>
    <w:p>
      <w:pPr>
        <w:ind w:right="20"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 Refinancing</w:t>
      </w:r>
      <w:r>
        <w:rPr>
          <w:rFonts w:ascii="Arial" w:cs="Arial" w:eastAsia="Arial" w:hAnsi="Arial"/>
          <w:sz w:val="19"/>
          <w:szCs w:val="19"/>
          <w:color w:val="auto"/>
        </w:rPr>
        <w:t>” means (i) the repayment or other satisfaction in full and the termination of any commitment to make extensions of credit under the Existing Credit Agreement and (ii) receipt by the Administrative Agent of reasonably satisfactory evidence of the discharge (or the making of arrangements for discharge) of all Liens with respect thereto.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from time to time.</w:t>
      </w:r>
    </w:p>
    <w:p>
      <w:pPr>
        <w:spacing w:after="0" w:line="216" w:lineRule="exact"/>
        <w:rPr>
          <w:sz w:val="20"/>
          <w:szCs w:val="20"/>
          <w:color w:val="auto"/>
        </w:rPr>
      </w:pPr>
    </w:p>
    <w:p>
      <w:pPr>
        <w:jc w:val="both"/>
        <w:ind w:right="50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Co-Documentation Agent</w:t>
      </w:r>
      <w:r>
        <w:rPr>
          <w:rFonts w:ascii="Arial" w:cs="Arial" w:eastAsia="Arial" w:hAnsi="Arial"/>
          <w:sz w:val="20"/>
          <w:szCs w:val="20"/>
          <w:color w:val="auto"/>
        </w:rPr>
        <w:t>” means each of Credit Suisse AG, Cayman Islands Branch, HSBC Bank plc, Morgan Stanley Senior Funding, Inc., MUFG Union Bank, N.A., Sumitomo Mitsui Banking Corporation, New York Branch and SunTrust Bank, in their respective capacities as co-documentation agent.</w:t>
      </w:r>
    </w:p>
    <w:p>
      <w:pPr>
        <w:spacing w:after="0" w:line="186" w:lineRule="exact"/>
        <w:rPr>
          <w:sz w:val="20"/>
          <w:szCs w:val="20"/>
          <w:color w:val="auto"/>
        </w:rPr>
      </w:pPr>
    </w:p>
    <w:p>
      <w:pPr>
        <w:ind w:right="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means all of the property, which includes Mortgaged Property and all other property of whatever kind and nature, which is subject or is purported to be subject to the Liens granted by any of the Collateral Documents.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6" w:right="279" w:bottom="1440" w:gutter="0" w:footer="0" w:header="0"/>
        </w:sectPr>
      </w:pPr>
    </w:p>
    <w:bookmarkStart w:id="205" w:name="page206"/>
    <w:bookmarkEnd w:id="205"/>
    <w:p>
      <w:pPr>
        <w:ind w:right="5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Agent</w:t>
      </w:r>
      <w:r>
        <w:rPr>
          <w:rFonts w:ascii="Arial" w:cs="Arial" w:eastAsia="Arial" w:hAnsi="Arial"/>
          <w:sz w:val="20"/>
          <w:szCs w:val="20"/>
          <w:color w:val="auto"/>
        </w:rPr>
        <w:t>” means Bank of America, in its capacity as collateral agent for the Finance Parties under the Collateral Documents, and its successor or successors in such capacity.</w:t>
      </w:r>
    </w:p>
    <w:p>
      <w:pPr>
        <w:spacing w:after="0" w:line="177" w:lineRule="exact"/>
        <w:rPr>
          <w:sz w:val="20"/>
          <w:szCs w:val="20"/>
          <w:color w:val="auto"/>
        </w:rPr>
      </w:pPr>
    </w:p>
    <w:p>
      <w:pPr>
        <w:ind w:right="18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Documents</w:t>
      </w:r>
      <w:r>
        <w:rPr>
          <w:rFonts w:ascii="Arial" w:cs="Arial" w:eastAsia="Arial" w:hAnsi="Arial"/>
          <w:sz w:val="20"/>
          <w:szCs w:val="20"/>
          <w:color w:val="auto"/>
        </w:rPr>
        <w:t>” means, collectively, the U.S. Security Agreement, the Mortgages, the Foreign Collateral Documents, any additional pledges, security agreements, patent, trademark or copyright filings or mortgages or deeds of trust required to be delivered pursuant to the Loan Documents and any instruments of assignment or other similar instruments or agreements executed pursuant to the foregoing.</w:t>
      </w:r>
    </w:p>
    <w:p>
      <w:pPr>
        <w:spacing w:after="0" w:line="192" w:lineRule="exact"/>
        <w:rPr>
          <w:sz w:val="20"/>
          <w:szCs w:val="20"/>
          <w:color w:val="auto"/>
        </w:rPr>
      </w:pPr>
    </w:p>
    <w:p>
      <w:pPr>
        <w:ind w:right="80"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xml:space="preserve">” means (i) with respect to each Lender, its Revolving Commitment, Term Commitment, Incremental Revolving Commitment, Incremental Term Loan Commitment, Other Revolving Commitment or Other Term Commitment, as and to the extent applicable, (ii) with respect to each L/C Issuer, its L/C Commitment and (iii) with respect to the Swing Line Lender, the Swing Line Commitment, in each case as set forth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or in the applicable Assignment and Assumption pursuant to which such Lender becomes a party hereto, as applicable, as its Commitment of the applicable Class, as any such amount may be adjusted from time to time in accordance with this Agreement.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2.11(a)</w:t>
      </w:r>
      <w:r>
        <w:rPr>
          <w:rFonts w:ascii="Arial" w:cs="Arial" w:eastAsia="Arial" w:hAnsi="Arial"/>
          <w:sz w:val="20"/>
          <w:szCs w:val="20"/>
          <w:color w:val="auto"/>
        </w:rPr>
        <w:t>.</w:t>
      </w:r>
    </w:p>
    <w:p>
      <w:pPr>
        <w:spacing w:after="0" w:line="216" w:lineRule="exact"/>
        <w:rPr>
          <w:sz w:val="20"/>
          <w:szCs w:val="20"/>
          <w:color w:val="auto"/>
        </w:rPr>
      </w:pPr>
    </w:p>
    <w:p>
      <w:pPr>
        <w:ind w:right="2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§1 et. seq.), as amended from time to time, and any successor statute.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10.02(d)</w:t>
      </w:r>
      <w:r>
        <w:rPr>
          <w:rFonts w:ascii="Arial" w:cs="Arial" w:eastAsia="Arial" w:hAnsi="Arial"/>
          <w:sz w:val="20"/>
          <w:szCs w:val="20"/>
          <w:color w:val="auto"/>
        </w:rPr>
        <w:t>.</w:t>
      </w:r>
    </w:p>
    <w:p>
      <w:pPr>
        <w:spacing w:after="0" w:line="216" w:lineRule="exact"/>
        <w:rPr>
          <w:sz w:val="20"/>
          <w:szCs w:val="20"/>
          <w:color w:val="auto"/>
        </w:rPr>
      </w:pPr>
    </w:p>
    <w:p>
      <w:pPr>
        <w:ind w:right="2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Competitor</w:t>
      </w:r>
      <w:r>
        <w:rPr>
          <w:rFonts w:ascii="Arial" w:cs="Arial" w:eastAsia="Arial" w:hAnsi="Arial"/>
          <w:sz w:val="20"/>
          <w:szCs w:val="20"/>
          <w:color w:val="auto"/>
        </w:rPr>
        <w:t>” means any Person designated in writing by the Lead Borrower to the Administrative Agent that competes with Parent and its Subsidiaries in a principal line of business of Parent and its Subsidiaries, considered as a whole.</w:t>
      </w:r>
    </w:p>
    <w:p>
      <w:pPr>
        <w:spacing w:after="0" w:line="177" w:lineRule="exact"/>
        <w:rPr>
          <w:sz w:val="20"/>
          <w:szCs w:val="20"/>
          <w:color w:val="auto"/>
        </w:rPr>
      </w:pPr>
    </w:p>
    <w:p>
      <w:pPr>
        <w:ind w:right="9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duly executed by a Responsible Officer, appropriately completed and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177" w:lineRule="exact"/>
        <w:rPr>
          <w:sz w:val="20"/>
          <w:szCs w:val="20"/>
          <w:color w:val="auto"/>
        </w:rPr>
      </w:pPr>
    </w:p>
    <w:p>
      <w:pPr>
        <w:ind w:right="4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Condemnation</w:t>
      </w:r>
      <w:r>
        <w:rPr>
          <w:rFonts w:ascii="Arial" w:cs="Arial" w:eastAsia="Arial" w:hAnsi="Arial"/>
          <w:sz w:val="20"/>
          <w:szCs w:val="20"/>
          <w:color w:val="auto"/>
        </w:rPr>
        <w:t>” means any taking or expropriation by a Governmental Authority of property or assets, or any part thereof or interest therein, for public or quasi-public use under the power of eminent domain, by reason of any public improvement or condemnation or in any other manner.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Condemnation Award</w:t>
      </w:r>
      <w:r>
        <w:rPr>
          <w:rFonts w:ascii="Arial" w:cs="Arial" w:eastAsia="Arial" w:hAnsi="Arial"/>
          <w:sz w:val="20"/>
          <w:szCs w:val="20"/>
          <w:color w:val="auto"/>
        </w:rPr>
        <w:t>” means all proceeds of any Condemnation or transfer in lieu thereof.</w:t>
      </w:r>
    </w:p>
    <w:p>
      <w:pPr>
        <w:spacing w:after="0" w:line="216" w:lineRule="exact"/>
        <w:rPr>
          <w:sz w:val="20"/>
          <w:szCs w:val="20"/>
          <w:color w:val="auto"/>
        </w:rPr>
      </w:pPr>
    </w:p>
    <w:p>
      <w:pPr>
        <w:ind w:firstLine="129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Capital Expenditures</w:t>
      </w:r>
      <w:r>
        <w:rPr>
          <w:rFonts w:ascii="Arial" w:cs="Arial" w:eastAsia="Arial" w:hAnsi="Arial"/>
          <w:sz w:val="18"/>
          <w:szCs w:val="18"/>
          <w:color w:val="auto"/>
        </w:rPr>
        <w:t>” means, without duplication, any expenditures for any purchase or other acquisition of any asset that would be classified as a fixed or capital asset on a consolidated balance sheet of Parent and its Restricted Subsidiaries prepared in accordance with GAAP but excluding (i) expenditures made in connection with any replacement, substitution or restoration of property as a result of any involuntary loss of title, any involuntary loss of, damage to or destruction of, or any condemnation or other taking (including by any Governmental Authority) of, any property of Parent or any of its Restricted Subsidiaries, (ii) expenditures constituting consideration for any Permitted Acquisitions, (iii) expenditures constituting interest capitalized during such period, (iv) expenditures that are accounted for as capital expenditures of such Person and that actually are paid for by a third party and for which no Loan Party has provided or is required to provide or incur, directly or indirectly, any consideration or obligation to such third party or any other Person and (v) the purchase price of equipment that is purchased substantially contemporaneously with the trade in of existing equipment to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06" w:name="page207"/>
    <w:bookmarkEnd w:id="206"/>
    <w:p>
      <w:pPr>
        <w:ind w:right="60"/>
        <w:spacing w:after="0" w:line="260" w:lineRule="auto"/>
        <w:rPr>
          <w:sz w:val="20"/>
          <w:szCs w:val="20"/>
          <w:color w:val="auto"/>
        </w:rPr>
      </w:pPr>
      <w:r>
        <w:rPr>
          <w:rFonts w:ascii="Arial" w:cs="Arial" w:eastAsia="Arial" w:hAnsi="Arial"/>
          <w:sz w:val="20"/>
          <w:szCs w:val="20"/>
          <w:color w:val="auto"/>
        </w:rPr>
        <w:t>the extent that the gross amount of such purchase price is reduced by the credit granted by the seller of such equipment for the equipment being traded in at such time.</w:t>
      </w:r>
    </w:p>
    <w:p>
      <w:pPr>
        <w:spacing w:after="0" w:line="96" w:lineRule="exact"/>
        <w:rPr>
          <w:sz w:val="20"/>
          <w:szCs w:val="20"/>
          <w:color w:val="auto"/>
        </w:rPr>
      </w:pPr>
    </w:p>
    <w:p>
      <w:pPr>
        <w:ind w:right="20" w:firstLine="1297"/>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Cash Interest Expense</w:t>
      </w:r>
      <w:r>
        <w:rPr>
          <w:rFonts w:ascii="Arial" w:cs="Arial" w:eastAsia="Arial" w:hAnsi="Arial"/>
          <w:sz w:val="18"/>
          <w:szCs w:val="18"/>
          <w:color w:val="auto"/>
        </w:rPr>
        <w:t>” means, with reference to any period, (a) the Consolidated Interest Expense of Parent and its Restricted Subsidiaries paid or payable in cash and calculated on a consolidated basis for such period but shall exclude, to the extent otherwise included in the calculation of Consolidated Interest Expense for the applicable period, without duplication, (i) debt issuance costs, debt discount or premium and other financing fees and expenses, (ii) any cash costs associated with breakage in respect of Swap Agreements,</w:t>
      </w:r>
    </w:p>
    <w:p>
      <w:pPr>
        <w:spacing w:after="0" w:line="3" w:lineRule="exact"/>
        <w:rPr>
          <w:sz w:val="20"/>
          <w:szCs w:val="20"/>
          <w:color w:val="auto"/>
        </w:rPr>
      </w:pPr>
    </w:p>
    <w:p>
      <w:pPr>
        <w:ind w:firstLine="8"/>
        <w:spacing w:after="0" w:line="258" w:lineRule="auto"/>
        <w:tabs>
          <w:tab w:leader="none" w:pos="346"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annual agency or trustee fees, unused line fees and letter of credit fees and expenses, (iv) all non-recurring cash interest expense consisting of liquidated damages for failure to timely comply with registration rights obligations under any agreement governing Indebtedness, and (v) interest, rental and other expenses associated with the Stanford Lease, minus (b) interest income received or receivable in cash (to the extent not netted against interest expense in the calculation of Consolidated Interest Expense).</w:t>
      </w:r>
    </w:p>
    <w:p>
      <w:pPr>
        <w:spacing w:after="0" w:line="98" w:lineRule="exact"/>
        <w:rPr>
          <w:sz w:val="20"/>
          <w:szCs w:val="20"/>
          <w:color w:val="auto"/>
        </w:rPr>
      </w:pPr>
    </w:p>
    <w:p>
      <w:pPr>
        <w:ind w:right="20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Current Assets</w:t>
      </w:r>
      <w:r>
        <w:rPr>
          <w:rFonts w:ascii="Arial" w:cs="Arial" w:eastAsia="Arial" w:hAnsi="Arial"/>
          <w:sz w:val="20"/>
          <w:szCs w:val="20"/>
          <w:color w:val="auto"/>
        </w:rPr>
        <w:t>” means at any date, the consolidated current assets of the Parent and its Restricted Subsidiaries as of such date, determined on a consolidated basis in accordance with GAAP, but excluding cash, deferred income Taxes and Permitted Investments.</w:t>
      </w:r>
    </w:p>
    <w:p>
      <w:pPr>
        <w:spacing w:after="0" w:line="105" w:lineRule="exact"/>
        <w:rPr>
          <w:sz w:val="20"/>
          <w:szCs w:val="20"/>
          <w:color w:val="auto"/>
        </w:rPr>
      </w:pPr>
    </w:p>
    <w:p>
      <w:pPr>
        <w:ind w:right="14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Current Liabilities</w:t>
      </w:r>
      <w:r>
        <w:rPr>
          <w:rFonts w:ascii="Arial" w:cs="Arial" w:eastAsia="Arial" w:hAnsi="Arial"/>
          <w:sz w:val="20"/>
          <w:szCs w:val="20"/>
          <w:color w:val="auto"/>
        </w:rPr>
        <w:t>” means at any date, the consolidated current liabilities of Parent and its Restricted Subsidiaries as of such date, determined on a consolidated basis in accordance with GAAP, but excluding the current portion of Consolidated Funded Indebtedness, outstanding Revolving Loans and Swing Line Loans, the current portion of interest expense (other than interest expense that is due and unpaid), accrued Taxes and accrued dividends.</w:t>
      </w:r>
    </w:p>
    <w:p>
      <w:pPr>
        <w:spacing w:after="0" w:line="110" w:lineRule="exact"/>
        <w:rPr>
          <w:sz w:val="20"/>
          <w:szCs w:val="20"/>
          <w:color w:val="auto"/>
        </w:rPr>
      </w:pPr>
    </w:p>
    <w:p>
      <w:pPr>
        <w:ind w:right="280" w:firstLine="1297"/>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with reference to any period, Consolidated Net Income for such period </w:t>
      </w:r>
      <w:r>
        <w:rPr>
          <w:rFonts w:ascii="Arial" w:cs="Arial" w:eastAsia="Arial" w:hAnsi="Arial"/>
          <w:sz w:val="16"/>
          <w:szCs w:val="16"/>
          <w:u w:val="single" w:color="auto"/>
          <w:color w:val="auto"/>
        </w:rPr>
        <w:t>plus</w:t>
      </w:r>
      <w:r>
        <w:rPr>
          <w:rFonts w:ascii="Arial" w:cs="Arial" w:eastAsia="Arial" w:hAnsi="Arial"/>
          <w:sz w:val="16"/>
          <w:szCs w:val="16"/>
          <w:i w:val="1"/>
          <w:iCs w:val="1"/>
          <w:color w:val="auto"/>
        </w:rPr>
        <w:t>,</w:t>
      </w:r>
      <w:r>
        <w:rPr>
          <w:rFonts w:ascii="Arial" w:cs="Arial" w:eastAsia="Arial" w:hAnsi="Arial"/>
          <w:sz w:val="16"/>
          <w:szCs w:val="16"/>
          <w:color w:val="auto"/>
        </w:rPr>
        <w:t xml:space="preserve"> to the extent deducted in determining Consolidated Net Income for such period, (i) Consolidated Interest Expense, (ii) expense for Taxes paid or accrued,</w:t>
      </w:r>
    </w:p>
    <w:p>
      <w:pPr>
        <w:spacing w:after="0" w:line="1" w:lineRule="exact"/>
        <w:rPr>
          <w:sz w:val="20"/>
          <w:szCs w:val="20"/>
          <w:color w:val="auto"/>
        </w:rPr>
      </w:pPr>
    </w:p>
    <w:p>
      <w:pPr>
        <w:ind w:firstLine="8"/>
        <w:spacing w:after="0" w:line="304" w:lineRule="auto"/>
        <w:tabs>
          <w:tab w:leader="none" w:pos="34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depreciation, (iv) amortization, (v) extraordinary, unusual or non-recurring non-cash expenses or losses incurred other than in the ordinary course of business, (vi) non-cash expenses related to stock based compensation, (vii) fees and expenses directly incurred or paid in connection with (</w:t>
      </w:r>
      <w:r>
        <w:rPr>
          <w:rFonts w:ascii="Arial" w:cs="Arial" w:eastAsia="Arial" w:hAnsi="Arial"/>
          <w:sz w:val="16"/>
          <w:szCs w:val="16"/>
          <w:color w:val="FF0000"/>
          <w:strike w:val="1"/>
        </w:rPr>
        <w:t>w</w:t>
      </w:r>
      <w:r>
        <w:rPr>
          <w:rFonts w:ascii="Arial" w:cs="Arial" w:eastAsia="Arial" w:hAnsi="Arial"/>
          <w:sz w:val="16"/>
          <w:szCs w:val="16"/>
          <w:u w:val="single" w:color="auto"/>
          <w:color w:val="0000FF"/>
        </w:rPr>
        <w:t>v</w:t>
      </w:r>
      <w:r>
        <w:rPr>
          <w:rFonts w:ascii="Arial" w:cs="Arial" w:eastAsia="Arial" w:hAnsi="Arial"/>
          <w:sz w:val="16"/>
          <w:szCs w:val="16"/>
          <w:color w:val="auto"/>
        </w:rPr>
        <w:t>) the Gentium Acquisition, (</w:t>
      </w:r>
      <w:r>
        <w:rPr>
          <w:rFonts w:ascii="Arial" w:cs="Arial" w:eastAsia="Arial" w:hAnsi="Arial"/>
          <w:sz w:val="16"/>
          <w:szCs w:val="16"/>
          <w:color w:val="FF0000"/>
          <w:strike w:val="1"/>
        </w:rPr>
        <w:t>x</w:t>
      </w:r>
      <w:r>
        <w:rPr>
          <w:rFonts w:ascii="Arial" w:cs="Arial" w:eastAsia="Arial" w:hAnsi="Arial"/>
          <w:sz w:val="16"/>
          <w:szCs w:val="16"/>
          <w:u w:val="single" w:color="auto"/>
          <w:color w:val="0000FF"/>
        </w:rPr>
        <w:t>w</w:t>
      </w:r>
      <w:r>
        <w:rPr>
          <w:rFonts w:ascii="Arial" w:cs="Arial" w:eastAsia="Arial" w:hAnsi="Arial"/>
          <w:sz w:val="16"/>
          <w:szCs w:val="16"/>
          <w:color w:val="auto"/>
        </w:rPr>
        <w:t xml:space="preserve">) the Transactions, </w:t>
      </w:r>
      <w:r>
        <w:rPr>
          <w:rFonts w:ascii="Arial" w:cs="Arial" w:eastAsia="Arial" w:hAnsi="Arial"/>
          <w:sz w:val="16"/>
          <w:szCs w:val="16"/>
          <w:u w:val="single" w:color="auto"/>
          <w:color w:val="0000FF"/>
        </w:rPr>
        <w:t>(x) the Celator Acquisition,</w:t>
      </w:r>
      <w:r>
        <w:rPr>
          <w:rFonts w:ascii="Arial" w:cs="Arial" w:eastAsia="Arial" w:hAnsi="Arial"/>
          <w:sz w:val="16"/>
          <w:szCs w:val="16"/>
          <w:color w:val="auto"/>
        </w:rPr>
        <w:t xml:space="preserve"> (y) any other Permitted Acquisition and, to the extent permitted hereunder, Investments (other than Permitted Acquisitions) and Dispositions, to the extent the aggregate amount of all such fees and expenses </w:t>
      </w:r>
      <w:r>
        <w:rPr>
          <w:rFonts w:ascii="Arial" w:cs="Arial" w:eastAsia="Arial" w:hAnsi="Arial"/>
          <w:sz w:val="16"/>
          <w:szCs w:val="16"/>
          <w:u w:val="single" w:color="auto"/>
          <w:color w:val="0000FF"/>
        </w:rPr>
        <w:t>added pursuant to clause (y)</w:t>
      </w:r>
      <w:r>
        <w:rPr>
          <w:rFonts w:ascii="Arial" w:cs="Arial" w:eastAsia="Arial" w:hAnsi="Arial"/>
          <w:sz w:val="16"/>
          <w:szCs w:val="16"/>
          <w:color w:val="auto"/>
        </w:rPr>
        <w:t xml:space="preserve"> does not exceed $30,000,000 during any fiscal year and (z) to the extent permitted hereunder, issuances or incurrence of Indebtedness, issuances of Equity Interests or refinancing transactions and modifications of instruments of Indebtedness, (viii) any non-recurring charges, costs, fees and expenses directly incurred or paid directly as a result of discontinued operations (other than such charges, costs, fees and expenses to the extent constituting losses arising from such discontinued operations), (ix) any unrealized losses in respect of Swap Agreements, (x) any other extraordinary, unusual or non-recurring cash charges or expenses incurred outside of the ordinary course of business, (xi) Milestone Payments and Upfront Payments, (xii) the amount of cost savings and synergies projected by Parent in good faith to be realized as a result of the Gentium Acquisition or any Permitted Acquisition or other Investment, in each case within the four consecutive fiscal quarters following the consummation of such acquisition or Investment (or following the consummation of the squeeze-out merger in the case of an acquisition structured as a two-step transaction), calculated as though such cost savings and synergies had been realized on the first day of such period and net of the amount of actual benefits received during such period from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84" w:lineRule="exact"/>
        <w:rPr>
          <w:rFonts w:ascii="Arial" w:cs="Arial" w:eastAsia="Arial" w:hAnsi="Arial"/>
          <w:sz w:val="16"/>
          <w:szCs w:val="16"/>
          <w:color w:val="auto"/>
        </w:rPr>
      </w:pPr>
    </w:p>
    <w:p>
      <w:pPr>
        <w:ind w:right="240"/>
        <w:spacing w:after="0" w:line="260" w:lineRule="auto"/>
        <w:rPr>
          <w:rFonts w:ascii="Arial" w:cs="Arial" w:eastAsia="Arial" w:hAnsi="Arial"/>
          <w:sz w:val="16"/>
          <w:szCs w:val="16"/>
          <w:color w:val="auto"/>
        </w:rPr>
      </w:pPr>
      <w:r>
        <w:rPr>
          <w:rFonts w:ascii="Arial" w:cs="Arial" w:eastAsia="Arial" w:hAnsi="Arial"/>
          <w:sz w:val="19"/>
          <w:szCs w:val="19"/>
          <w:color w:val="auto"/>
        </w:rPr>
        <w:t>(A) a duly completed certificate signed by a Responsible Officer of Parent shall be delivered to the Administrative Agent certifying that such cost savings and synergies are reasonably expected and factually supportable in the good faith judgment of Parent, (B) no cost savings or synergies shall be added pursuant to this clause (xii) to the extent duplicative of any expenses or charges otherwise</w:t>
      </w:r>
    </w:p>
    <w:p>
      <w:pPr>
        <w:spacing w:after="0" w:line="200" w:lineRule="exact"/>
        <w:rPr>
          <w:rFonts w:ascii="Arial" w:cs="Arial" w:eastAsia="Arial" w:hAnsi="Arial"/>
          <w:sz w:val="16"/>
          <w:szCs w:val="16"/>
          <w:color w:val="auto"/>
        </w:rPr>
      </w:pPr>
    </w:p>
    <w:p>
      <w:pPr>
        <w:spacing w:after="0" w:line="356" w:lineRule="exact"/>
        <w:rPr>
          <w:rFonts w:ascii="Arial" w:cs="Arial" w:eastAsia="Arial" w:hAnsi="Arial"/>
          <w:sz w:val="16"/>
          <w:szCs w:val="16"/>
          <w:color w:val="auto"/>
        </w:rPr>
      </w:pPr>
    </w:p>
    <w:p>
      <w:pPr>
        <w:ind w:left="5620" w:hanging="117"/>
        <w:spacing w:after="0"/>
        <w:tabs>
          <w:tab w:leader="none" w:pos="5620" w:val="left"/>
        </w:tabs>
        <w:numPr>
          <w:ilvl w:val="1"/>
          <w:numId w:val="136"/>
        </w:numPr>
        <w:rPr>
          <w:rFonts w:ascii="Arial" w:cs="Arial" w:eastAsia="Arial" w:hAnsi="Arial"/>
          <w:sz w:val="20"/>
          <w:szCs w:val="20"/>
          <w:color w:val="auto"/>
        </w:rPr>
      </w:pPr>
      <w:r>
        <w:rPr>
          <w:rFonts w:ascii="Arial" w:cs="Arial" w:eastAsia="Arial" w:hAnsi="Arial"/>
          <w:sz w:val="20"/>
          <w:szCs w:val="20"/>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07" w:name="page208"/>
    <w:bookmarkEnd w:id="207"/>
    <w:p>
      <w:pPr>
        <w:spacing w:after="0" w:line="268" w:lineRule="auto"/>
        <w:rPr>
          <w:sz w:val="20"/>
          <w:szCs w:val="20"/>
          <w:color w:val="auto"/>
        </w:rPr>
      </w:pPr>
      <w:r>
        <w:rPr>
          <w:rFonts w:ascii="Arial" w:cs="Arial" w:eastAsia="Arial" w:hAnsi="Arial"/>
          <w:sz w:val="18"/>
          <w:szCs w:val="18"/>
          <w:color w:val="auto"/>
        </w:rPr>
        <w:t xml:space="preserve">added to Consolidated EBITDA, whether through a pro forma adjustment or otherwise, for such period and (C) the aggregate amount of cost savings and synergies added back pursuant to this clause (xii) shall not exceed 15% of Consolidated EBITDA for any applicable Test Period (prior to giving effect to the addback of such items pursuant to this clause (xii)), (xiii) restructuring charges or reserves, including write-downs and write-offs, including any one-time costs incurred in connection with the Gentium Acquisition, Permitted Acquisitions and other Investments and costs related to the closure, consolidation and integration of facilities, information technology infrastructure and legal entities, and severance and retention bonuses, (xiv) adjustments relating to purchase price allocation accounting, and (xv) the aggregate amount of all other non-cash charges, expenses or losses reducing Consolidated Net Income during such period, </w:t>
      </w:r>
      <w:r>
        <w:rPr>
          <w:rFonts w:ascii="Arial" w:cs="Arial" w:eastAsia="Arial" w:hAnsi="Arial"/>
          <w:sz w:val="18"/>
          <w:szCs w:val="18"/>
          <w:u w:val="single" w:color="auto"/>
          <w:color w:val="auto"/>
        </w:rPr>
        <w:t>minus</w:t>
      </w:r>
      <w:r>
        <w:rPr>
          <w:rFonts w:ascii="Arial" w:cs="Arial" w:eastAsia="Arial" w:hAnsi="Arial"/>
          <w:sz w:val="18"/>
          <w:szCs w:val="18"/>
          <w:i w:val="1"/>
          <w:iCs w:val="1"/>
          <w:color w:val="auto"/>
        </w:rPr>
        <w:t>,</w:t>
      </w:r>
      <w:r>
        <w:rPr>
          <w:rFonts w:ascii="Arial" w:cs="Arial" w:eastAsia="Arial" w:hAnsi="Arial"/>
          <w:sz w:val="18"/>
          <w:szCs w:val="18"/>
          <w:color w:val="auto"/>
        </w:rPr>
        <w:t xml:space="preserve"> to the extent included in Consolidated Net Income for such period, (l) interest income (to the extent not netted against interest expense in the calculation of Consolidated Interest Expense), (2) income tax credits and refunds (to the extent not netted from Tax expense), (3) any cash payments made during such period in respect of items described in clauses (v) or (xv) above subsequent to the applicable Test Period in which the relevant non-cash expenses or losses were incurred, (4) any non-recurring income or gains directly as a result of discontinued operations, (5) any unrealized income or gains in respect of Swap Agreements (to the extent not included in clause (1) above or netted against interest expense in the calculation of Consolidated Interest Expense) and (6) extraordinary, unusual or non-recurring income or gains realized other than in the ordinary course of business, all as determined for Parent and its Restricted Subsidiaries in accordance with GAAP on a consolidated basis. For the avoidance of doubt, the foregoing additions to, and subtractions from, Consolidated EBITDA shall not give effect to any items attributable to the Unrestricted Subsidiaries. For the purposes of calculating Consolidated EBITDA for any Test Period, (i) if at any time during such Test Period, Parent or any Restricted Subsidiary shall have made any Material Disposition or converted any Restricted Subsidiary into an Unrestricted Subsidiary, the Consolidated EBITDA for such Test Period shall be reduced by an amount equal to the Consolidated EBITDA (if positive) attributable to the property that is the subject of such Material Disposition or to such conversion for such Test Period or increased by an amount equal to the Consolidated EBITDA (if negative) attributable thereto for such Test Period, and (ii) if during such Test Period Parent or any Restricted Subsidiary shall have made a Material Acquisition or converted any Unrestricted Subsidiary into a Restricted Subsidiary, Consolidated EBITDA for such Test Period shall be calculated after giving pro forma effect thereto in accordance with </w:t>
      </w:r>
      <w:r>
        <w:rPr>
          <w:rFonts w:ascii="Arial" w:cs="Arial" w:eastAsia="Arial" w:hAnsi="Arial"/>
          <w:sz w:val="18"/>
          <w:szCs w:val="18"/>
          <w:u w:val="single" w:color="auto"/>
          <w:color w:val="auto"/>
        </w:rPr>
        <w:t>Section 1.03(c)</w:t>
      </w:r>
      <w:r>
        <w:rPr>
          <w:rFonts w:ascii="Arial" w:cs="Arial" w:eastAsia="Arial" w:hAnsi="Arial"/>
          <w:sz w:val="18"/>
          <w:szCs w:val="18"/>
          <w:color w:val="auto"/>
        </w:rPr>
        <w:t xml:space="preserve"> (and, if applicable, Section 1.03(e)) as if such Material Acquisition or such conversion occurred on the first day of such Test Period.</w:t>
      </w:r>
    </w:p>
    <w:p>
      <w:pPr>
        <w:spacing w:after="0" w:line="181" w:lineRule="exact"/>
        <w:rPr>
          <w:sz w:val="20"/>
          <w:szCs w:val="20"/>
          <w:color w:val="auto"/>
        </w:rPr>
      </w:pPr>
    </w:p>
    <w:p>
      <w:pPr>
        <w:ind w:right="1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Funded Indebtedness</w:t>
      </w:r>
      <w:r>
        <w:rPr>
          <w:rFonts w:ascii="Arial" w:cs="Arial" w:eastAsia="Arial" w:hAnsi="Arial"/>
          <w:sz w:val="20"/>
          <w:szCs w:val="20"/>
          <w:color w:val="auto"/>
        </w:rPr>
        <w:t>” means at any date, the Funded Indebtedness of the Parent and its Restricted Subsidiaries as of such date, determined on a consolidated basis in accordance with GAAP.</w:t>
      </w:r>
    </w:p>
    <w:p>
      <w:pPr>
        <w:spacing w:after="0" w:line="177" w:lineRule="exact"/>
        <w:rPr>
          <w:sz w:val="20"/>
          <w:szCs w:val="20"/>
          <w:color w:val="auto"/>
        </w:rPr>
      </w:pPr>
    </w:p>
    <w:p>
      <w:pPr>
        <w:ind w:right="20"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means, with reference to any period, the interest expense (including without limitation interest expense under Capital Lease Obligations that is treated as interest in accordance with GAAP) of Parent and its Restricted Subsidiaries calculated on a consolidated basis for such period with respect to all outstanding Indebtedness of Parent and its Restricted Subsidiaries allocable to such period in accordance with GAAP (including, without limitation, all commissions, discounts and other fees and charges owed with respect to letters of credit and bankers acceptance financing and net costs and benefits under interest rate Swap Agreements to the extent such net costs and benefits are allocable to such period in accordance with GAAP). In the event that Parent or any Restricted Subsidiary shall have completed a Material Acquisition or a Material Disposition since the beginning of the relevant period, Consolidated Interest Expense shall be determined for such period on a pro forma basis as if such acquisition or disposition, and any related incurrence or repayment of Indebtedness, had occurred at the beginning of such period.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08" w:name="page209"/>
    <w:bookmarkEnd w:id="208"/>
    <w:p>
      <w:pPr>
        <w:ind w:right="100"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means, with reference to any period, the net income (or loss) of Parent and its Restricted Subsidiaries calculated in accordance with GAAP on a consolidated basis (without duplication)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be excluded the income of any Restricted Subsidiary (other than a Loan Party) to the extent that the declaration or payment of dividends or other distributions by such Restricted Subsidiary of that income is not at the time permitted by any of its Organization Documents, a requirement of Law or any agreement or instrument applicable to such Restricted Subsidiary, except that the amount of cash dividends or other cash distributions actually paid to any Loan Party by any such Restricted Subsidiary during such period shall be included;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there shall be excluded any income (or loss) of any Person other than Parent or a Restricted Subsidiary, but any such income so excluded may be included in such period or any later period to the extent of any cash dividends or distributions actually paid in the relevant period to Parent or any Restricted Subsidiary that is a Wholly Owned Subsidiary of Parent.</w:t>
      </w:r>
    </w:p>
    <w:p>
      <w:pPr>
        <w:spacing w:after="0" w:line="185" w:lineRule="exact"/>
        <w:rPr>
          <w:sz w:val="20"/>
          <w:szCs w:val="20"/>
          <w:color w:val="auto"/>
        </w:rPr>
      </w:pPr>
    </w:p>
    <w:p>
      <w:pPr>
        <w:ind w:right="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Secured Debt</w:t>
      </w:r>
      <w:r>
        <w:rPr>
          <w:rFonts w:ascii="Arial" w:cs="Arial" w:eastAsia="Arial" w:hAnsi="Arial"/>
          <w:sz w:val="20"/>
          <w:szCs w:val="20"/>
          <w:color w:val="auto"/>
        </w:rPr>
        <w:t>” means, as of any date of determination, Consolidated Senior Debt outstanding on such date that is secured by a Lien on any assets of Parent or any of its Restricted Subsidiaries.</w:t>
      </w:r>
    </w:p>
    <w:p>
      <w:pPr>
        <w:spacing w:after="0" w:line="177" w:lineRule="exact"/>
        <w:rPr>
          <w:sz w:val="20"/>
          <w:szCs w:val="20"/>
          <w:color w:val="auto"/>
        </w:rPr>
      </w:pPr>
    </w:p>
    <w:p>
      <w:pPr>
        <w:ind w:right="3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Senior Debt</w:t>
      </w:r>
      <w:r>
        <w:rPr>
          <w:rFonts w:ascii="Arial" w:cs="Arial" w:eastAsia="Arial" w:hAnsi="Arial"/>
          <w:sz w:val="20"/>
          <w:szCs w:val="20"/>
          <w:color w:val="auto"/>
        </w:rPr>
        <w:t>” means, as of any date of determination, the aggregate principal amount of Consolidated Total Indebtedness outstanding on such date, but excluding any Specified Subordinated Indebtedness.</w:t>
      </w:r>
    </w:p>
    <w:p>
      <w:pPr>
        <w:spacing w:after="0" w:line="177" w:lineRule="exact"/>
        <w:rPr>
          <w:sz w:val="20"/>
          <w:szCs w:val="20"/>
          <w:color w:val="auto"/>
        </w:rPr>
      </w:pPr>
    </w:p>
    <w:p>
      <w:pPr>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Subsidiary</w:t>
      </w:r>
      <w:r>
        <w:rPr>
          <w:rFonts w:ascii="Arial" w:cs="Arial" w:eastAsia="Arial" w:hAnsi="Arial"/>
          <w:sz w:val="20"/>
          <w:szCs w:val="20"/>
          <w:color w:val="auto"/>
        </w:rPr>
        <w:t>” means with respect to any Person at any date any Subsidiary of such Person or other entity the accounts of which would be consolidated with those of such Person in its consolidated financial statements if such statements were prepared as of such date in accordance with GAAP.</w:t>
      </w:r>
    </w:p>
    <w:p>
      <w:pPr>
        <w:spacing w:after="0" w:line="186" w:lineRule="exact"/>
        <w:rPr>
          <w:sz w:val="20"/>
          <w:szCs w:val="20"/>
          <w:color w:val="auto"/>
        </w:rPr>
      </w:pPr>
    </w:p>
    <w:p>
      <w:pPr>
        <w:ind w:right="620" w:firstLine="1297"/>
        <w:spacing w:after="0" w:line="3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Assets</w:t>
      </w:r>
      <w:r>
        <w:rPr>
          <w:rFonts w:ascii="Arial" w:cs="Arial" w:eastAsia="Arial" w:hAnsi="Arial"/>
          <w:sz w:val="16"/>
          <w:szCs w:val="16"/>
          <w:color w:val="auto"/>
        </w:rPr>
        <w:t>” means, as of the date of any determination thereof, total assets of Parent and its Restricted Subsidiaries calculated in accordance with GAAP on a consolidated basis as of the end of the most recently completed Test Period.</w:t>
      </w:r>
    </w:p>
    <w:p>
      <w:pPr>
        <w:spacing w:after="0" w:line="83" w:lineRule="exact"/>
        <w:rPr>
          <w:sz w:val="20"/>
          <w:szCs w:val="20"/>
          <w:color w:val="auto"/>
        </w:rPr>
      </w:pPr>
    </w:p>
    <w:p>
      <w:pPr>
        <w:ind w:right="60" w:firstLine="129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Indebtedness</w:t>
      </w:r>
      <w:r>
        <w:rPr>
          <w:rFonts w:ascii="Arial" w:cs="Arial" w:eastAsia="Arial" w:hAnsi="Arial"/>
          <w:sz w:val="19"/>
          <w:szCs w:val="19"/>
          <w:color w:val="auto"/>
        </w:rPr>
        <w:t xml:space="preserve">” means, as of the date of any determination thereof, the sum, without duplication, of (x) the aggregate Indebtedness of Parent and its Restricted Subsidiaries that is of a type that would be reflected on a consolidated balance sheet of Parent prepared as of such time in accordance with GAAP and (y) Indebtedness of the type referred to in clause (x) hereof of another Person guaranteed by Parent or any of its Restricted Subsidiaries or secured by the assets of Parent or any of its 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Consolidated Total Indebtedness shall not include Indebtedness in respect of any letter of credit or bank guaranty, except to the extent of unreimbursed obligations in respect of any drawn letter of credit or bank guaranty.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Working Capital</w:t>
      </w:r>
      <w:r>
        <w:rPr>
          <w:rFonts w:ascii="Arial" w:cs="Arial" w:eastAsia="Arial" w:hAnsi="Arial"/>
          <w:sz w:val="18"/>
          <w:szCs w:val="18"/>
          <w:color w:val="auto"/>
        </w:rPr>
        <w:t>” means, as at any date, the excess of Consolidated Current Assets over Consolidated Current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Liabilities.</w:t>
      </w:r>
    </w:p>
    <w:p>
      <w:pPr>
        <w:spacing w:after="0" w:line="200" w:lineRule="exact"/>
        <w:rPr>
          <w:sz w:val="20"/>
          <w:szCs w:val="20"/>
          <w:color w:val="auto"/>
        </w:rPr>
      </w:pPr>
    </w:p>
    <w:p>
      <w:pPr>
        <w:ind w:right="2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77" w:lineRule="exact"/>
        <w:rPr>
          <w:sz w:val="20"/>
          <w:szCs w:val="20"/>
          <w:color w:val="auto"/>
        </w:rPr>
      </w:pPr>
    </w:p>
    <w:p>
      <w:pPr>
        <w:jc w:val="both"/>
        <w:ind w:right="46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366" w:right="319" w:bottom="1440" w:gutter="0" w:footer="0" w:header="0"/>
        </w:sectPr>
      </w:pPr>
    </w:p>
    <w:bookmarkStart w:id="209" w:name="page210"/>
    <w:bookmarkEnd w:id="209"/>
    <w:p>
      <w:pPr>
        <w:ind w:right="4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Co-Syndication Agent</w:t>
      </w:r>
      <w:r>
        <w:rPr>
          <w:rFonts w:ascii="Arial" w:cs="Arial" w:eastAsia="Arial" w:hAnsi="Arial"/>
          <w:sz w:val="20"/>
          <w:szCs w:val="20"/>
          <w:color w:val="auto"/>
        </w:rPr>
        <w:t>” means each of Barclays Bank PLC, Citibank, N.A., DNB (UK) Limited, JPMorgan Chase Bank, N.A., and Royal Bank of Canada, in their respective capacities as co-syndication agent.</w:t>
      </w:r>
    </w:p>
    <w:p>
      <w:pPr>
        <w:spacing w:after="0" w:line="177" w:lineRule="exact"/>
        <w:rPr>
          <w:sz w:val="20"/>
          <w:szCs w:val="20"/>
          <w:color w:val="auto"/>
        </w:rPr>
      </w:pPr>
    </w:p>
    <w:p>
      <w:pPr>
        <w:ind w:right="40" w:firstLine="129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Jurisdictions</w:t>
      </w:r>
      <w:r>
        <w:rPr>
          <w:rFonts w:ascii="Arial" w:cs="Arial" w:eastAsia="Arial" w:hAnsi="Arial"/>
          <w:sz w:val="18"/>
          <w:szCs w:val="18"/>
          <w:color w:val="auto"/>
        </w:rPr>
        <w:t>” means the jurisdiction of any Borrower or any jurisdiction of any Guarantor that is a Material Restricted Subsidiary; it being understood that notwithstanding the thresholds set forth in the definition of “Material Restricted Subsidiary”, for purposes of determining the “Covered Jurisdictions”, “Material Restricted Subsidiary” shall exclude Restricted Subsidiaries organized in a jurisdiction with respect to which no Collateral Documents had previously been delivered which, as of the end of, and for, the most recently completed Test Period, (i) contributed less than 10.0 % of Consolidated EBITDA in the aggregate for such jurisdiction for such Test Period or</w:t>
      </w:r>
    </w:p>
    <w:p>
      <w:pPr>
        <w:spacing w:after="0" w:line="4" w:lineRule="exact"/>
        <w:rPr>
          <w:sz w:val="20"/>
          <w:szCs w:val="20"/>
          <w:color w:val="auto"/>
        </w:rPr>
      </w:pPr>
    </w:p>
    <w:p>
      <w:pPr>
        <w:ind w:right="120" w:firstLine="8"/>
        <w:spacing w:after="0" w:line="241" w:lineRule="auto"/>
        <w:tabs>
          <w:tab w:leader="none" w:pos="291" w:val="left"/>
        </w:tabs>
        <w:numPr>
          <w:ilvl w:val="0"/>
          <w:numId w:val="137"/>
        </w:numPr>
        <w:rPr>
          <w:rFonts w:ascii="Arial" w:cs="Arial" w:eastAsia="Arial" w:hAnsi="Arial"/>
          <w:sz w:val="20"/>
          <w:szCs w:val="20"/>
          <w:color w:val="auto"/>
        </w:rPr>
      </w:pPr>
      <w:r>
        <w:rPr>
          <w:rFonts w:ascii="Arial" w:cs="Arial" w:eastAsia="Arial" w:hAnsi="Arial"/>
          <w:sz w:val="20"/>
          <w:szCs w:val="20"/>
          <w:color w:val="auto"/>
        </w:rPr>
        <w:t>contributed less than 10.0% of Consolidated Total Assets in the aggregate for such jurisdiction as of the end of such Test Period, so long as the aggregate amount of Consolidated EBITDA and Consolidated Total Assets attributable to the Borrowers and Guarantors that are Material Restricted Subsidiaries was equal to or exceeds 75.0% of Consolidated EBITDA for any such Test Period and 75.0 % of Consolidated Total Assets as of the end of any such Test Period.</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 Refinancing Indebtedness</w:t>
      </w:r>
      <w:r>
        <w:rPr>
          <w:rFonts w:ascii="Arial" w:cs="Arial" w:eastAsia="Arial" w:hAnsi="Arial"/>
          <w:sz w:val="18"/>
          <w:szCs w:val="18"/>
          <w:color w:val="auto"/>
        </w:rPr>
        <w:t>” means (a) Indebtedness or (b) Other Revolving Commitments, in each case, issued, incurred or otherwise obtained (including by means of the extension or renewal of existing Indebtedness) to Refinance, in whole or part, existing Term Loans, existing Incremental Term Loans, outstanding Revolving Loans (and Revolving Commitments), outstanding Incremental Revolving Loans (and Incremental Revolving Commitments) or any outstanding Credit Agreement Refinancing Indebtedness (“</w:t>
      </w:r>
      <w:r>
        <w:rPr>
          <w:rFonts w:ascii="Arial" w:cs="Arial" w:eastAsia="Arial" w:hAnsi="Arial"/>
          <w:sz w:val="18"/>
          <w:szCs w:val="18"/>
          <w:u w:val="single" w:color="auto"/>
          <w:color w:val="auto"/>
        </w:rPr>
        <w:t>Refinanced 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(including, if such Indebtedness includes any Other Revolving Commitments, the unused portion of such Other Revolving Commitments) is in an original aggregate principal amount (or accreted value, if applicable) not greater than the aggregate principal amount (or accreted value, if applicable) of the Refinanced Debt (and, in the case of Refinanced Debt consisting, in whole or in part, of unused Revolving Commitments, Incremental Revolving Commitments or Other Revolving Commitments, the amount thereof) (except by an amount equal to accrued and unpaid interest and premium thereon, including tender premium, and underwriting and original issue discounts, fees, commissions, and expenses associated in connection with such extending, renewing, replacement or refinancing), (ii) such Indebtedness has a maturity equal to or later than, and a Weighted Average Life to Maturity equal to or greater than, the Refinanced Debt, (iii) the Refinanced Debt shall be repaid, defeased or satisfied and discharged (and to the extent that the Refinanced Debt consists, in whole or in part, of Revolving Commitments, Incremental Revolving Commitments, Other Revolving Commitments (or Revolving Loans, Incremental Revolving Loans, Other Revolving Loans, or Swing Line Loans incurred pursuant to any Revolving Commitments, Incremental Revolving Commitments or Other Revolving Commitments), such Revolving Commitments, Incremental Revolving Commitments or Other Revolving Commitments, as applicable, shall be terminated), and all accrued interest, fees and premiums (if any) in connection therewith shall be paid, substantially concurrently with the issuance, incurrence or obtaining of such Credit Agreement Refinancing Indebtedness, (iv) in the case of Credit Agreement Refinancing Indebtedness in the form of notes, such Credit Agreement Refinancing Indebtedness does not contain any mandatory prepayment provisions (other than related to customary asset sale and change of control offers or cash or net share conversion settlement provisions in the case of convertible or exchangeable debt securities) that could result in prepayments of such notes prior to the Refinanced Debt, (v) such Indebtedness shall not be guaranteed by any Persons other than the Loan Parties, (vi) such Indebtedness (if secured and not obtained pursuant to a Refinancing Amendment) shall be subject to a First Lien Intercreditor Agreement or Second Lien Intercreditor Agreement, as applicable, and (vii) the other terms and conditions of such Credit Agreement Refinancing Indebtedness (excluding pricing, fees, rate floors and optional prepayment or redemption terms) are substantially identical to, or less favorable to the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10" w:name="page211"/>
    <w:bookmarkEnd w:id="210"/>
    <w:p>
      <w:pPr>
        <w:ind w:right="240"/>
        <w:spacing w:after="0" w:line="260" w:lineRule="auto"/>
        <w:rPr>
          <w:sz w:val="20"/>
          <w:szCs w:val="20"/>
          <w:color w:val="auto"/>
        </w:rPr>
      </w:pPr>
      <w:r>
        <w:rPr>
          <w:rFonts w:ascii="Arial" w:cs="Arial" w:eastAsia="Arial" w:hAnsi="Arial"/>
          <w:sz w:val="20"/>
          <w:szCs w:val="20"/>
          <w:color w:val="auto"/>
        </w:rPr>
        <w:t>investors providing such Credit Agreement Refinancing Indebtedness than, those applicable to the Refinanced Debt (except for covenants or other provisions applicable only to periods after the Latest Maturity Date).</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Exposure</w:t>
      </w:r>
      <w:r>
        <w:rPr>
          <w:rFonts w:ascii="Arial" w:cs="Arial" w:eastAsia="Arial" w:hAnsi="Arial"/>
          <w:sz w:val="19"/>
          <w:szCs w:val="19"/>
          <w:color w:val="auto"/>
        </w:rPr>
        <w:t>” means, as applied to each Lender and with respect to each Class of its Commitments and/or Loans:</w:t>
      </w:r>
    </w:p>
    <w:p>
      <w:pPr>
        <w:spacing w:after="0" w:line="187" w:lineRule="exact"/>
        <w:rPr>
          <w:sz w:val="20"/>
          <w:szCs w:val="20"/>
          <w:color w:val="auto"/>
        </w:rPr>
      </w:pPr>
    </w:p>
    <w:p>
      <w:pPr>
        <w:ind w:left="660" w:firstLine="645"/>
        <w:spacing w:after="0" w:line="304" w:lineRule="auto"/>
        <w:tabs>
          <w:tab w:leader="none" w:pos="214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at any time prior to the termination of the Commitments of the Lenders in respect of such Class, the sum, as applicable, of (A) the Revolving Commitment Percentage of such Lender multiplied by the Revolving Committed Amount plus (B) the Incremental Revolving Commitment Percentage of the relevant Class of such Lender multiplied by the total Incremental Revolving Commitments of such Class plus (C) the Other Revolving Commitment Percentage of the relevant Class of such Lender multiplied by the total Other Revolving Commitments of such Class plus (D) the Term Commitment Percentage of such Lender multiplied by the Term Committed Amount of such Class plus (E) the Other Term Commitment Percentage of the relevant Class of such Lender multiplied by the total Other Term Commitments of such Class plus (F) the Incremental Term Loan Commitment Percentage of the relevant Class of such Lender multiplied by the total Incremental Term Loan Commitments of such Class; and</w:t>
      </w:r>
    </w:p>
    <w:p>
      <w:pPr>
        <w:spacing w:after="0" w:line="117" w:lineRule="exact"/>
        <w:rPr>
          <w:rFonts w:ascii="Arial" w:cs="Arial" w:eastAsia="Arial" w:hAnsi="Arial"/>
          <w:sz w:val="18"/>
          <w:szCs w:val="18"/>
          <w:color w:val="auto"/>
        </w:rPr>
      </w:pPr>
    </w:p>
    <w:p>
      <w:pPr>
        <w:ind w:left="660" w:right="20" w:firstLine="645"/>
        <w:spacing w:after="0" w:line="273" w:lineRule="auto"/>
        <w:tabs>
          <w:tab w:leader="none" w:pos="2198" w:val="left"/>
        </w:tabs>
        <w:numPr>
          <w:ilvl w:val="0"/>
          <w:numId w:val="138"/>
        </w:numPr>
        <w:rPr>
          <w:rFonts w:ascii="Arial" w:cs="Arial" w:eastAsia="Arial" w:hAnsi="Arial"/>
          <w:sz w:val="20"/>
          <w:szCs w:val="20"/>
          <w:color w:val="auto"/>
        </w:rPr>
      </w:pPr>
      <w:r>
        <w:rPr>
          <w:rFonts w:ascii="Arial" w:cs="Arial" w:eastAsia="Arial" w:hAnsi="Arial"/>
          <w:sz w:val="20"/>
          <w:szCs w:val="20"/>
          <w:color w:val="auto"/>
        </w:rPr>
        <w:t>at any time after the termination of the Commitments of the Lenders in respect of such Class, the sum, as applicable, of (A) the principal balance of the outstanding Loans of such Lender of such Class plus (B) in the case of the termination of the Revolving Commitments, any Class of Incremental Revolving Commitments or any Class of Other Revolving Commitments, in each case, such Lender’s Participation Interests in all L/C Obligations and Swing Line Loans issued under the relevant terminated Class.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a Borrowing or an L/C Credit Extension.</w:t>
      </w:r>
    </w:p>
    <w:p>
      <w:pPr>
        <w:spacing w:after="0" w:line="162" w:lineRule="exact"/>
        <w:rPr>
          <w:sz w:val="20"/>
          <w:szCs w:val="20"/>
          <w:color w:val="auto"/>
        </w:rPr>
      </w:pPr>
    </w:p>
    <w:p>
      <w:pPr>
        <w:ind w:right="4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Cumulative Excess Cash Flow</w:t>
      </w:r>
      <w:r>
        <w:rPr>
          <w:rFonts w:ascii="Arial" w:cs="Arial" w:eastAsia="Arial" w:hAnsi="Arial"/>
          <w:sz w:val="20"/>
          <w:szCs w:val="20"/>
          <w:color w:val="auto"/>
        </w:rPr>
        <w:t>” means an amount (not to be less than zero) equal to the sum of Excess Cash Flow for the fiscal quarter ending June 30, 2015 and each fiscal quarter thereafter.</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Issuance</w:t>
      </w:r>
      <w:r>
        <w:rPr>
          <w:rFonts w:ascii="Arial" w:cs="Arial" w:eastAsia="Arial" w:hAnsi="Arial"/>
          <w:sz w:val="19"/>
          <w:szCs w:val="19"/>
          <w:color w:val="auto"/>
        </w:rPr>
        <w:t>” means the incurrence, issuance or assumption by Parent or any of its Restricted Subsidiaries of 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Indebtedness.</w:t>
      </w:r>
    </w:p>
    <w:p>
      <w:pPr>
        <w:spacing w:after="0" w:line="146" w:lineRule="exact"/>
        <w:rPr>
          <w:sz w:val="20"/>
          <w:szCs w:val="20"/>
          <w:color w:val="auto"/>
        </w:rPr>
      </w:pPr>
    </w:p>
    <w:p>
      <w:pPr>
        <w:ind w:right="2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condition or event that constitutes an Event of Default or that, with the giving of notice, the passage of applicable grace periods, or both, would be an Event of Default.</w:t>
      </w:r>
    </w:p>
    <w:p>
      <w:pPr>
        <w:spacing w:after="0" w:line="123" w:lineRule="exact"/>
        <w:rPr>
          <w:sz w:val="20"/>
          <w:szCs w:val="20"/>
          <w:color w:val="auto"/>
        </w:rPr>
      </w:pPr>
    </w:p>
    <w:p>
      <w:pPr>
        <w:ind w:right="20" w:firstLine="1297"/>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(i) overdue principal amounts (to the extent legally permitted) shall bear interest at a rate per annum that is equal to (x) in the case of the Loans, the rate that would otherwise be applicable thereto plus 2% or (y) in the case of Reimbursement Obligations, the rate applicable to Revolving Loan that is a Base Rate Loan plus 2%, and (ii) any overdue interest payable on any Loan or Reimbursement Obligation or any Commitment Fee or other amount payable hereunder shall bear interest at a rate per annum equal to the rate then applicable to Base Rate Loans under the relevant Class of Loans plus 2% (or, in the case of any such other amounts that do not relate to a particular Class of Loans, the rate then applicable to Revolving Loan that is a Base Rate Loan plus 2%), in each case, with respect to clauses (i) and (ii) above, from the date such amount was due until such overdue amount is paid in full (after as well as before judgment).</w:t>
      </w:r>
    </w:p>
    <w:p>
      <w:pPr>
        <w:spacing w:after="0" w:line="115" w:lineRule="exact"/>
        <w:rPr>
          <w:sz w:val="20"/>
          <w:szCs w:val="20"/>
          <w:color w:val="auto"/>
        </w:rPr>
      </w:pPr>
    </w:p>
    <w:p>
      <w:pPr>
        <w:jc w:val="both"/>
        <w:ind w:right="6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w:t>
      </w:r>
      <w:r>
        <w:rPr>
          <w:rFonts w:ascii="Arial" w:cs="Arial" w:eastAsia="Arial" w:hAnsi="Arial"/>
          <w:sz w:val="20"/>
          <w:szCs w:val="20"/>
          <w:color w:val="auto"/>
        </w:rPr>
        <w:t xml:space="preserve">” means, subject to </w:t>
      </w:r>
      <w:r>
        <w:rPr>
          <w:rFonts w:ascii="Arial" w:cs="Arial" w:eastAsia="Arial" w:hAnsi="Arial"/>
          <w:sz w:val="20"/>
          <w:szCs w:val="20"/>
          <w:u w:val="single" w:color="auto"/>
          <w:color w:val="auto"/>
        </w:rPr>
        <w:t>Section 2.17(b)</w:t>
      </w:r>
      <w:r>
        <w:rPr>
          <w:rFonts w:ascii="Arial" w:cs="Arial" w:eastAsia="Arial" w:hAnsi="Arial"/>
          <w:sz w:val="20"/>
          <w:szCs w:val="20"/>
          <w:color w:val="auto"/>
        </w:rPr>
        <w:t>, any Lender that (a) has failed to (i) fund all or any portion of its Loans or participations in respect of an L/C Obligation within two Business Days of the date such Loans were required to be funded hereunder unless such Lender notifies</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6" w:right="279" w:bottom="1440" w:gutter="0" w:footer="0" w:header="0"/>
        </w:sectPr>
      </w:pPr>
    </w:p>
    <w:bookmarkStart w:id="211" w:name="page212"/>
    <w:bookmarkEnd w:id="211"/>
    <w:p>
      <w:pPr>
        <w:spacing w:after="0" w:line="268" w:lineRule="auto"/>
        <w:rPr>
          <w:sz w:val="20"/>
          <w:szCs w:val="20"/>
          <w:color w:val="auto"/>
        </w:rPr>
      </w:pPr>
      <w:r>
        <w:rPr>
          <w:rFonts w:ascii="Arial" w:cs="Arial" w:eastAsia="Arial" w:hAnsi="Arial"/>
          <w:sz w:val="18"/>
          <w:szCs w:val="18"/>
          <w:color w:val="auto"/>
        </w:rPr>
        <w:t>the Administrative Agent and the Lead Borrower in writing that such failure is the result of such Lender’s determination that one or more conditions precedent to funding (which conditions precedent, together with the applicable default, if any, shall be specifically identified in such writing) has not been satisfied, or (ii) pay to the Administrative Agent, any L/C Issuer, any Swing Line Lender or any other Lender any other amount required to be paid by it hereunder (including in respect of its participation in Letters of Credit or Swing Line Loans) within two Business Days of the date when due, (b) has notified the Lead Borrower, the Administrative Agent or any L/C Issuer or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the applicable default, if any, shall be specifically identified in such writing or public statement) cannot be satisfied), (c) has failed, within three Business Days after written request by the Administrative Agent or the Lead Borrower, to confirm in writing to the Administrative Agent and the Lead Borrower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receipt of such written confirmation by the Administrative Agent and the Lead Borrower), or (d) has, or has a direct or indirect parent company that has, after the date of this Agreement, (i) become the subject of a proceeding under any Bankruptcy Law, </w:t>
      </w:r>
      <w:r>
        <w:rPr>
          <w:rFonts w:ascii="Arial" w:cs="Arial" w:eastAsia="Arial" w:hAnsi="Arial"/>
          <w:sz w:val="18"/>
          <w:szCs w:val="18"/>
          <w:color w:val="FF0000"/>
          <w:strike w:val="1"/>
        </w:rPr>
        <w:t>or</w:t>
      </w:r>
      <w:r>
        <w:rPr>
          <w:rFonts w:ascii="Arial" w:cs="Arial" w:eastAsia="Arial" w:hAnsi="Arial"/>
          <w:sz w:val="18"/>
          <w:szCs w:val="18"/>
          <w:color w:val="auto"/>
        </w:rPr>
        <w:t xml:space="preserve">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8"/>
          <w:szCs w:val="18"/>
          <w:u w:val="single" w:color="auto"/>
          <w:color w:val="0000FF"/>
        </w:rPr>
        <w:t>or (iii) become the subject of a Bail-In Action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clauses (a) through (d) above, and of the effective date of such status, shall be conclusive and binding absent manifest error, and such Lender shall be deemed to be a Defaulting Lender (subject to </w:t>
      </w:r>
      <w:r>
        <w:rPr>
          <w:rFonts w:ascii="Arial" w:cs="Arial" w:eastAsia="Arial" w:hAnsi="Arial"/>
          <w:sz w:val="18"/>
          <w:szCs w:val="18"/>
          <w:u w:val="single" w:color="auto"/>
          <w:color w:val="auto"/>
        </w:rPr>
        <w:t>Section 2.17(b)</w:t>
      </w:r>
      <w:r>
        <w:rPr>
          <w:rFonts w:ascii="Arial" w:cs="Arial" w:eastAsia="Arial" w:hAnsi="Arial"/>
          <w:sz w:val="18"/>
          <w:szCs w:val="18"/>
          <w:color w:val="auto"/>
        </w:rPr>
        <w:t>) as of the date established therefor by the Administrative Agent in a written notice of such determination, which shall be delivered by the Administrative Agent to the Borrower, the L/C Issuer, the Swing Line Lender and each other Lender promptly following such determination.</w:t>
      </w:r>
    </w:p>
    <w:p>
      <w:pPr>
        <w:spacing w:after="0" w:line="44" w:lineRule="exact"/>
        <w:rPr>
          <w:sz w:val="20"/>
          <w:szCs w:val="20"/>
          <w:color w:val="auto"/>
        </w:rPr>
      </w:pPr>
    </w:p>
    <w:p>
      <w:pPr>
        <w:ind w:right="640" w:firstLine="1297"/>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xml:space="preserve">” means any country or territory </w:t>
      </w:r>
      <w:r>
        <w:rPr>
          <w:rFonts w:ascii="Arial" w:cs="Arial" w:eastAsia="Arial" w:hAnsi="Arial"/>
          <w:sz w:val="18"/>
          <w:szCs w:val="18"/>
          <w:color w:val="FF0000"/>
          <w:strike w:val="1"/>
        </w:rPr>
        <w:t>to the extent</w:t>
      </w:r>
      <w:r>
        <w:rPr>
          <w:rFonts w:ascii="Arial" w:cs="Arial" w:eastAsia="Arial" w:hAnsi="Arial"/>
          <w:sz w:val="18"/>
          <w:szCs w:val="18"/>
          <w:color w:val="auto"/>
        </w:rPr>
        <w:t xml:space="preserve"> that </w:t>
      </w:r>
      <w:r>
        <w:rPr>
          <w:rFonts w:ascii="Arial" w:cs="Arial" w:eastAsia="Arial" w:hAnsi="Arial"/>
          <w:sz w:val="18"/>
          <w:szCs w:val="18"/>
          <w:color w:val="FF0000"/>
          <w:strike w:val="1"/>
        </w:rPr>
        <w:t>such country or territory is the subject of any</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Sanction. </w:t>
      </w:r>
      <w:r>
        <w:rPr>
          <w:rFonts w:ascii="Arial" w:cs="Arial" w:eastAsia="Arial" w:hAnsi="Arial"/>
          <w:sz w:val="18"/>
          <w:szCs w:val="18"/>
          <w:u w:val="single" w:color="auto"/>
          <w:color w:val="0000FF"/>
          <w:strike w:val="1"/>
        </w:rPr>
        <w:t>is subject to a comprehensive embargo by the United States Government or other applicable governmental authority.</w:t>
      </w: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9.02.</w:t>
      </w:r>
    </w:p>
    <w:p>
      <w:pPr>
        <w:spacing w:after="0" w:line="81" w:lineRule="exact"/>
        <w:rPr>
          <w:sz w:val="20"/>
          <w:szCs w:val="20"/>
          <w:color w:val="auto"/>
        </w:rPr>
      </w:pPr>
    </w:p>
    <w:p>
      <w:pPr>
        <w:ind w:right="180" w:firstLine="1297"/>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Discharge of Senior Credit Obligations</w:t>
      </w:r>
      <w:r>
        <w:rPr>
          <w:rFonts w:ascii="Arial" w:cs="Arial" w:eastAsia="Arial" w:hAnsi="Arial"/>
          <w:sz w:val="18"/>
          <w:szCs w:val="18"/>
          <w:color w:val="auto"/>
        </w:rPr>
        <w:t>” means (i) payment in full in cash of the principal of and interest (including interest accruing on or after the commencement of any Insolvency or Liquidation Proceeding, whether or not a claim for such interest is, or would be, allowed in such Insolvency or Liquidation Proceeding) and premium, if any, on all Indebtedness outstanding under the Loan Documents and termination of all commitments to lend or otherwise extend credit under the Loan Documents, (ii) payment in full in cash of all other Finance Obligations under the Loan Documents that are due and payable or otherwise accrued and owing at or prior to the time such principal and interest are paid (including legal fees and other expenses, costs or charges accruing on or after the commencement of any Insolvency or Liquidation Proceeding, whether or not a claim for such fees, expenses, costs or charges is, or would be, allowed in such Insolvency or Liquidation Proceeding), other than Cash Management Obligations and Swap Obligations not yet due and payable, and (iii) termination,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12" w:name="page213"/>
    <w:bookmarkEnd w:id="212"/>
    <w:p>
      <w:pPr>
        <w:spacing w:after="0"/>
        <w:rPr>
          <w:sz w:val="20"/>
          <w:szCs w:val="20"/>
          <w:color w:val="auto"/>
        </w:rPr>
      </w:pPr>
      <w:r>
        <w:rPr>
          <w:rFonts w:ascii="Arial" w:cs="Arial" w:eastAsia="Arial" w:hAnsi="Arial"/>
          <w:sz w:val="20"/>
          <w:szCs w:val="20"/>
          <w:color w:val="auto"/>
        </w:rPr>
        <w:t>cancellation or Cash Collateralization of all Letters of Credit issued or deemed issued under the Loan Documents.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 Prepayment Accepting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2.19(b)(ii)</w:t>
      </w:r>
      <w:r>
        <w:rPr>
          <w:rFonts w:ascii="Arial" w:cs="Arial" w:eastAsia="Arial" w:hAnsi="Arial"/>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 Range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2.19(c)(i)</w:t>
      </w:r>
      <w:r>
        <w:rPr>
          <w:rFonts w:ascii="Arial" w:cs="Arial" w:eastAsia="Arial" w:hAnsi="Arial"/>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 Range Prepayment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2.19(c)(i)</w:t>
      </w:r>
      <w:r>
        <w:rPr>
          <w:rFonts w:ascii="Arial" w:cs="Arial" w:eastAsia="Arial" w:hAnsi="Arial"/>
          <w:sz w:val="20"/>
          <w:szCs w:val="20"/>
          <w:color w:val="auto"/>
        </w:rPr>
        <w:t>.</w:t>
      </w:r>
    </w:p>
    <w:p>
      <w:pPr>
        <w:spacing w:after="0" w:line="175" w:lineRule="exact"/>
        <w:rPr>
          <w:sz w:val="20"/>
          <w:szCs w:val="20"/>
          <w:color w:val="auto"/>
        </w:rPr>
      </w:pPr>
    </w:p>
    <w:p>
      <w:pPr>
        <w:ind w:right="4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 Range Prepayment Notice</w:t>
      </w:r>
      <w:r>
        <w:rPr>
          <w:rFonts w:ascii="Arial" w:cs="Arial" w:eastAsia="Arial" w:hAnsi="Arial"/>
          <w:sz w:val="20"/>
          <w:szCs w:val="20"/>
          <w:color w:val="auto"/>
        </w:rPr>
        <w:t xml:space="preserve">” means a written notice of a Solicitation of Discount Range Prepayment Offers made pursuant to </w:t>
      </w:r>
      <w:r>
        <w:rPr>
          <w:rFonts w:ascii="Arial" w:cs="Arial" w:eastAsia="Arial" w:hAnsi="Arial"/>
          <w:sz w:val="20"/>
          <w:szCs w:val="20"/>
          <w:u w:val="single" w:color="auto"/>
          <w:color w:val="auto"/>
        </w:rPr>
        <w:t>Section 2.19(c)(i)</w:t>
      </w:r>
      <w:r>
        <w:rPr>
          <w:rFonts w:ascii="Arial" w:cs="Arial" w:eastAsia="Arial" w:hAnsi="Arial"/>
          <w:sz w:val="20"/>
          <w:szCs w:val="20"/>
          <w:color w:val="auto"/>
        </w:rPr>
        <w:t xml:space="preserve"> substantially in the form of </w:t>
      </w:r>
      <w:r>
        <w:rPr>
          <w:rFonts w:ascii="Arial" w:cs="Arial" w:eastAsia="Arial" w:hAnsi="Arial"/>
          <w:sz w:val="20"/>
          <w:szCs w:val="20"/>
          <w:u w:val="single" w:color="auto"/>
          <w:color w:val="auto"/>
        </w:rPr>
        <w:t>Exhibit N</w:t>
      </w:r>
      <w:r>
        <w:rPr>
          <w:rFonts w:ascii="Arial" w:cs="Arial" w:eastAsia="Arial" w:hAnsi="Arial"/>
          <w:sz w:val="20"/>
          <w:szCs w:val="20"/>
          <w:color w:val="auto"/>
        </w:rPr>
        <w:t xml:space="preserve"> hereto.</w:t>
      </w:r>
    </w:p>
    <w:p>
      <w:pPr>
        <w:spacing w:after="0" w:line="136"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Offer</w:t>
      </w:r>
      <w:r>
        <w:rPr>
          <w:rFonts w:ascii="Arial" w:cs="Arial" w:eastAsia="Arial" w:hAnsi="Arial"/>
          <w:sz w:val="18"/>
          <w:szCs w:val="18"/>
          <w:color w:val="auto"/>
        </w:rPr>
        <w:t xml:space="preserve">” means the irrevocable written offer by a Term Lender, substantially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hereto, submitted in response to an invitation to submit offers following the Auction Agent’s receipt of a Discount Range Prepayment Notice.</w:t>
      </w:r>
    </w:p>
    <w:p>
      <w:pPr>
        <w:spacing w:after="0" w:line="9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 Range Prepayment Response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2.19(c)(i)</w:t>
      </w:r>
      <w:r>
        <w:rPr>
          <w:rFonts w:ascii="Arial" w:cs="Arial" w:eastAsia="Arial" w:hAnsi="Arial"/>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 Range Proration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2.19(c)(iii)</w:t>
      </w:r>
      <w:r>
        <w:rPr>
          <w:rFonts w:ascii="Arial" w:cs="Arial" w:eastAsia="Arial" w:hAnsi="Arial"/>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Discounted Prepayment Determination Date</w:t>
      </w:r>
      <w:r>
        <w:rPr>
          <w:rFonts w:ascii="Arial" w:cs="Arial" w:eastAsia="Arial" w:hAnsi="Arial"/>
          <w:sz w:val="20"/>
          <w:szCs w:val="20"/>
          <w:color w:val="auto"/>
        </w:rPr>
        <w:t xml:space="preserve">” has the meaning specified </w:t>
      </w:r>
      <w:r>
        <w:rPr>
          <w:rFonts w:ascii="Arial" w:cs="Arial" w:eastAsia="Arial" w:hAnsi="Arial"/>
          <w:sz w:val="20"/>
          <w:szCs w:val="20"/>
          <w:u w:val="single" w:color="auto"/>
          <w:color w:val="auto"/>
        </w:rPr>
        <w:t>Section 2.19(d)(iii)</w:t>
      </w:r>
      <w:r>
        <w:rPr>
          <w:rFonts w:ascii="Arial" w:cs="Arial" w:eastAsia="Arial" w:hAnsi="Arial"/>
          <w:sz w:val="20"/>
          <w:szCs w:val="20"/>
          <w:color w:val="auto"/>
        </w:rPr>
        <w:t>.</w:t>
      </w:r>
    </w:p>
    <w:p>
      <w:pPr>
        <w:spacing w:after="0" w:line="175" w:lineRule="exact"/>
        <w:rPr>
          <w:sz w:val="20"/>
          <w:szCs w:val="20"/>
          <w:color w:val="auto"/>
        </w:rPr>
      </w:pPr>
    </w:p>
    <w:p>
      <w:pPr>
        <w:ind w:right="280"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Discounted Prepayment Effective Date</w:t>
      </w:r>
      <w:r>
        <w:rPr>
          <w:rFonts w:ascii="Arial" w:cs="Arial" w:eastAsia="Arial" w:hAnsi="Arial"/>
          <w:sz w:val="19"/>
          <w:szCs w:val="19"/>
          <w:color w:val="auto"/>
        </w:rPr>
        <w:t xml:space="preserve">” means in the case of an Offer of Specified Discount Prepayment, Solicitation of Discount Range Prepayment Offer or Solicitation of Discounted Prepayment Offer, five (5) Business Days following the receipt by each relevant Term Lender of notice from the Auction Agent in accordance with </w:t>
      </w:r>
      <w:r>
        <w:rPr>
          <w:rFonts w:ascii="Arial" w:cs="Arial" w:eastAsia="Arial" w:hAnsi="Arial"/>
          <w:sz w:val="19"/>
          <w:szCs w:val="19"/>
          <w:u w:val="single" w:color="auto"/>
          <w:color w:val="auto"/>
        </w:rPr>
        <w:t>Section 2.19(b)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2.19(c)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2.19(d)</w:t>
      </w:r>
      <w:r>
        <w:rPr>
          <w:rFonts w:ascii="Arial" w:cs="Arial" w:eastAsia="Arial" w:hAnsi="Arial"/>
          <w:sz w:val="19"/>
          <w:szCs w:val="19"/>
          <w:color w:val="auto"/>
        </w:rPr>
        <w:t>, as applicable unless a shorter period is agreed between Parent or any of its Subsidiaries and Auction Agent.</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Discounted Term Loan Prepayment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2.19(a)</w:t>
      </w:r>
      <w:r>
        <w:rPr>
          <w:rFonts w:ascii="Arial" w:cs="Arial" w:eastAsia="Arial" w:hAnsi="Arial"/>
          <w:sz w:val="20"/>
          <w:szCs w:val="20"/>
          <w:color w:val="auto"/>
        </w:rPr>
        <w:t>.</w:t>
      </w:r>
    </w:p>
    <w:p>
      <w:pPr>
        <w:spacing w:after="0" w:line="175" w:lineRule="exact"/>
        <w:rPr>
          <w:sz w:val="20"/>
          <w:szCs w:val="20"/>
          <w:color w:val="auto"/>
        </w:rPr>
      </w:pPr>
    </w:p>
    <w:p>
      <w:pPr>
        <w:jc w:val="both"/>
        <w:ind w:right="2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Disposition</w:t>
      </w:r>
      <w:r>
        <w:rPr>
          <w:rFonts w:ascii="Arial" w:cs="Arial" w:eastAsia="Arial" w:hAnsi="Arial"/>
          <w:sz w:val="16"/>
          <w:szCs w:val="16"/>
          <w:color w:val="auto"/>
        </w:rPr>
        <w:t>” means, with respect to any Person, a sale, transfer, lease, disposition or Exclusive License of any asset of such Person (including any such transaction effected by way of merger or consolidation and including any issuance of any of Equity Interests in a Subsidiary of such Person). “</w:t>
      </w:r>
      <w:r>
        <w:rPr>
          <w:rFonts w:ascii="Arial" w:cs="Arial" w:eastAsia="Arial" w:hAnsi="Arial"/>
          <w:sz w:val="16"/>
          <w:szCs w:val="16"/>
          <w:u w:val="single" w:color="auto"/>
          <w:color w:val="auto"/>
        </w:rPr>
        <w:t>Dispose</w:t>
      </w:r>
      <w:r>
        <w:rPr>
          <w:rFonts w:ascii="Arial" w:cs="Arial" w:eastAsia="Arial" w:hAnsi="Arial"/>
          <w:sz w:val="16"/>
          <w:szCs w:val="16"/>
          <w:color w:val="auto"/>
        </w:rPr>
        <w:t>” and “</w:t>
      </w:r>
      <w:r>
        <w:rPr>
          <w:rFonts w:ascii="Arial" w:cs="Arial" w:eastAsia="Arial" w:hAnsi="Arial"/>
          <w:sz w:val="16"/>
          <w:szCs w:val="16"/>
          <w:u w:val="single" w:color="auto"/>
          <w:color w:val="auto"/>
        </w:rPr>
        <w:t>Disposed</w:t>
      </w:r>
      <w:r>
        <w:rPr>
          <w:rFonts w:ascii="Arial" w:cs="Arial" w:eastAsia="Arial" w:hAnsi="Arial"/>
          <w:sz w:val="16"/>
          <w:szCs w:val="16"/>
          <w:color w:val="auto"/>
        </w:rPr>
        <w:t>,” as to any asset subject to the Disposition, shall have a corollary meaning.</w:t>
      </w:r>
    </w:p>
    <w:p>
      <w:pPr>
        <w:spacing w:after="0" w:line="78" w:lineRule="exact"/>
        <w:rPr>
          <w:sz w:val="20"/>
          <w:szCs w:val="20"/>
          <w:color w:val="auto"/>
        </w:rPr>
      </w:pPr>
    </w:p>
    <w:p>
      <w:pPr>
        <w:ind w:right="100"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Disposition Consideration</w:t>
      </w:r>
      <w:r>
        <w:rPr>
          <w:rFonts w:ascii="Arial" w:cs="Arial" w:eastAsia="Arial" w:hAnsi="Arial"/>
          <w:sz w:val="19"/>
          <w:szCs w:val="19"/>
          <w:color w:val="auto"/>
        </w:rPr>
        <w:t>” means (a) for any Disposition (other than an Exclusive License), the aggregate fair market value of any assets sold, transferred, leased or otherwise disposed of and (b) for any Exclusive License, the aggregate cash payment paid to Parent or any Restricted Subsidiary on or prior to the consummation of the Exclusive License (and which, for the avoidance of doubt, shall not include any royalty, earnout, contingent payment or any other deferred payment that may be payable thereafter).</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Disqualified Capital Stock</w:t>
      </w:r>
      <w:r>
        <w:rPr>
          <w:rFonts w:ascii="Arial" w:cs="Arial" w:eastAsia="Arial" w:hAnsi="Arial"/>
          <w:sz w:val="20"/>
          <w:szCs w:val="20"/>
          <w:color w:val="auto"/>
        </w:rPr>
        <w:t>” means any Equity Interest of any Person that is not Qualified Capital Stock.</w:t>
      </w:r>
    </w:p>
    <w:p>
      <w:pPr>
        <w:spacing w:after="0" w:line="175" w:lineRule="exact"/>
        <w:rPr>
          <w:sz w:val="20"/>
          <w:szCs w:val="20"/>
          <w:color w:val="auto"/>
        </w:rPr>
      </w:pPr>
    </w:p>
    <w:p>
      <w:pPr>
        <w:ind w:right="2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Disqualified Institution</w:t>
      </w:r>
      <w:r>
        <w:rPr>
          <w:rFonts w:ascii="Arial" w:cs="Arial" w:eastAsia="Arial" w:hAnsi="Arial"/>
          <w:sz w:val="20"/>
          <w:szCs w:val="20"/>
          <w:color w:val="auto"/>
        </w:rPr>
        <w:t>” means, on any date, (a) any Person designated by the Lead Borrower as a “Competitor” by written notice delivered to the Administrative Agent on or prior to the</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13" w:name="page214"/>
    <w:bookmarkEnd w:id="213"/>
    <w:p>
      <w:pPr>
        <w:ind w:right="40"/>
        <w:spacing w:after="0" w:line="243" w:lineRule="auto"/>
        <w:rPr>
          <w:sz w:val="20"/>
          <w:szCs w:val="20"/>
          <w:color w:val="auto"/>
        </w:rPr>
      </w:pPr>
      <w:r>
        <w:rPr>
          <w:rFonts w:ascii="Arial" w:cs="Arial" w:eastAsia="Arial" w:hAnsi="Arial"/>
          <w:sz w:val="20"/>
          <w:szCs w:val="20"/>
          <w:color w:val="FF0000"/>
          <w:strike w:val="1"/>
        </w:rPr>
        <w:t>date hereof</w:t>
      </w:r>
      <w:r>
        <w:rPr>
          <w:rFonts w:ascii="Arial" w:cs="Arial" w:eastAsia="Arial" w:hAnsi="Arial"/>
          <w:sz w:val="20"/>
          <w:szCs w:val="20"/>
          <w:u w:val="single" w:color="auto"/>
          <w:color w:val="0000FF"/>
        </w:rPr>
        <w:t>Closing Date</w:t>
      </w:r>
      <w:r>
        <w:rPr>
          <w:rFonts w:ascii="Arial" w:cs="Arial" w:eastAsia="Arial" w:hAnsi="Arial"/>
          <w:sz w:val="20"/>
          <w:szCs w:val="20"/>
          <w:color w:val="000000"/>
        </w:rPr>
        <w:t>, (b) any other Person that is a Competitor (or an Affiliate of a Competitor (other than a bona fide debt fund)), which</w:t>
      </w:r>
      <w:r>
        <w:rPr>
          <w:rFonts w:ascii="Arial" w:cs="Arial" w:eastAsia="Arial" w:hAnsi="Arial"/>
          <w:sz w:val="20"/>
          <w:szCs w:val="20"/>
          <w:color w:val="FF0000"/>
        </w:rPr>
        <w:t xml:space="preserve"> </w:t>
      </w:r>
      <w:r>
        <w:rPr>
          <w:rFonts w:ascii="Arial" w:cs="Arial" w:eastAsia="Arial" w:hAnsi="Arial"/>
          <w:sz w:val="20"/>
          <w:szCs w:val="20"/>
          <w:color w:val="000000"/>
        </w:rPr>
        <w:t xml:space="preserve">Person has been designated by the Lead Borrower as a “Disqualified Institution” by written notice to the Administrative Agent and the Lenders (including by posting such notice to the Platform) not less than 3 Business Days prior to such date;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Disqualified Institutions shall exclude any Person that the Lead Borrower has designated as no longer being a “Disqualified Institution” by written notice delivered to the Administrative Agent from time to time. The list of Disqualified Institutions shall be set forth on </w:t>
      </w:r>
      <w:r>
        <w:rPr>
          <w:rFonts w:ascii="Arial" w:cs="Arial" w:eastAsia="Arial" w:hAnsi="Arial"/>
          <w:sz w:val="20"/>
          <w:szCs w:val="20"/>
          <w:u w:val="single" w:color="auto"/>
          <w:color w:val="000000"/>
        </w:rPr>
        <w:t>Schedule 1.01(C)</w:t>
      </w:r>
      <w:r>
        <w:rPr>
          <w:rFonts w:ascii="Arial" w:cs="Arial" w:eastAsia="Arial" w:hAnsi="Arial"/>
          <w:sz w:val="20"/>
          <w:szCs w:val="20"/>
          <w:color w:val="000000"/>
        </w:rPr>
        <w:t xml:space="preserve"> and shall be made available to all Lenders at all times.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 of America.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Guarantor</w:t>
      </w:r>
      <w:r>
        <w:rPr>
          <w:rFonts w:ascii="Arial" w:cs="Arial" w:eastAsia="Arial" w:hAnsi="Arial"/>
          <w:sz w:val="20"/>
          <w:szCs w:val="20"/>
          <w:color w:val="auto"/>
        </w:rPr>
        <w:t>” means each Guarantor that is a Domestic Subsidiary.</w:t>
      </w:r>
    </w:p>
    <w:p>
      <w:pPr>
        <w:spacing w:after="0" w:line="216" w:lineRule="exact"/>
        <w:rPr>
          <w:sz w:val="20"/>
          <w:szCs w:val="20"/>
          <w:color w:val="auto"/>
        </w:rPr>
      </w:pPr>
    </w:p>
    <w:p>
      <w:pPr>
        <w:ind w:right="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with respect to any Person, each Subsidiary of such Person that is not a Foreign Subsidiary, and “Domestic Subsidiaries” means any two or more of them.</w:t>
      </w:r>
    </w:p>
    <w:p>
      <w:pPr>
        <w:spacing w:after="0" w:line="17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Drug Acquisition</w:t>
      </w:r>
      <w:r>
        <w:rPr>
          <w:rFonts w:ascii="Arial" w:cs="Arial" w:eastAsia="Arial" w:hAnsi="Arial"/>
          <w:sz w:val="20"/>
          <w:szCs w:val="20"/>
          <w:color w:val="auto"/>
        </w:rPr>
        <w:t>” means any acquisition (including any license or any acquisition of any license) solely or primarily of all or any portion of the rights in respect of one or more drugs or pharmaceutical products, whether in development or on market, and related property or assets, but not of Equity Interests in any Person or any operating business unit.</w:t>
      </w:r>
    </w:p>
    <w:p>
      <w:pPr>
        <w:spacing w:after="0" w:line="186" w:lineRule="exact"/>
        <w:rPr>
          <w:sz w:val="20"/>
          <w:szCs w:val="20"/>
          <w:color w:val="auto"/>
        </w:rPr>
      </w:pPr>
    </w:p>
    <w:p>
      <w:pPr>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ECB Banking Authorisation</w:t>
      </w:r>
      <w:r>
        <w:rPr>
          <w:rFonts w:ascii="Arial" w:cs="Arial" w:eastAsia="Arial" w:hAnsi="Arial"/>
          <w:sz w:val="20"/>
          <w:szCs w:val="20"/>
          <w:color w:val="auto"/>
        </w:rPr>
        <w:t>” means: (i) in the case of a licence issued under section 9 of the Central Bank Act 1971 of Ireland prior to 4 November 2014, such a licence which is deemed in accordance with the SSM Regulation to be an authorisation granted by the European Central Bank under the SSM Regulation; or (ii) in any other case, an authorisation granted under the SSM Regulation on the application therefor under section 9 of the Central Bank Act 1971 of Ireland.</w:t>
      </w:r>
    </w:p>
    <w:p>
      <w:pPr>
        <w:spacing w:after="0" w:line="192" w:lineRule="exact"/>
        <w:rPr>
          <w:sz w:val="20"/>
          <w:szCs w:val="20"/>
          <w:color w:val="auto"/>
        </w:rPr>
      </w:pPr>
    </w:p>
    <w:p>
      <w:pPr>
        <w:ind w:right="20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Economic Sanctions Laws</w:t>
      </w:r>
      <w:r>
        <w:rPr>
          <w:rFonts w:ascii="Arial" w:cs="Arial" w:eastAsia="Arial" w:hAnsi="Arial"/>
          <w:sz w:val="20"/>
          <w:szCs w:val="20"/>
          <w:color w:val="auto"/>
        </w:rPr>
        <w:t>” refers to applicable U.S. Laws regarding economic sanctions or embargoes including the International Emergency Economic Powers Act, 50 U.S.C. §§ 1701 et. seq., the Trading with the Enemy Act, 50 U.S.C. §§ 1 et. seq., and any regulations promulgated thereunder imposing economic sanctions or embargoes.</w:t>
      </w:r>
    </w:p>
    <w:p>
      <w:pPr>
        <w:spacing w:after="0" w:line="186"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EEA Financial Institution” means (a) any credit institution or investment firm established in any EEA Member Country which</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0000FF"/>
        </w:rPr>
        <w:t>“EEA Member Country” means any of the member states of the European Union, Iceland, Liechtenstein, and Norway.</w:t>
      </w:r>
    </w:p>
    <w:p>
      <w:pPr>
        <w:spacing w:after="0" w:line="227" w:lineRule="exact"/>
        <w:rPr>
          <w:sz w:val="20"/>
          <w:szCs w:val="20"/>
          <w:color w:val="auto"/>
        </w:rPr>
      </w:pPr>
    </w:p>
    <w:p>
      <w:pPr>
        <w:ind w:right="400" w:firstLine="1297"/>
        <w:spacing w:after="0" w:line="316" w:lineRule="auto"/>
        <w:rPr>
          <w:sz w:val="20"/>
          <w:szCs w:val="20"/>
          <w:color w:val="auto"/>
        </w:rPr>
      </w:pPr>
      <w:r>
        <w:rPr>
          <w:rFonts w:ascii="Arial" w:cs="Arial" w:eastAsia="Arial" w:hAnsi="Arial"/>
          <w:sz w:val="18"/>
          <w:szCs w:val="18"/>
          <w:u w:val="single" w:color="auto"/>
          <w:color w:val="0000FF"/>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130" w:lineRule="exact"/>
        <w:rPr>
          <w:sz w:val="20"/>
          <w:szCs w:val="20"/>
          <w:color w:val="auto"/>
        </w:rPr>
      </w:pPr>
    </w:p>
    <w:p>
      <w:pPr>
        <w:ind w:right="100" w:firstLine="1297"/>
        <w:spacing w:after="0" w:line="246"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u w:val="single" w:color="auto"/>
          <w:color w:val="000000"/>
        </w:rPr>
        <w:t>Eligible Assignee</w:t>
      </w:r>
      <w:r>
        <w:rPr>
          <w:rFonts w:ascii="Arial" w:cs="Arial" w:eastAsia="Arial" w:hAnsi="Arial"/>
          <w:sz w:val="20"/>
          <w:szCs w:val="20"/>
          <w:color w:val="000000"/>
        </w:rPr>
        <w:t>” means (i) a Lender, (ii) in the case of a Loan to an Irish Borrower, (A) an Affiliate of a Lender that is an</w:t>
      </w:r>
      <w:r>
        <w:rPr>
          <w:rFonts w:ascii="Arial" w:cs="Arial" w:eastAsia="Arial" w:hAnsi="Arial"/>
          <w:sz w:val="20"/>
          <w:szCs w:val="20"/>
          <w:color w:val="0000FF"/>
        </w:rPr>
        <w:t xml:space="preserve"> </w:t>
      </w:r>
      <w:r>
        <w:rPr>
          <w:rFonts w:ascii="Arial" w:cs="Arial" w:eastAsia="Arial" w:hAnsi="Arial"/>
          <w:sz w:val="20"/>
          <w:szCs w:val="20"/>
          <w:color w:val="000000"/>
        </w:rPr>
        <w:t>Approved Affiliate or (B) an Approved Fund that is an Approved Affiliate, (iii) in the case of a Loan to any Borrower other than an Irish Borrower, (A) an Affiliate of a Lender or (B) an Approved Fund, and (iv) any other Person (other than a natural Person (or a holding company, investment vehicle or trust for, or owned and operated for the primary benefit of a natural</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14" w:name="page215"/>
    <w:bookmarkEnd w:id="214"/>
    <w:p>
      <w:pPr>
        <w:ind w:right="60"/>
        <w:spacing w:after="0" w:line="274" w:lineRule="auto"/>
        <w:rPr>
          <w:sz w:val="20"/>
          <w:szCs w:val="20"/>
          <w:color w:val="auto"/>
        </w:rPr>
      </w:pPr>
      <w:r>
        <w:rPr>
          <w:rFonts w:ascii="Arial" w:cs="Arial" w:eastAsia="Arial" w:hAnsi="Arial"/>
          <w:sz w:val="18"/>
          <w:szCs w:val="18"/>
          <w:color w:val="auto"/>
        </w:rPr>
        <w:t xml:space="preserve">person)) approved by, solely in the case of this clause (iv), the Administrative Agent (and, in the case of any assignment of a Revolving Commitment, the L/C Issuer and the Swing Line Lender) and unless an Event of Default has occurred and is continuing, the applicable Borrower (each such approval not to be unreasonably withheld or delayed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Borrower consent that is required, the applicable Borrower shall be deemed to have consented to any such assignment unless it shall object thereto by written notice to the Administrative Agent within five (5) Business Days after the applicable Borrower has received notice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(but, for the avoidance of doubt, subject to the provisions of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“Eligible Assignee” shall not include Parent or any of Parent’s Subsidiaries. For the avoidance of doubt, any Disqualified Institution is subject to </w:t>
      </w:r>
      <w:r>
        <w:rPr>
          <w:rFonts w:ascii="Arial" w:cs="Arial" w:eastAsia="Arial" w:hAnsi="Arial"/>
          <w:sz w:val="18"/>
          <w:szCs w:val="18"/>
          <w:u w:val="single" w:color="auto"/>
          <w:color w:val="auto"/>
        </w:rPr>
        <w:t>Section 10.06(h)</w:t>
      </w:r>
      <w:r>
        <w:rPr>
          <w:rFonts w:ascii="Arial" w:cs="Arial" w:eastAsia="Arial" w:hAnsi="Arial"/>
          <w:sz w:val="18"/>
          <w:szCs w:val="18"/>
          <w:color w:val="auto"/>
        </w:rPr>
        <w:t>.</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Embargoed Person</w:t>
      </w:r>
      <w:r>
        <w:rPr>
          <w:rFonts w:ascii="Arial" w:cs="Arial" w:eastAsia="Arial" w:hAnsi="Arial"/>
          <w:sz w:val="20"/>
          <w:szCs w:val="20"/>
          <w:color w:val="auto"/>
        </w:rPr>
        <w:t xml:space="preserve">” has the meaning specified </w:t>
      </w:r>
      <w:r>
        <w:rPr>
          <w:rFonts w:ascii="Arial" w:cs="Arial" w:eastAsia="Arial" w:hAnsi="Arial"/>
          <w:sz w:val="20"/>
          <w:szCs w:val="20"/>
          <w:u w:val="single" w:color="auto"/>
          <w:color w:val="auto"/>
        </w:rPr>
        <w:t>Section 5.21(b).</w:t>
      </w:r>
    </w:p>
    <w:p>
      <w:pPr>
        <w:spacing w:after="0" w:line="216" w:lineRule="exact"/>
        <w:rPr>
          <w:sz w:val="20"/>
          <w:szCs w:val="20"/>
          <w:color w:val="auto"/>
        </w:rPr>
      </w:pPr>
    </w:p>
    <w:p>
      <w:pPr>
        <w:ind w:right="80"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 Benefit Arrangements</w:t>
      </w:r>
      <w:r>
        <w:rPr>
          <w:rFonts w:ascii="Arial" w:cs="Arial" w:eastAsia="Arial" w:hAnsi="Arial"/>
          <w:sz w:val="20"/>
          <w:szCs w:val="20"/>
          <w:color w:val="auto"/>
        </w:rPr>
        <w:t>” means in any jurisdiction the benefit schemes or arrangements in respect of any employees or past employees operated, maintained or contributed to by Parent or any of its Restricted Subsidiaries or in which Parent or any of its Restricted Subsidiaries participates and which provide benefits on retirement, ill-health, injury, death or voluntary withdrawal from or termination of employment, including termination indemnity payments and life assurance and post-retirement medical benefits, other than Plans.</w:t>
      </w:r>
    </w:p>
    <w:p>
      <w:pPr>
        <w:spacing w:after="0" w:line="195"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w:t>
      </w:r>
      <w:r>
        <w:rPr>
          <w:rFonts w:ascii="Arial" w:cs="Arial" w:eastAsia="Arial" w:hAnsi="Arial"/>
          <w:sz w:val="20"/>
          <w:szCs w:val="20"/>
          <w:color w:val="auto"/>
        </w:rPr>
        <w:t>” means ambient air, indoor air, surface water, groundwater, land and subsurface strata and natural resources such as wetlands, flora and fauna.</w:t>
      </w:r>
    </w:p>
    <w:p>
      <w:pPr>
        <w:spacing w:after="0" w:line="177" w:lineRule="exact"/>
        <w:rPr>
          <w:sz w:val="20"/>
          <w:szCs w:val="20"/>
          <w:color w:val="auto"/>
        </w:rPr>
      </w:pPr>
    </w:p>
    <w:p>
      <w:pPr>
        <w:ind w:right="64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all Laws, Environmental Permits or governmental restrictions relating to pollution or the protection of the Environment, including those relating to the generation, use, transportation, distribution, storage, treatment, disposal, presence, Release or threat of Release of any Hazardous Materials.</w:t>
      </w:r>
    </w:p>
    <w:p>
      <w:pPr>
        <w:spacing w:after="0" w:line="186" w:lineRule="exact"/>
        <w:rPr>
          <w:sz w:val="20"/>
          <w:szCs w:val="20"/>
          <w:color w:val="auto"/>
        </w:rPr>
      </w:pPr>
    </w:p>
    <w:p>
      <w:pPr>
        <w:ind w:right="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of Parent or any of its Restricted Subsidiaries resulting from or based on (i) violation of any Environmental Law, (ii) the generation, use, handling, transportation, storage or treatment of any Hazardous Material, (iii) exposure to any Hazardous Material, (iv) the presence, Release or threatened Release of any Hazardous Material into the Environment or (v) any contract or agreement pursuant to which liability is assumed or imposed with respect to any of the foregoing.</w:t>
      </w:r>
    </w:p>
    <w:p>
      <w:pPr>
        <w:spacing w:after="0" w:line="162" w:lineRule="exact"/>
        <w:rPr>
          <w:sz w:val="20"/>
          <w:szCs w:val="20"/>
          <w:color w:val="auto"/>
        </w:rPr>
      </w:pPr>
    </w:p>
    <w:p>
      <w:pPr>
        <w:ind w:right="9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w:t>
      </w:r>
      <w:r>
        <w:rPr>
          <w:rFonts w:ascii="Arial" w:cs="Arial" w:eastAsia="Arial" w:hAnsi="Arial"/>
          <w:sz w:val="20"/>
          <w:szCs w:val="20"/>
          <w:color w:val="auto"/>
        </w:rPr>
        <w:t>” means any permit, license, approval, registration, notification, exemption, consent or other authorization required by or from a Governmental Authority under Environmental Law.</w:t>
      </w:r>
    </w:p>
    <w:p>
      <w:pPr>
        <w:spacing w:after="0" w:line="177" w:lineRule="exact"/>
        <w:rPr>
          <w:sz w:val="20"/>
          <w:szCs w:val="20"/>
          <w:color w:val="auto"/>
        </w:rPr>
      </w:pPr>
    </w:p>
    <w:p>
      <w:pPr>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Equivalents</w:t>
      </w:r>
      <w:r>
        <w:rPr>
          <w:rFonts w:ascii="Arial" w:cs="Arial" w:eastAsia="Arial" w:hAnsi="Arial"/>
          <w:sz w:val="20"/>
          <w:szCs w:val="20"/>
          <w:color w:val="auto"/>
        </w:rPr>
        <w:t>” means with respect to any Person any rights, warrants, options, convertible securities, exchangeable securities, indebtedness or other rights, in each case exercisable for or convertible into or exchangeable for, directly or indirectly, Equity Interests of such Person or securities exercisable for or convertible into or exchangeable for Equity Interests of such Person, whether at the time of issuance or upon the passage of time or the occurrence of some future event, but excluding any Indebtedness convertible into or exchangeable for Equity Interests.</w:t>
      </w:r>
    </w:p>
    <w:p>
      <w:pPr>
        <w:spacing w:after="0" w:line="195" w:lineRule="exact"/>
        <w:rPr>
          <w:sz w:val="20"/>
          <w:szCs w:val="20"/>
          <w:color w:val="auto"/>
        </w:rPr>
      </w:pPr>
    </w:p>
    <w:p>
      <w:pPr>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all shares of capital stock, partnership interests (whether general or limited), limited liability company membership interests, beneficial interests in a trust and any other interest or participation that confers on a Person the right to receive a share of profits or losses, or distributions of assets, of an issuing Person, but excluding any Indebtedness convertible into or exchangeable for such Equity Interests.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15" w:name="page216"/>
    <w:bookmarkEnd w:id="21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the rules and regulation promulgated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thereunder.</w:t>
      </w:r>
    </w:p>
    <w:p>
      <w:pPr>
        <w:spacing w:after="0" w:line="200" w:lineRule="exact"/>
        <w:rPr>
          <w:sz w:val="20"/>
          <w:szCs w:val="20"/>
          <w:color w:val="auto"/>
        </w:rPr>
      </w:pPr>
    </w:p>
    <w:p>
      <w:pPr>
        <w:ind w:right="40"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each entity that is a member of a “controlled group of corporations,” under “common control” or an “affiliated service group” with Parent or any of its Restricted Subsidiaries within the meaning of Section 414(b), (c) or (m) of the Code, or required to be aggregated with Parent or any of its Restricted Subsidiaries under Section 414(o) of the Code or is under “common control” with Parent or any of its Restricted Subsidiaries, within the meaning of Section 4001(a)(14) of ERISA.</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Event</w:t>
      </w:r>
      <w:r>
        <w:rPr>
          <w:rFonts w:ascii="Arial" w:cs="Arial" w:eastAsia="Arial" w:hAnsi="Arial"/>
          <w:sz w:val="20"/>
          <w:szCs w:val="20"/>
          <w:color w:val="auto"/>
        </w:rPr>
        <w:t>” means:</w:t>
      </w:r>
    </w:p>
    <w:p>
      <w:pPr>
        <w:spacing w:after="0" w:line="229" w:lineRule="exact"/>
        <w:rPr>
          <w:sz w:val="20"/>
          <w:szCs w:val="20"/>
          <w:color w:val="auto"/>
        </w:rPr>
      </w:pPr>
    </w:p>
    <w:p>
      <w:pPr>
        <w:ind w:left="660" w:firstLine="645"/>
        <w:spacing w:after="0" w:line="278" w:lineRule="auto"/>
        <w:tabs>
          <w:tab w:leader="none" w:pos="214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 reportable event as defined in Section 4043 of ERISA and the regulations issued under such Section with respect to a Plan, excluding, however, such events as to which the PBGC by regulation has waived the requirement of Section 4043(a) of ERISA that it be notified within 30 days of the occurrence of such event;</w:t>
      </w:r>
    </w:p>
    <w:p>
      <w:pPr>
        <w:spacing w:after="0" w:line="146" w:lineRule="exact"/>
        <w:rPr>
          <w:rFonts w:ascii="Arial" w:cs="Arial" w:eastAsia="Arial" w:hAnsi="Arial"/>
          <w:sz w:val="20"/>
          <w:szCs w:val="20"/>
          <w:color w:val="auto"/>
        </w:rPr>
      </w:pPr>
    </w:p>
    <w:p>
      <w:pPr>
        <w:ind w:left="660" w:right="260" w:firstLine="645"/>
        <w:spacing w:after="0" w:line="278" w:lineRule="auto"/>
        <w:tabs>
          <w:tab w:leader="none" w:pos="2198"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requirements of Section 4043(b) of ERISA apply with respect to a contributing sponsor, as defined in Section 4001(a)(13) of ERISA, of any Plan, and an event described in paragraph (9), (10), (11), (12) or (13) of Section 4043(c) of ERISA is reasonably expected to occur with respect to such Plan within the following 30 days;</w:t>
      </w:r>
    </w:p>
    <w:p>
      <w:pPr>
        <w:spacing w:after="0" w:line="146" w:lineRule="exact"/>
        <w:rPr>
          <w:rFonts w:ascii="Arial" w:cs="Arial" w:eastAsia="Arial" w:hAnsi="Arial"/>
          <w:sz w:val="20"/>
          <w:szCs w:val="20"/>
          <w:color w:val="auto"/>
        </w:rPr>
      </w:pPr>
    </w:p>
    <w:p>
      <w:pPr>
        <w:ind w:left="660" w:right="80" w:firstLine="645"/>
        <w:spacing w:after="0" w:line="271" w:lineRule="auto"/>
        <w:tabs>
          <w:tab w:leader="none" w:pos="225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failure to meet the minimum funding standard of Section 412 of the Code with respect to any Plan (whether or not waived in accordance with Section 412 of the Code), the application for a minimum funding waiver under Section 303 of ERISA with respect to any Plan (or, after the effective date of the Pension Protection Act of 2006, Section 302(c) of ERISA), the failure to make by its due date a required installment under Section 412(m) of the Code (or Section 430(j) of the Code, as amended by the Pension Protection Act of 2006) with respect to any Plan or the failure to make any required contribution to a Multiemployer Plan, the determination that any Plan is, or is expected to be, in “at-risk” status (as defined in Section 303(i)(4) of ERISA or Section 430(i)(4) of the Code);</w:t>
      </w:r>
    </w:p>
    <w:p>
      <w:pPr>
        <w:spacing w:after="0" w:line="153" w:lineRule="exact"/>
        <w:rPr>
          <w:rFonts w:ascii="Arial" w:cs="Arial" w:eastAsia="Arial" w:hAnsi="Arial"/>
          <w:sz w:val="20"/>
          <w:szCs w:val="20"/>
          <w:color w:val="auto"/>
        </w:rPr>
      </w:pPr>
    </w:p>
    <w:p>
      <w:pPr>
        <w:ind w:left="660" w:right="80" w:firstLine="645"/>
        <w:spacing w:after="0" w:line="286" w:lineRule="auto"/>
        <w:tabs>
          <w:tab w:leader="none" w:pos="2242"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 the incurrence of any liability by Parent or any of its Restricted Subsidiaries pursuant to Title I of ERISA or to the penalty or excise tax provisions of the Code relating to employee benefit plans (as defined in Section 3 of ERISA), or the occurrence or existence of any event, transaction or condition that could reasonably be expected to result in the incurrence of any such liability by Parent or any of its Restricted Subsidiaries pursuant to Title I of ERISA or to such penalty or excise tax provisions of the Code; or (B) the incurrence of any liability by Parent or any of its Restricted Subsidiaries or an ERISA Affiliate pursuant to Title IV of ERISA or the occurrence or existence of any event, transaction or condition that could reasonably be expected to result in the incurrence of any such liability or imposition of any lien on any of the rights, properties or assets of Parent or any of its Restricted Subsidiaries or any ERISA Affiliate pursuant to Title IV of ERISA or to Section 412 of the Code;</w:t>
      </w:r>
    </w:p>
    <w:p>
      <w:pPr>
        <w:spacing w:after="0" w:line="145" w:lineRule="exact"/>
        <w:rPr>
          <w:rFonts w:ascii="Arial" w:cs="Arial" w:eastAsia="Arial" w:hAnsi="Arial"/>
          <w:sz w:val="19"/>
          <w:szCs w:val="19"/>
          <w:color w:val="auto"/>
        </w:rPr>
      </w:pPr>
    </w:p>
    <w:p>
      <w:pPr>
        <w:ind w:left="660" w:right="60" w:firstLine="645"/>
        <w:spacing w:after="0" w:line="273" w:lineRule="auto"/>
        <w:tabs>
          <w:tab w:leader="none" w:pos="2187"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provision by the administrator of any Plan of a notice pursuant to Section 4041(a)(2) of ERISA (or the reasonable expectation of such provision of notice) of intent to terminate such Plan in a distress termination described in Section 4041(c) of ERISA, the institution by the PBGC of proceedings to terminate any Plan or the occurrence of any event or condition which could reasonably be expected to constitute grounds under ERISA for the termination of a Plan by the PBGC, or the appointment of a trustee by the PBGC to administer any Plan;</w:t>
      </w:r>
    </w:p>
    <w:p>
      <w:pPr>
        <w:spacing w:after="0" w:line="200" w:lineRule="exact"/>
        <w:rPr>
          <w:rFonts w:ascii="Arial" w:cs="Arial" w:eastAsia="Arial" w:hAnsi="Arial"/>
          <w:sz w:val="20"/>
          <w:szCs w:val="20"/>
          <w:color w:val="auto"/>
        </w:rPr>
      </w:pPr>
    </w:p>
    <w:p>
      <w:pPr>
        <w:spacing w:after="0" w:line="396" w:lineRule="exact"/>
        <w:rPr>
          <w:rFonts w:ascii="Arial" w:cs="Arial" w:eastAsia="Arial" w:hAnsi="Arial"/>
          <w:sz w:val="20"/>
          <w:szCs w:val="20"/>
          <w:color w:val="auto"/>
        </w:rPr>
      </w:pPr>
    </w:p>
    <w:p>
      <w:pPr>
        <w:ind w:left="5620" w:hanging="120"/>
        <w:spacing w:after="0"/>
        <w:tabs>
          <w:tab w:leader="none" w:pos="562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16" w:name="page217"/>
    <w:bookmarkEnd w:id="216"/>
    <w:p>
      <w:pPr>
        <w:ind w:left="660" w:right="20" w:firstLine="645"/>
        <w:spacing w:after="0" w:line="272" w:lineRule="auto"/>
        <w:tabs>
          <w:tab w:leader="none" w:pos="2242"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withdrawal of Parent or any of its Restricted Subsidiaries or ERISA Affiliate in a complete or partial withdrawal (within the meaning of Section 4203 and 4205 of ERISA) from any Multiemployer Plan if there is any potential liability therefor, or the receipt by Parent or any of its Restricted Subsidiaries or ERISA Affiliate of notice from any Multiemployer Plan that it is in reorganization or insolvency pursuant to Section 4241 or 4245 of ERISA or is in “endangered” or “critical” status (within the meaning of Section 432 of the Code or Section 305 of ERISA), or that it intends to terminate or has terminated under Section 4041A or 4042 of ERISA;</w:t>
      </w:r>
    </w:p>
    <w:p>
      <w:pPr>
        <w:spacing w:after="0" w:line="151" w:lineRule="exact"/>
        <w:rPr>
          <w:rFonts w:ascii="Arial" w:cs="Arial" w:eastAsia="Arial" w:hAnsi="Arial"/>
          <w:sz w:val="20"/>
          <w:szCs w:val="20"/>
          <w:color w:val="auto"/>
        </w:rPr>
      </w:pPr>
    </w:p>
    <w:p>
      <w:pPr>
        <w:jc w:val="both"/>
        <w:ind w:left="660" w:right="80" w:firstLine="645"/>
        <w:spacing w:after="0" w:line="347" w:lineRule="auto"/>
        <w:tabs>
          <w:tab w:leader="none" w:pos="229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imposition of liability (or the reasonable expectation thereof) on Parent or any of its Restricted Subsidiaries or ERISA Affiliate pursuant to Section 4062, 4063, 4064 or 4069 of ERISA or by reason of the application of Section 4212(c) of ERISA;</w:t>
      </w:r>
    </w:p>
    <w:p>
      <w:pPr>
        <w:spacing w:after="0" w:line="90" w:lineRule="exact"/>
        <w:rPr>
          <w:rFonts w:ascii="Arial" w:cs="Arial" w:eastAsia="Arial" w:hAnsi="Arial"/>
          <w:sz w:val="18"/>
          <w:szCs w:val="18"/>
          <w:color w:val="auto"/>
        </w:rPr>
      </w:pPr>
    </w:p>
    <w:p>
      <w:pPr>
        <w:ind w:left="660" w:firstLine="645"/>
        <w:spacing w:after="0" w:line="278" w:lineRule="auto"/>
        <w:tabs>
          <w:tab w:leader="none" w:pos="2352"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assertion of a claim (other than routine claims for benefits) against any Plan (other than a Multiemployer Plan) or the assets thereof, or against Parent or any of its Restricted Subsidiaries or, with respect to a Plan subject to Title IV of ERISA, an ERISA Affiliate, in connection with any Plan;</w:t>
      </w:r>
    </w:p>
    <w:p>
      <w:pPr>
        <w:spacing w:after="0" w:line="146" w:lineRule="exact"/>
        <w:rPr>
          <w:rFonts w:ascii="Arial" w:cs="Arial" w:eastAsia="Arial" w:hAnsi="Arial"/>
          <w:sz w:val="20"/>
          <w:szCs w:val="20"/>
          <w:color w:val="auto"/>
        </w:rPr>
      </w:pPr>
    </w:p>
    <w:p>
      <w:pPr>
        <w:ind w:left="660" w:right="20" w:firstLine="645"/>
        <w:spacing w:after="0" w:line="274" w:lineRule="auto"/>
        <w:tabs>
          <w:tab w:leader="none" w:pos="2242"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receipt by Parent or any of its Restricted Subsidiaries from the United States Internal Revenue Service of notice of (x) the failure of any Plan (or any Employee Benefit Arrangement intended to be qualified under Section 401(a) of the Code) to qualify under Section 401 (a) of the Code, or (y) the failure of any trust forming part of any Plan or Employee Benefit Arrangement to qualify for exemption from taxation under Section 501(a) of the Code; and</w:t>
      </w:r>
    </w:p>
    <w:p>
      <w:pPr>
        <w:spacing w:after="0" w:line="151" w:lineRule="exact"/>
        <w:rPr>
          <w:rFonts w:ascii="Arial" w:cs="Arial" w:eastAsia="Arial" w:hAnsi="Arial"/>
          <w:sz w:val="20"/>
          <w:szCs w:val="20"/>
          <w:color w:val="auto"/>
        </w:rPr>
      </w:pPr>
    </w:p>
    <w:p>
      <w:pPr>
        <w:ind w:left="660" w:right="280" w:firstLine="645"/>
        <w:spacing w:after="0" w:line="289" w:lineRule="auto"/>
        <w:tabs>
          <w:tab w:leader="none" w:pos="2187"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establishment or amendment by Parent or any of its Restricted Subsidiaries of any Welfare Plan that provides post-employment welfare benefits other than as may be required under applicable law.</w:t>
      </w:r>
    </w:p>
    <w:p>
      <w:pPr>
        <w:spacing w:after="0" w:line="121" w:lineRule="exact"/>
        <w:rPr>
          <w:sz w:val="20"/>
          <w:szCs w:val="20"/>
          <w:color w:val="auto"/>
        </w:rPr>
      </w:pPr>
    </w:p>
    <w:p>
      <w:pPr>
        <w:ind w:right="140" w:firstLine="1297"/>
        <w:spacing w:after="0" w:line="260" w:lineRule="auto"/>
        <w:rPr>
          <w:sz w:val="20"/>
          <w:szCs w:val="20"/>
          <w:color w:val="auto"/>
        </w:rPr>
      </w:pPr>
      <w:r>
        <w:rPr>
          <w:rFonts w:ascii="Arial" w:cs="Arial" w:eastAsia="Arial" w:hAnsi="Arial"/>
          <w:sz w:val="20"/>
          <w:szCs w:val="20"/>
          <w:u w:val="single" w:color="auto"/>
          <w:color w:val="0000FF"/>
        </w:rPr>
        <w:t>“EU Bail-In Legislation Schedule” means the EU Bail-In Legislation Schedule published by the Loan Market Association (or any successor person), as in effect from time to time.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Loan</w:t>
      </w:r>
      <w:r>
        <w:rPr>
          <w:rFonts w:ascii="Arial" w:cs="Arial" w:eastAsia="Arial" w:hAnsi="Arial"/>
          <w:sz w:val="20"/>
          <w:szCs w:val="20"/>
          <w:color w:val="auto"/>
        </w:rPr>
        <w:t>” means at any date a Loan which bears interest at a rate based on the Adjusted Eurodollar Rate.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w:t>
      </w:r>
      <w:r>
        <w:rPr>
          <w:rFonts w:ascii="Arial" w:cs="Arial" w:eastAsia="Arial" w:hAnsi="Arial"/>
          <w:sz w:val="20"/>
          <w:szCs w:val="20"/>
          <w:color w:val="auto"/>
        </w:rPr>
        <w:t>” means:</w:t>
      </w:r>
    </w:p>
    <w:p>
      <w:pPr>
        <w:spacing w:after="0" w:line="229" w:lineRule="exact"/>
        <w:rPr>
          <w:sz w:val="20"/>
          <w:szCs w:val="20"/>
          <w:color w:val="auto"/>
        </w:rPr>
      </w:pPr>
    </w:p>
    <w:p>
      <w:pPr>
        <w:ind w:right="60" w:firstLine="1305"/>
        <w:spacing w:after="0" w:line="288" w:lineRule="auto"/>
        <w:tabs>
          <w:tab w:leader="none" w:pos="216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for any Interest Period with respect to a Eurodollar Loan, the rate per annum equal to the London Interbank Offered Rate (“</w:t>
      </w:r>
      <w:r>
        <w:rPr>
          <w:rFonts w:ascii="Arial" w:cs="Arial" w:eastAsia="Arial" w:hAnsi="Arial"/>
          <w:sz w:val="19"/>
          <w:szCs w:val="19"/>
          <w:u w:val="single" w:color="auto"/>
          <w:color w:val="auto"/>
        </w:rPr>
        <w:t>LIBOR</w:t>
      </w:r>
      <w:r>
        <w:rPr>
          <w:rFonts w:ascii="Arial" w:cs="Arial" w:eastAsia="Arial" w:hAnsi="Arial"/>
          <w:sz w:val="19"/>
          <w:szCs w:val="19"/>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and if the Eurodollar Rate shall be less than zero, such rate shall be deemed zero for purposes of this Agreement; and;</w:t>
      </w:r>
    </w:p>
    <w:p>
      <w:pPr>
        <w:spacing w:after="0" w:line="182" w:lineRule="exact"/>
        <w:rPr>
          <w:rFonts w:ascii="Arial" w:cs="Arial" w:eastAsia="Arial" w:hAnsi="Arial"/>
          <w:sz w:val="19"/>
          <w:szCs w:val="19"/>
          <w:color w:val="auto"/>
        </w:rPr>
      </w:pPr>
    </w:p>
    <w:p>
      <w:pPr>
        <w:ind w:right="120" w:firstLine="1305"/>
        <w:spacing w:after="0" w:line="278" w:lineRule="auto"/>
        <w:tabs>
          <w:tab w:leader="none" w:pos="2175" w:val="left"/>
        </w:tabs>
        <w:numPr>
          <w:ilvl w:val="0"/>
          <w:numId w:val="141"/>
        </w:numPr>
        <w:rPr>
          <w:rFonts w:ascii="Arial" w:cs="Arial" w:eastAsia="Arial" w:hAnsi="Arial"/>
          <w:sz w:val="20"/>
          <w:szCs w:val="20"/>
          <w:color w:val="auto"/>
        </w:rPr>
      </w:pPr>
      <w:r>
        <w:rPr>
          <w:rFonts w:ascii="Arial" w:cs="Arial" w:eastAsia="Arial" w:hAnsi="Arial"/>
          <w:sz w:val="20"/>
          <w:szCs w:val="20"/>
          <w:color w:val="auto"/>
        </w:rPr>
        <w:t>for any interest calculation with respect to a Base Rate Loan on any date, the rate per annum equal to LIBOR, at or about 11:00 A.M., London time determined two Business Days prior to such date for U.S. Dollar deposits with a term of one month commencing that day;</w:t>
      </w:r>
    </w:p>
    <w:p>
      <w:pPr>
        <w:spacing w:after="0" w:line="173"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a comparable or successor rate is approved by the Administrative Agent in connection herewith, the approved rate shall be applied in a manner consistent with market practice;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79" w:right="259" w:bottom="1440" w:gutter="0" w:footer="0" w:header="0"/>
        </w:sectPr>
      </w:pPr>
    </w:p>
    <w:bookmarkStart w:id="217" w:name="page218"/>
    <w:bookmarkEnd w:id="217"/>
    <w:p>
      <w:pPr>
        <w:ind w:right="120"/>
        <w:spacing w:after="0" w:line="260" w:lineRule="auto"/>
        <w:rPr>
          <w:sz w:val="20"/>
          <w:szCs w:val="20"/>
          <w:color w:val="auto"/>
        </w:rPr>
      </w:pPr>
      <w:r>
        <w:rPr>
          <w:rFonts w:ascii="Arial" w:cs="Arial" w:eastAsia="Arial" w:hAnsi="Arial"/>
          <w:sz w:val="20"/>
          <w:szCs w:val="20"/>
          <w:color w:val="auto"/>
        </w:rPr>
        <w:t>provided, further that to the extent such market practice is not administratively feasible for the Administrative Agent, such approved rate shall be applied in a manner as otherwise reasonably determined by the Administrative Agent.</w:t>
      </w:r>
    </w:p>
    <w:p>
      <w:pPr>
        <w:spacing w:after="0" w:line="177" w:lineRule="exact"/>
        <w:rPr>
          <w:sz w:val="20"/>
          <w:szCs w:val="20"/>
          <w:color w:val="auto"/>
        </w:rPr>
      </w:pPr>
    </w:p>
    <w:p>
      <w:pPr>
        <w:ind w:firstLine="129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Reserve Percentage</w:t>
      </w:r>
      <w:r>
        <w:rPr>
          <w:rFonts w:ascii="Arial" w:cs="Arial" w:eastAsia="Arial" w:hAnsi="Arial"/>
          <w:sz w:val="19"/>
          <w:szCs w:val="19"/>
          <w:color w:val="auto"/>
        </w:rPr>
        <w:t>” means for any day during any Interest Period, the reserve percentage (expressed as a decimal, carried out to five decimal places) in effect on such day, whether or not applicable to any Lender, under regulations issued from time to time by the Board of Governors of the Federal Reserve System (or any other entity succeeding to the functions currently performed thereby) for determining the maximum reserve requirement (including any emergency, supplemental or other marginal reserve requirement) with respect to eurodollar funding. The Adjusted Eurodollar Rate for each outstanding Eurodollar Loan shall be adjusted automatically on and as of the effective date of any change in the Eurodollar Reserve Percentage.</w:t>
      </w:r>
    </w:p>
    <w:p>
      <w:pPr>
        <w:spacing w:after="0" w:line="179" w:lineRule="exact"/>
        <w:rPr>
          <w:sz w:val="20"/>
          <w:szCs w:val="20"/>
          <w:color w:val="auto"/>
        </w:rPr>
      </w:pPr>
    </w:p>
    <w:p>
      <w:pPr>
        <w:ind w:right="1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EUSA Pharma (Luxembourg) Account Pledge Agreement</w:t>
      </w:r>
      <w:r>
        <w:rPr>
          <w:rFonts w:ascii="Arial" w:cs="Arial" w:eastAsia="Arial" w:hAnsi="Arial"/>
          <w:sz w:val="20"/>
          <w:szCs w:val="20"/>
          <w:color w:val="auto"/>
        </w:rPr>
        <w:t>” means the Luxembourg law governed account pledge agreement entered into between EUSA Pharma (Luxembourg) S.à r.l. and the Collateral Agent.</w:t>
      </w:r>
    </w:p>
    <w:p>
      <w:pPr>
        <w:spacing w:after="0" w:line="177" w:lineRule="exact"/>
        <w:rPr>
          <w:sz w:val="20"/>
          <w:szCs w:val="20"/>
          <w:color w:val="auto"/>
        </w:rPr>
      </w:pPr>
    </w:p>
    <w:p>
      <w:pPr>
        <w:ind w:right="560"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EUSA Pharma (Luxembourg) Share Pledge Agreement</w:t>
      </w:r>
      <w:r>
        <w:rPr>
          <w:rFonts w:ascii="Arial" w:cs="Arial" w:eastAsia="Arial" w:hAnsi="Arial"/>
          <w:sz w:val="18"/>
          <w:szCs w:val="18"/>
          <w:color w:val="auto"/>
        </w:rPr>
        <w:t>” means the Luxembourg law governed share pledge agreement entered into between the EUSA Pharma International Limited, the Collateral Agent and EUSA Pharma (Luxembourg) S.à r.l.</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Excess Cash Flow</w:t>
      </w:r>
      <w:r>
        <w:rPr>
          <w:rFonts w:ascii="Arial" w:cs="Arial" w:eastAsia="Arial" w:hAnsi="Arial"/>
          <w:sz w:val="20"/>
          <w:szCs w:val="20"/>
          <w:color w:val="auto"/>
        </w:rPr>
        <w:t>” means, for any period, without duplication:</w:t>
      </w:r>
    </w:p>
    <w:p>
      <w:pPr>
        <w:spacing w:after="0" w:line="229" w:lineRule="exact"/>
        <w:rPr>
          <w:sz w:val="20"/>
          <w:szCs w:val="20"/>
          <w:color w:val="auto"/>
        </w:rPr>
      </w:pPr>
    </w:p>
    <w:p>
      <w:pPr>
        <w:ind w:left="2180" w:hanging="875"/>
        <w:spacing w:after="0"/>
        <w:tabs>
          <w:tab w:leader="none" w:pos="218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sum of:</w:t>
      </w:r>
    </w:p>
    <w:p>
      <w:pPr>
        <w:spacing w:after="0" w:line="202" w:lineRule="exact"/>
        <w:rPr>
          <w:rFonts w:ascii="Arial" w:cs="Arial" w:eastAsia="Arial" w:hAnsi="Arial"/>
          <w:sz w:val="20"/>
          <w:szCs w:val="20"/>
          <w:color w:val="auto"/>
        </w:rPr>
      </w:pPr>
    </w:p>
    <w:p>
      <w:pPr>
        <w:ind w:left="2780" w:hanging="827"/>
        <w:spacing w:after="0"/>
        <w:tabs>
          <w:tab w:leader="none" w:pos="2780" w:val="left"/>
        </w:tabs>
        <w:numPr>
          <w:ilvl w:val="1"/>
          <w:numId w:val="142"/>
        </w:numPr>
        <w:rPr>
          <w:rFonts w:ascii="Arial" w:cs="Arial" w:eastAsia="Arial" w:hAnsi="Arial"/>
          <w:sz w:val="20"/>
          <w:szCs w:val="20"/>
          <w:color w:val="auto"/>
        </w:rPr>
      </w:pPr>
      <w:r>
        <w:rPr>
          <w:rFonts w:ascii="Arial" w:cs="Arial" w:eastAsia="Arial" w:hAnsi="Arial"/>
          <w:sz w:val="20"/>
          <w:szCs w:val="20"/>
          <w:color w:val="auto"/>
        </w:rPr>
        <w:t xml:space="preserve">Consolidated Net Income (or loss) for such period, </w:t>
      </w:r>
      <w:r>
        <w:rPr>
          <w:rFonts w:ascii="Arial" w:cs="Arial" w:eastAsia="Arial" w:hAnsi="Arial"/>
          <w:sz w:val="20"/>
          <w:szCs w:val="20"/>
          <w:i w:val="1"/>
          <w:iCs w:val="1"/>
          <w:color w:val="auto"/>
        </w:rPr>
        <w:t>plus</w:t>
      </w:r>
    </w:p>
    <w:p>
      <w:pPr>
        <w:spacing w:after="0" w:line="202" w:lineRule="exact"/>
        <w:rPr>
          <w:rFonts w:ascii="Arial" w:cs="Arial" w:eastAsia="Arial" w:hAnsi="Arial"/>
          <w:sz w:val="20"/>
          <w:szCs w:val="20"/>
          <w:color w:val="auto"/>
        </w:rPr>
      </w:pPr>
    </w:p>
    <w:p>
      <w:pPr>
        <w:ind w:left="1300" w:right="40" w:firstLine="653"/>
        <w:spacing w:after="0" w:line="289" w:lineRule="auto"/>
        <w:tabs>
          <w:tab w:leader="none" w:pos="2838" w:val="left"/>
        </w:tabs>
        <w:numPr>
          <w:ilvl w:val="1"/>
          <w:numId w:val="142"/>
        </w:numPr>
        <w:rPr>
          <w:rFonts w:ascii="Arial" w:cs="Arial" w:eastAsia="Arial" w:hAnsi="Arial"/>
          <w:sz w:val="20"/>
          <w:szCs w:val="20"/>
          <w:color w:val="auto"/>
        </w:rPr>
      </w:pPr>
      <w:r>
        <w:rPr>
          <w:rFonts w:ascii="Arial" w:cs="Arial" w:eastAsia="Arial" w:hAnsi="Arial"/>
          <w:sz w:val="20"/>
          <w:szCs w:val="20"/>
          <w:color w:val="auto"/>
        </w:rPr>
        <w:t xml:space="preserve">the aggregate amount of all non-cash charges deducted (less the amount of all non-cash credits included) in arriving at such Consolidated Net Income (or loss), </w:t>
      </w:r>
      <w:r>
        <w:rPr>
          <w:rFonts w:ascii="Arial" w:cs="Arial" w:eastAsia="Arial" w:hAnsi="Arial"/>
          <w:sz w:val="20"/>
          <w:szCs w:val="20"/>
          <w:i w:val="1"/>
          <w:iCs w:val="1"/>
          <w:color w:val="auto"/>
        </w:rPr>
        <w:t>plus</w:t>
      </w:r>
    </w:p>
    <w:p>
      <w:pPr>
        <w:spacing w:after="0" w:line="134" w:lineRule="exact"/>
        <w:rPr>
          <w:rFonts w:ascii="Arial" w:cs="Arial" w:eastAsia="Arial" w:hAnsi="Arial"/>
          <w:sz w:val="20"/>
          <w:szCs w:val="20"/>
          <w:color w:val="auto"/>
        </w:rPr>
      </w:pPr>
    </w:p>
    <w:p>
      <w:pPr>
        <w:ind w:left="1300" w:right="80" w:firstLine="653"/>
        <w:spacing w:after="0" w:line="278" w:lineRule="auto"/>
        <w:tabs>
          <w:tab w:leader="none" w:pos="2893" w:val="left"/>
        </w:tabs>
        <w:numPr>
          <w:ilvl w:val="1"/>
          <w:numId w:val="142"/>
        </w:numPr>
        <w:rPr>
          <w:rFonts w:ascii="Arial" w:cs="Arial" w:eastAsia="Arial" w:hAnsi="Arial"/>
          <w:sz w:val="20"/>
          <w:szCs w:val="20"/>
          <w:color w:val="auto"/>
        </w:rPr>
      </w:pPr>
      <w:r>
        <w:rPr>
          <w:rFonts w:ascii="Arial" w:cs="Arial" w:eastAsia="Arial" w:hAnsi="Arial"/>
          <w:sz w:val="20"/>
          <w:szCs w:val="20"/>
          <w:color w:val="auto"/>
        </w:rPr>
        <w:t xml:space="preserve">the difference, if positive, of the amount of Consolidated Working Capital at the end of the prior Excess Cash Flow Period (or the beginning of the Excess Cash Flow Period in the case of the first Excess Cash Flow Period) over the amount of Consolidated Working Capital at the end of such Excess Cash Flow Period, </w:t>
      </w:r>
      <w:r>
        <w:rPr>
          <w:rFonts w:ascii="Arial" w:cs="Arial" w:eastAsia="Arial" w:hAnsi="Arial"/>
          <w:sz w:val="20"/>
          <w:szCs w:val="20"/>
          <w:i w:val="1"/>
          <w:iCs w:val="1"/>
          <w:color w:val="auto"/>
        </w:rPr>
        <w:t>plus</w:t>
      </w:r>
    </w:p>
    <w:p>
      <w:pPr>
        <w:spacing w:after="0" w:line="146" w:lineRule="exact"/>
        <w:rPr>
          <w:rFonts w:ascii="Arial" w:cs="Arial" w:eastAsia="Arial" w:hAnsi="Arial"/>
          <w:sz w:val="20"/>
          <w:szCs w:val="20"/>
          <w:color w:val="auto"/>
        </w:rPr>
      </w:pPr>
    </w:p>
    <w:p>
      <w:pPr>
        <w:ind w:left="1300" w:right="100" w:firstLine="653"/>
        <w:spacing w:after="0" w:line="278" w:lineRule="auto"/>
        <w:tabs>
          <w:tab w:leader="none" w:pos="2882" w:val="left"/>
        </w:tabs>
        <w:numPr>
          <w:ilvl w:val="1"/>
          <w:numId w:val="142"/>
        </w:numPr>
        <w:rPr>
          <w:rFonts w:ascii="Arial" w:cs="Arial" w:eastAsia="Arial" w:hAnsi="Arial"/>
          <w:sz w:val="20"/>
          <w:szCs w:val="20"/>
          <w:color w:val="auto"/>
        </w:rPr>
      </w:pPr>
      <w:r>
        <w:rPr>
          <w:rFonts w:ascii="Arial" w:cs="Arial" w:eastAsia="Arial" w:hAnsi="Arial"/>
          <w:sz w:val="20"/>
          <w:szCs w:val="20"/>
          <w:color w:val="auto"/>
        </w:rPr>
        <w:t xml:space="preserve">the amount of any loss (less any gain) incurred in connection with the receipt of Net Cash Proceeds (other than sales of inventory and other Dispositions in the ordinary course of business) of the type described in clause (i) of the definition thereof to the extent included in Consolidated Net Income (or loss), </w:t>
      </w:r>
      <w:r>
        <w:rPr>
          <w:rFonts w:ascii="Arial" w:cs="Arial" w:eastAsia="Arial" w:hAnsi="Arial"/>
          <w:sz w:val="20"/>
          <w:szCs w:val="20"/>
          <w:i w:val="1"/>
          <w:iCs w:val="1"/>
          <w:color w:val="auto"/>
        </w:rPr>
        <w:t>plus</w:t>
      </w:r>
    </w:p>
    <w:p>
      <w:pPr>
        <w:spacing w:after="0" w:line="146" w:lineRule="exact"/>
        <w:rPr>
          <w:rFonts w:ascii="Arial" w:cs="Arial" w:eastAsia="Arial" w:hAnsi="Arial"/>
          <w:sz w:val="20"/>
          <w:szCs w:val="20"/>
          <w:color w:val="auto"/>
        </w:rPr>
      </w:pPr>
    </w:p>
    <w:p>
      <w:pPr>
        <w:ind w:left="1300" w:right="120" w:firstLine="653"/>
        <w:spacing w:after="0" w:line="289" w:lineRule="auto"/>
        <w:tabs>
          <w:tab w:leader="none" w:pos="2827" w:val="left"/>
        </w:tabs>
        <w:numPr>
          <w:ilvl w:val="1"/>
          <w:numId w:val="142"/>
        </w:numPr>
        <w:rPr>
          <w:rFonts w:ascii="Arial" w:cs="Arial" w:eastAsia="Arial" w:hAnsi="Arial"/>
          <w:sz w:val="20"/>
          <w:szCs w:val="20"/>
          <w:color w:val="auto"/>
        </w:rPr>
      </w:pPr>
      <w:r>
        <w:rPr>
          <w:rFonts w:ascii="Arial" w:cs="Arial" w:eastAsia="Arial" w:hAnsi="Arial"/>
          <w:sz w:val="20"/>
          <w:szCs w:val="20"/>
          <w:color w:val="auto"/>
        </w:rPr>
        <w:t xml:space="preserve">the aggregate amount of cash dividends and other cash distributions received during such period by Parent or any Restricted Subsidiary in respect of minority Equity Interests in any Person, </w:t>
      </w:r>
      <w:r>
        <w:rPr>
          <w:rFonts w:ascii="Arial" w:cs="Arial" w:eastAsia="Arial" w:hAnsi="Arial"/>
          <w:sz w:val="20"/>
          <w:szCs w:val="20"/>
          <w:i w:val="1"/>
          <w:iCs w:val="1"/>
          <w:color w:val="auto"/>
        </w:rPr>
        <w:t>less</w:t>
      </w:r>
    </w:p>
    <w:p>
      <w:pPr>
        <w:spacing w:after="0" w:line="134" w:lineRule="exact"/>
        <w:rPr>
          <w:rFonts w:ascii="Arial" w:cs="Arial" w:eastAsia="Arial" w:hAnsi="Arial"/>
          <w:sz w:val="20"/>
          <w:szCs w:val="20"/>
          <w:color w:val="auto"/>
        </w:rPr>
      </w:pPr>
    </w:p>
    <w:p>
      <w:pPr>
        <w:ind w:left="2180" w:hanging="875"/>
        <w:spacing w:after="0"/>
        <w:tabs>
          <w:tab w:leader="none" w:pos="218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sum of:</w:t>
      </w:r>
    </w:p>
    <w:p>
      <w:pPr>
        <w:spacing w:after="0" w:line="202" w:lineRule="exact"/>
        <w:rPr>
          <w:rFonts w:ascii="Arial" w:cs="Arial" w:eastAsia="Arial" w:hAnsi="Arial"/>
          <w:sz w:val="20"/>
          <w:szCs w:val="20"/>
          <w:color w:val="auto"/>
        </w:rPr>
      </w:pPr>
    </w:p>
    <w:p>
      <w:pPr>
        <w:ind w:left="1300" w:right="800" w:firstLine="653"/>
        <w:spacing w:after="0" w:line="289" w:lineRule="auto"/>
        <w:tabs>
          <w:tab w:leader="none" w:pos="2783" w:val="left"/>
        </w:tabs>
        <w:numPr>
          <w:ilvl w:val="1"/>
          <w:numId w:val="142"/>
        </w:numPr>
        <w:rPr>
          <w:rFonts w:ascii="Arial" w:cs="Arial" w:eastAsia="Arial" w:hAnsi="Arial"/>
          <w:sz w:val="20"/>
          <w:szCs w:val="20"/>
          <w:color w:val="auto"/>
        </w:rPr>
      </w:pPr>
      <w:r>
        <w:rPr>
          <w:rFonts w:ascii="Arial" w:cs="Arial" w:eastAsia="Arial" w:hAnsi="Arial"/>
          <w:sz w:val="20"/>
          <w:szCs w:val="20"/>
          <w:color w:val="auto"/>
        </w:rPr>
        <w:t>the aggregate amount of Consolidated Capital Expenditures (A) made or paid by the Parent and its Subsidiaries in cash during such period solely to the extent</w:t>
      </w: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p>
      <w:pPr>
        <w:ind w:left="5620" w:hanging="120"/>
        <w:spacing w:after="0"/>
        <w:tabs>
          <w:tab w:leader="none" w:pos="5620" w:val="left"/>
        </w:tabs>
        <w:numPr>
          <w:ilvl w:val="2"/>
          <w:numId w:val="142"/>
        </w:numPr>
        <w:rPr>
          <w:rFonts w:ascii="Arial" w:cs="Arial" w:eastAsia="Arial" w:hAnsi="Arial"/>
          <w:sz w:val="20"/>
          <w:szCs w:val="20"/>
          <w:color w:val="auto"/>
        </w:rPr>
      </w:pPr>
      <w:r>
        <w:rPr>
          <w:rFonts w:ascii="Arial" w:cs="Arial" w:eastAsia="Arial" w:hAnsi="Arial"/>
          <w:sz w:val="20"/>
          <w:szCs w:val="20"/>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6" w:right="279" w:bottom="1440" w:gutter="0" w:footer="0" w:header="0"/>
        </w:sectPr>
      </w:pPr>
    </w:p>
    <w:bookmarkStart w:id="218" w:name="page219"/>
    <w:bookmarkEnd w:id="218"/>
    <w:p>
      <w:pPr>
        <w:ind w:left="1300" w:right="200"/>
        <w:spacing w:after="0" w:line="260" w:lineRule="auto"/>
        <w:rPr>
          <w:sz w:val="20"/>
          <w:szCs w:val="20"/>
          <w:color w:val="auto"/>
        </w:rPr>
      </w:pPr>
      <w:r>
        <w:rPr>
          <w:rFonts w:ascii="Arial" w:cs="Arial" w:eastAsia="Arial" w:hAnsi="Arial"/>
          <w:sz w:val="20"/>
          <w:szCs w:val="20"/>
          <w:color w:val="auto"/>
        </w:rPr>
        <w:t xml:space="preserve">permitted by this Agreement and (B) excluding any amount funded with proceeds from the issuance of Funded Indebtedness (other than revolving Indebtedness) or Equity Interests, </w:t>
      </w:r>
      <w:r>
        <w:rPr>
          <w:rFonts w:ascii="Arial" w:cs="Arial" w:eastAsia="Arial" w:hAnsi="Arial"/>
          <w:sz w:val="20"/>
          <w:szCs w:val="20"/>
          <w:i w:val="1"/>
          <w:iCs w:val="1"/>
          <w:color w:val="auto"/>
        </w:rPr>
        <w:t>plus</w:t>
      </w:r>
    </w:p>
    <w:p>
      <w:pPr>
        <w:spacing w:after="0" w:line="150" w:lineRule="exact"/>
        <w:rPr>
          <w:sz w:val="20"/>
          <w:szCs w:val="20"/>
          <w:color w:val="auto"/>
        </w:rPr>
      </w:pPr>
    </w:p>
    <w:p>
      <w:pPr>
        <w:ind w:left="1300" w:firstLine="653"/>
        <w:spacing w:after="0" w:line="274" w:lineRule="auto"/>
        <w:tabs>
          <w:tab w:leader="none" w:pos="2838"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the aggregate amount of Investments, Restricted Payments and acquisitions of intellectual property (A) made or paid by Parent and its Subsidiaries in cash during such period solely to the extent permitted by this Agreement and (B) excluding any amount funded (I) with the proceeds from the issuance of Funded Indebtedness (other than revolving Indebtedness) or Equity Interests or (II) out of the Available Amount, </w:t>
      </w:r>
      <w:r>
        <w:rPr>
          <w:rFonts w:ascii="Arial" w:cs="Arial" w:eastAsia="Arial" w:hAnsi="Arial"/>
          <w:sz w:val="20"/>
          <w:szCs w:val="20"/>
          <w:i w:val="1"/>
          <w:iCs w:val="1"/>
          <w:color w:val="auto"/>
        </w:rPr>
        <w:t>plus</w:t>
      </w:r>
    </w:p>
    <w:p>
      <w:pPr>
        <w:spacing w:after="0" w:line="151" w:lineRule="exact"/>
        <w:rPr>
          <w:rFonts w:ascii="Arial" w:cs="Arial" w:eastAsia="Arial" w:hAnsi="Arial"/>
          <w:sz w:val="20"/>
          <w:szCs w:val="20"/>
          <w:color w:val="auto"/>
        </w:rPr>
      </w:pPr>
    </w:p>
    <w:p>
      <w:pPr>
        <w:ind w:left="1300" w:right="160" w:firstLine="653"/>
        <w:spacing w:after="0" w:line="278" w:lineRule="auto"/>
        <w:tabs>
          <w:tab w:leader="none" w:pos="2893"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the aggregate amount of all regularly scheduled and other mandatory principal payments of Consolidated Funded Indebtedness made during such period, excluding any amount funded with proceeds from the issuance of Funded Indebtedness (other than revolving Indebtedness) or Equity Interests, </w:t>
      </w:r>
      <w:r>
        <w:rPr>
          <w:rFonts w:ascii="Arial" w:cs="Arial" w:eastAsia="Arial" w:hAnsi="Arial"/>
          <w:sz w:val="20"/>
          <w:szCs w:val="20"/>
          <w:i w:val="1"/>
          <w:iCs w:val="1"/>
          <w:color w:val="auto"/>
        </w:rPr>
        <w:t>plus</w:t>
      </w:r>
    </w:p>
    <w:p>
      <w:pPr>
        <w:spacing w:after="0" w:line="146" w:lineRule="exact"/>
        <w:rPr>
          <w:rFonts w:ascii="Arial" w:cs="Arial" w:eastAsia="Arial" w:hAnsi="Arial"/>
          <w:sz w:val="20"/>
          <w:szCs w:val="20"/>
          <w:color w:val="auto"/>
        </w:rPr>
      </w:pPr>
    </w:p>
    <w:p>
      <w:pPr>
        <w:ind w:left="1300" w:right="20" w:firstLine="653"/>
        <w:spacing w:after="0" w:line="273" w:lineRule="auto"/>
        <w:tabs>
          <w:tab w:leader="none" w:pos="2882"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the aggregate principal amount of all optional prepayments or repurchases (if such repurchases are made at a discount, the amount paid for such repurchases) of Consolidated Funded Indebtedness (other than Consolidated Funded Indebtedness that is revolving in nature) made during such period, excluding any amount funded through (I) proceeds from the issuance of Funded Indebtedness (other than revolving Indebtedness) or Equity Interests, (II) proceeds from any Asset Disposition or (III) proceeds of any Casualty or Condemnation, </w:t>
      </w:r>
      <w:r>
        <w:rPr>
          <w:rFonts w:ascii="Arial" w:cs="Arial" w:eastAsia="Arial" w:hAnsi="Arial"/>
          <w:sz w:val="20"/>
          <w:szCs w:val="20"/>
          <w:i w:val="1"/>
          <w:iCs w:val="1"/>
          <w:color w:val="auto"/>
        </w:rPr>
        <w:t>plus</w:t>
      </w:r>
    </w:p>
    <w:p>
      <w:pPr>
        <w:spacing w:after="0" w:line="150" w:lineRule="exact"/>
        <w:rPr>
          <w:rFonts w:ascii="Arial" w:cs="Arial" w:eastAsia="Arial" w:hAnsi="Arial"/>
          <w:sz w:val="20"/>
          <w:szCs w:val="20"/>
          <w:color w:val="auto"/>
        </w:rPr>
      </w:pPr>
    </w:p>
    <w:p>
      <w:pPr>
        <w:ind w:left="1300" w:right="140" w:firstLine="653"/>
        <w:spacing w:after="0" w:line="322" w:lineRule="auto"/>
        <w:tabs>
          <w:tab w:leader="none" w:pos="282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absolute value of the difference, if negative, of the amount of Consolidated Working Capital at the end of the prior Excess Cash Flow Period (or the beginning of the Excess Cash Flow Period in the case of the first Excess Cash Flow Period) over the amount of Consolidated Working Capital at the end of such Excess Cash Flow Period, </w:t>
      </w:r>
      <w:r>
        <w:rPr>
          <w:rFonts w:ascii="Arial" w:cs="Arial" w:eastAsia="Arial" w:hAnsi="Arial"/>
          <w:sz w:val="18"/>
          <w:szCs w:val="18"/>
          <w:i w:val="1"/>
          <w:iCs w:val="1"/>
          <w:color w:val="auto"/>
        </w:rPr>
        <w:t>plus</w:t>
      </w:r>
    </w:p>
    <w:p>
      <w:pPr>
        <w:spacing w:after="0" w:line="112" w:lineRule="exact"/>
        <w:rPr>
          <w:rFonts w:ascii="Arial" w:cs="Arial" w:eastAsia="Arial" w:hAnsi="Arial"/>
          <w:sz w:val="18"/>
          <w:szCs w:val="18"/>
          <w:color w:val="auto"/>
        </w:rPr>
      </w:pPr>
    </w:p>
    <w:p>
      <w:pPr>
        <w:ind w:left="1300" w:firstLine="653"/>
        <w:spacing w:after="0" w:line="307" w:lineRule="auto"/>
        <w:tabs>
          <w:tab w:leader="none" w:pos="288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any premium, make-whole or penalty payments paid in cash during such period in connection with the prepayment, redemption, purchase, defeasance or other satisfaction prior to scheduled maturity of Indebtedness permitted to be prepaid, redeemed, purchased, defeased or satisfied hereunder to the extent such premium, make-whole or penalty payments are not expensed during such period or otherwise deducted in calculating Consolidated Net Income, excluding any amount funded (I) with proceeds from the issuance of Funded Indebtedness (other than revolving Indebtedness) or Equity Interests, (II) with proceeds from any Asset Disposition, or (III) with the proceeds of any Casualty or Condemnation, </w:t>
      </w:r>
      <w:r>
        <w:rPr>
          <w:rFonts w:ascii="Arial" w:cs="Arial" w:eastAsia="Arial" w:hAnsi="Arial"/>
          <w:sz w:val="18"/>
          <w:szCs w:val="18"/>
          <w:i w:val="1"/>
          <w:iCs w:val="1"/>
          <w:color w:val="auto"/>
        </w:rPr>
        <w:t>plus</w:t>
      </w:r>
    </w:p>
    <w:p>
      <w:pPr>
        <w:spacing w:after="0" w:line="126" w:lineRule="exact"/>
        <w:rPr>
          <w:rFonts w:ascii="Arial" w:cs="Arial" w:eastAsia="Arial" w:hAnsi="Arial"/>
          <w:sz w:val="18"/>
          <w:szCs w:val="18"/>
          <w:color w:val="auto"/>
        </w:rPr>
      </w:pPr>
    </w:p>
    <w:p>
      <w:pPr>
        <w:ind w:left="1300" w:right="160" w:firstLine="653"/>
        <w:spacing w:after="0" w:line="289" w:lineRule="auto"/>
        <w:tabs>
          <w:tab w:leader="none" w:pos="2937"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aggregate amount of net income in respect of minority Equity Interests in any Person for such period included in arriving at such Consolidated Net Income (or loss).</w:t>
      </w:r>
    </w:p>
    <w:p>
      <w:pPr>
        <w:spacing w:after="0" w:line="121" w:lineRule="exact"/>
        <w:rPr>
          <w:sz w:val="20"/>
          <w:szCs w:val="20"/>
          <w:color w:val="auto"/>
        </w:rPr>
      </w:pPr>
    </w:p>
    <w:p>
      <w:pPr>
        <w:ind w:right="4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Excess Cash Flow Period</w:t>
      </w:r>
      <w:r>
        <w:rPr>
          <w:rFonts w:ascii="Arial" w:cs="Arial" w:eastAsia="Arial" w:hAnsi="Arial"/>
          <w:sz w:val="20"/>
          <w:szCs w:val="20"/>
          <w:color w:val="auto"/>
        </w:rPr>
        <w:t>” means (a) the period commencing on April 1, 2015 and ending on June 30, 2015 and (b) each fiscal quarter of Parent thereafter.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and the rules and regulations promulgated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thereunder.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6" w:right="279" w:bottom="1440" w:gutter="0" w:footer="0" w:header="0"/>
        </w:sectPr>
      </w:pPr>
    </w:p>
    <w:bookmarkStart w:id="219" w:name="page220"/>
    <w:bookmarkEnd w:id="219"/>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Assets</w:t>
      </w:r>
      <w:r>
        <w:rPr>
          <w:rFonts w:ascii="Arial" w:cs="Arial" w:eastAsia="Arial" w:hAnsi="Arial"/>
          <w:sz w:val="20"/>
          <w:szCs w:val="20"/>
          <w:color w:val="auto"/>
        </w:rPr>
        <w:t>” means:</w:t>
      </w:r>
    </w:p>
    <w:p>
      <w:pPr>
        <w:spacing w:after="0" w:line="229" w:lineRule="exact"/>
        <w:rPr>
          <w:sz w:val="20"/>
          <w:szCs w:val="20"/>
          <w:color w:val="auto"/>
        </w:rPr>
      </w:pPr>
    </w:p>
    <w:p>
      <w:pPr>
        <w:ind w:left="660" w:right="160" w:firstLine="645"/>
        <w:spacing w:after="0" w:line="289" w:lineRule="auto"/>
        <w:tabs>
          <w:tab w:leader="none" w:pos="2176" w:val="left"/>
        </w:tabs>
        <w:numPr>
          <w:ilvl w:val="0"/>
          <w:numId w:val="144"/>
        </w:numPr>
        <w:rPr>
          <w:rFonts w:ascii="Arial" w:cs="Arial" w:eastAsia="Arial" w:hAnsi="Arial"/>
          <w:sz w:val="20"/>
          <w:szCs w:val="20"/>
          <w:color w:val="auto"/>
        </w:rPr>
      </w:pPr>
      <w:r>
        <w:rPr>
          <w:rFonts w:ascii="Arial" w:cs="Arial" w:eastAsia="Arial" w:hAnsi="Arial"/>
          <w:sz w:val="20"/>
          <w:szCs w:val="20"/>
          <w:color w:val="auto"/>
        </w:rPr>
        <w:t>real property owned by Parent or any Subsidiary with a fair market value less than $10,000,000 and any leasehold interest in real property;</w:t>
      </w:r>
    </w:p>
    <w:p>
      <w:pPr>
        <w:spacing w:after="0" w:line="134" w:lineRule="exact"/>
        <w:rPr>
          <w:rFonts w:ascii="Arial" w:cs="Arial" w:eastAsia="Arial" w:hAnsi="Arial"/>
          <w:sz w:val="20"/>
          <w:szCs w:val="20"/>
          <w:color w:val="auto"/>
        </w:rPr>
      </w:pPr>
    </w:p>
    <w:p>
      <w:pPr>
        <w:ind w:left="2180" w:hanging="875"/>
        <w:spacing w:after="0"/>
        <w:tabs>
          <w:tab w:leader="none" w:pos="218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motor vehicles and other assets subject to certificates of title;</w:t>
      </w:r>
    </w:p>
    <w:p>
      <w:pPr>
        <w:spacing w:after="0" w:line="202" w:lineRule="exact"/>
        <w:rPr>
          <w:rFonts w:ascii="Arial" w:cs="Arial" w:eastAsia="Arial" w:hAnsi="Arial"/>
          <w:sz w:val="20"/>
          <w:szCs w:val="20"/>
          <w:color w:val="auto"/>
        </w:rPr>
      </w:pPr>
    </w:p>
    <w:p>
      <w:pPr>
        <w:ind w:left="660" w:firstLine="645"/>
        <w:spacing w:after="0" w:line="278" w:lineRule="auto"/>
        <w:tabs>
          <w:tab w:leader="none" w:pos="2176"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any governmental licenses or state or local franchises, charters and authorizations, to the extent a security interest in any such license, franchise, charter or authorization is prohibited or restricted thereby (after giving effect to the applicable anti-assignment provisions of the UCC or other applicable Law);</w:t>
      </w:r>
    </w:p>
    <w:p>
      <w:pPr>
        <w:spacing w:after="0" w:line="146" w:lineRule="exact"/>
        <w:rPr>
          <w:rFonts w:ascii="Arial" w:cs="Arial" w:eastAsia="Arial" w:hAnsi="Arial"/>
          <w:sz w:val="20"/>
          <w:szCs w:val="20"/>
          <w:color w:val="auto"/>
        </w:rPr>
      </w:pPr>
    </w:p>
    <w:p>
      <w:pPr>
        <w:ind w:left="660" w:firstLine="645"/>
        <w:spacing w:after="0" w:line="347" w:lineRule="auto"/>
        <w:tabs>
          <w:tab w:leader="none" w:pos="218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Equity Interests in joint ventures</w:t>
      </w:r>
      <w:r>
        <w:rPr>
          <w:rFonts w:ascii="Arial" w:cs="Arial" w:eastAsia="Arial" w:hAnsi="Arial"/>
          <w:sz w:val="18"/>
          <w:szCs w:val="18"/>
          <w:u w:val="single" w:color="auto"/>
          <w:color w:val="0000FF"/>
        </w:rPr>
        <w:t>, Persons that are not Subsidiaries</w:t>
      </w:r>
      <w:r>
        <w:rPr>
          <w:rFonts w:ascii="Arial" w:cs="Arial" w:eastAsia="Arial" w:hAnsi="Arial"/>
          <w:sz w:val="18"/>
          <w:szCs w:val="18"/>
          <w:color w:val="auto"/>
        </w:rPr>
        <w:t xml:space="preserve"> or any non-Wholly Owned Subsidiaries to the extent not permitted by the terms of such entity’s Organization Documents or joint venture documents and (ii) Margin Stock;</w:t>
      </w:r>
    </w:p>
    <w:p>
      <w:pPr>
        <w:spacing w:after="0" w:line="90" w:lineRule="exact"/>
        <w:rPr>
          <w:rFonts w:ascii="Arial" w:cs="Arial" w:eastAsia="Arial" w:hAnsi="Arial"/>
          <w:sz w:val="18"/>
          <w:szCs w:val="18"/>
          <w:color w:val="auto"/>
        </w:rPr>
      </w:pPr>
    </w:p>
    <w:p>
      <w:pPr>
        <w:ind w:left="660" w:right="20" w:firstLine="645"/>
        <w:spacing w:after="0" w:line="310" w:lineRule="auto"/>
        <w:tabs>
          <w:tab w:leader="none" w:pos="217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lease, license or agreement or property subject to a purchase money security interest or similar arrangement permitted by the Credit Agreement to the extent that a grant of a security interest therein would violate or invalidate such lease, license or agreement or purchase money arrangement or create a right of termination in favor of any other party thereto (after giving effect to the applicable anti-assignment provisions of the UCC or other applicable Law), other than proceeds and receivables thereof, the assignment of which is expressly deemed effective under the UCC or other applicable Law notwithstanding such prohibition;</w:t>
      </w:r>
    </w:p>
    <w:p>
      <w:pPr>
        <w:spacing w:after="0" w:line="121" w:lineRule="exact"/>
        <w:rPr>
          <w:rFonts w:ascii="Arial" w:cs="Arial" w:eastAsia="Arial" w:hAnsi="Arial"/>
          <w:sz w:val="18"/>
          <w:szCs w:val="18"/>
          <w:color w:val="auto"/>
        </w:rPr>
      </w:pPr>
    </w:p>
    <w:p>
      <w:pPr>
        <w:ind w:left="660" w:firstLine="645"/>
        <w:spacing w:after="0" w:line="278" w:lineRule="auto"/>
        <w:tabs>
          <w:tab w:leader="none" w:pos="2154"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any assets (including intangibles) not located in the United States to the extent the grant of a security interest therein is restricted or prohibited by applicable Law or contract (after giving effect to applicable anti-assignment provisions of the UCC or other applicable Law);</w:t>
      </w:r>
    </w:p>
    <w:p>
      <w:pPr>
        <w:spacing w:after="0" w:line="146" w:lineRule="exact"/>
        <w:rPr>
          <w:rFonts w:ascii="Arial" w:cs="Arial" w:eastAsia="Arial" w:hAnsi="Arial"/>
          <w:sz w:val="20"/>
          <w:szCs w:val="20"/>
          <w:color w:val="auto"/>
        </w:rPr>
      </w:pPr>
    </w:p>
    <w:p>
      <w:pPr>
        <w:ind w:left="660" w:firstLine="645"/>
        <w:spacing w:after="0" w:line="322" w:lineRule="auto"/>
        <w:tabs>
          <w:tab w:leader="none" w:pos="218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intent-to-use application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w:t>
      </w:r>
    </w:p>
    <w:p>
      <w:pPr>
        <w:spacing w:after="0" w:line="112" w:lineRule="exact"/>
        <w:rPr>
          <w:rFonts w:ascii="Arial" w:cs="Arial" w:eastAsia="Arial" w:hAnsi="Arial"/>
          <w:sz w:val="18"/>
          <w:szCs w:val="18"/>
          <w:color w:val="auto"/>
        </w:rPr>
      </w:pPr>
    </w:p>
    <w:p>
      <w:pPr>
        <w:ind w:left="660" w:right="40" w:firstLine="645"/>
        <w:spacing w:after="0" w:line="293" w:lineRule="auto"/>
        <w:tabs>
          <w:tab w:leader="none" w:pos="2187" w:val="left"/>
        </w:tabs>
        <w:numPr>
          <w:ilvl w:val="0"/>
          <w:numId w:val="144"/>
        </w:numPr>
        <w:rPr>
          <w:rFonts w:ascii="Arial" w:cs="Arial" w:eastAsia="Arial" w:hAnsi="Arial"/>
          <w:sz w:val="19"/>
          <w:szCs w:val="19"/>
          <w:color w:val="auto"/>
        </w:rPr>
      </w:pPr>
      <w:r>
        <w:rPr>
          <w:rFonts w:ascii="Arial" w:cs="Arial" w:eastAsia="Arial" w:hAnsi="Arial"/>
          <w:sz w:val="19"/>
          <w:szCs w:val="19"/>
          <w:color w:val="auto"/>
        </w:rPr>
        <w:t>voting Equity Interests in a Foreign Subsidiary of the U.S. Borrower, which Foreign Subsidiary is not a Loan Party, in excess of 65% of the total voting Equity Interests in such Subsidiary; and voting Equity Interests in a Domestic Subsidiary of the U.S. Borrower which Domestic Subsidiary holds no material assets other than Equity Interests in one or more Subsidiaries that are CFCs in excess of 65% of the total voting Equity Interests in such Domestic Subsidiary;</w:t>
      </w:r>
    </w:p>
    <w:p>
      <w:pPr>
        <w:spacing w:after="0" w:line="135" w:lineRule="exact"/>
        <w:rPr>
          <w:rFonts w:ascii="Arial" w:cs="Arial" w:eastAsia="Arial" w:hAnsi="Arial"/>
          <w:sz w:val="19"/>
          <w:szCs w:val="19"/>
          <w:color w:val="auto"/>
        </w:rPr>
      </w:pPr>
    </w:p>
    <w:p>
      <w:pPr>
        <w:ind w:left="2140" w:hanging="835"/>
        <w:spacing w:after="0"/>
        <w:tabs>
          <w:tab w:leader="none" w:pos="214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all commercial tort claims (as defined in the UCC) below $1,000,000; and</w:t>
      </w:r>
    </w:p>
    <w:p>
      <w:pPr>
        <w:spacing w:after="0" w:line="202" w:lineRule="exact"/>
        <w:rPr>
          <w:rFonts w:ascii="Arial" w:cs="Arial" w:eastAsia="Arial" w:hAnsi="Arial"/>
          <w:sz w:val="20"/>
          <w:szCs w:val="20"/>
          <w:color w:val="auto"/>
        </w:rPr>
      </w:pPr>
    </w:p>
    <w:p>
      <w:pPr>
        <w:ind w:left="660" w:firstLine="645"/>
        <w:spacing w:after="0" w:line="278" w:lineRule="auto"/>
        <w:tabs>
          <w:tab w:leader="none" w:pos="214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any other assets where the cost of obtaining or perfecting a security interest in such assets exceeds the practical benefit to the Lenders afforded thereby as reasonably determined by the Administrative Agent in writing (in consultation with the Lead Borrower).</w:t>
      </w:r>
    </w:p>
    <w:p>
      <w:pPr>
        <w:spacing w:after="0" w:line="133" w:lineRule="exact"/>
        <w:rPr>
          <w:sz w:val="20"/>
          <w:szCs w:val="20"/>
          <w:color w:val="auto"/>
        </w:rPr>
      </w:pPr>
    </w:p>
    <w:p>
      <w:pPr>
        <w:ind w:right="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Subsidiary</w:t>
      </w:r>
      <w:r>
        <w:rPr>
          <w:rFonts w:ascii="Arial" w:cs="Arial" w:eastAsia="Arial" w:hAnsi="Arial"/>
          <w:sz w:val="20"/>
          <w:szCs w:val="20"/>
          <w:color w:val="auto"/>
        </w:rPr>
        <w:t>” means (a) any Subsidiary that is prohibited by any Law or by any contractual obligation existing on the Closing Date (or, if later, the date of acquisition of such Subsidiary) from guaranteeing the Senior Credit Obligations or any Subsidiary that would require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66" w:right="299" w:bottom="1440" w:gutter="0" w:footer="0" w:header="0"/>
        </w:sectPr>
      </w:pPr>
    </w:p>
    <w:bookmarkStart w:id="220" w:name="page221"/>
    <w:bookmarkEnd w:id="220"/>
    <w:p>
      <w:pPr>
        <w:ind w:right="100"/>
        <w:spacing w:after="0" w:line="257" w:lineRule="auto"/>
        <w:rPr>
          <w:sz w:val="20"/>
          <w:szCs w:val="20"/>
          <w:color w:val="auto"/>
        </w:rPr>
      </w:pPr>
      <w:r>
        <w:rPr>
          <w:rFonts w:ascii="Arial" w:cs="Arial" w:eastAsia="Arial" w:hAnsi="Arial"/>
          <w:sz w:val="19"/>
          <w:szCs w:val="19"/>
          <w:color w:val="auto"/>
        </w:rPr>
        <w:t>consent, approval, license or authorization of any Governmental Authority in order to guarantee the Senior Credit Obligations unless such consent, approval, license or authorization has been received, (b) any Foreign Subsidiary of the U.S. Borrower that is a CFC, (c) any Domestic Subsidiary of the U.S. Borrower that holds no material assets other than Equity Interests in one or more Subsidiaries that are CFCs, (d) any Foreign Subsidiary for which the providing of the guarantee under the Guaranty Agreement could reasonably be expected to result in any violation or breach of, or conflict with, fiduciary duties of such Subsidiary’s officers, directors or managers, (e) any Subsidiary that is not a Wholly Owned Subsidiary of Parent, (f) any Immaterial Subsidiary and (g) those Foreign Subsidiaries as to which the Lead Borrower and the Administrative Agent shall reasonably determine in writing that the costs of providing the guarantee under the Guaranty Agreement are excessive in relation to the value to be afforded thereby.</w:t>
      </w:r>
    </w:p>
    <w:p>
      <w:pPr>
        <w:spacing w:after="0" w:line="181" w:lineRule="exact"/>
        <w:rPr>
          <w:sz w:val="20"/>
          <w:szCs w:val="20"/>
          <w:color w:val="auto"/>
        </w:rPr>
      </w:pPr>
    </w:p>
    <w:p>
      <w:pPr>
        <w:ind w:firstLine="1297"/>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means, with respect to any Guarantor at any time, any CEA Swap Obligation, if, and to the extent that, all or a portion of the Guarantee of such Guarantor of, or the grant by such Guarantor of a security interest to secure, such CEA Swap Obligation (or any Guarantee thereof) is illegal at such time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Subsidiary Guarantor or the grant of such security interest becomes effective with respect to such CEA Swap Obligation. If a CEA Swap Obligation arises under a master agreement governing more than one swap, such exclusion shall apply only to the portion of such CEA Swap Obligation that is attributable to swaps for which such Guarantee or security interest is or becomes illegal.</w:t>
      </w:r>
    </w:p>
    <w:p>
      <w:pPr>
        <w:spacing w:after="0" w:line="169" w:lineRule="exact"/>
        <w:rPr>
          <w:sz w:val="20"/>
          <w:szCs w:val="20"/>
          <w:color w:val="auto"/>
        </w:rPr>
      </w:pPr>
    </w:p>
    <w:p>
      <w:pPr>
        <w:ind w:right="3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Taxes</w:t>
      </w:r>
      <w:r>
        <w:rPr>
          <w:rFonts w:ascii="Arial" w:cs="Arial" w:eastAsia="Arial" w:hAnsi="Arial"/>
          <w:sz w:val="20"/>
          <w:szCs w:val="20"/>
          <w:color w:val="auto"/>
        </w:rPr>
        <w:t>” means, with respect to the Administrative Agent, any Lender Party or any other recipient of any payment made by or on account of any obligation of any Loan Party under any Loan Document,</w:t>
      </w:r>
    </w:p>
    <w:p>
      <w:pPr>
        <w:spacing w:after="0" w:line="190" w:lineRule="exact"/>
        <w:rPr>
          <w:sz w:val="20"/>
          <w:szCs w:val="20"/>
          <w:color w:val="auto"/>
        </w:rPr>
      </w:pPr>
    </w:p>
    <w:p>
      <w:pPr>
        <w:ind w:left="660" w:right="100" w:firstLine="645"/>
        <w:spacing w:after="0" w:line="271" w:lineRule="auto"/>
        <w:tabs>
          <w:tab w:leader="none" w:pos="2176"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Taxes imposed on (or measured by) overall net income, and franchise Taxes imposed (in lieu of net income Taxes), by the jurisdiction under the laws of which such recipient is organized or in which its office is located or, in the case of any Lender, in which its Lending Office is located, or as a result of a present or former connection between such recipient and the jurisdiction (or any political subdivision thereof) of the Governmental Authority imposing such Tax (other than a connection arising solely from such recipient having executed, delivered, performed its obligations or received a payment under, received or perfected a security interest under, having been a party to, having enforced, or having engaged in any other transaction pursuant to this Agreement or any other Loan Document);</w:t>
      </w:r>
    </w:p>
    <w:p>
      <w:pPr>
        <w:spacing w:after="0" w:line="153" w:lineRule="exact"/>
        <w:rPr>
          <w:rFonts w:ascii="Arial" w:cs="Arial" w:eastAsia="Arial" w:hAnsi="Arial"/>
          <w:sz w:val="20"/>
          <w:szCs w:val="20"/>
          <w:color w:val="auto"/>
        </w:rPr>
      </w:pPr>
    </w:p>
    <w:p>
      <w:pPr>
        <w:ind w:left="660" w:right="780" w:firstLine="645"/>
        <w:spacing w:after="0" w:line="289" w:lineRule="auto"/>
        <w:tabs>
          <w:tab w:leader="none" w:pos="2187" w:val="left"/>
        </w:tabs>
        <w:numPr>
          <w:ilvl w:val="0"/>
          <w:numId w:val="145"/>
        </w:numPr>
        <w:rPr>
          <w:rFonts w:ascii="Arial" w:cs="Arial" w:eastAsia="Arial" w:hAnsi="Arial"/>
          <w:sz w:val="20"/>
          <w:szCs w:val="20"/>
          <w:color w:val="auto"/>
        </w:rPr>
      </w:pPr>
      <w:r>
        <w:rPr>
          <w:rFonts w:ascii="Arial" w:cs="Arial" w:eastAsia="Arial" w:hAnsi="Arial"/>
          <w:sz w:val="20"/>
          <w:szCs w:val="20"/>
          <w:color w:val="auto"/>
        </w:rPr>
        <w:t>any branch profits Taxes under Section 884(a) of the Code, or any similar Taxes, imposed by a jurisdiction described in clause (a) of this definition;</w:t>
      </w:r>
    </w:p>
    <w:p>
      <w:pPr>
        <w:spacing w:after="0" w:line="134" w:lineRule="exact"/>
        <w:rPr>
          <w:rFonts w:ascii="Arial" w:cs="Arial" w:eastAsia="Arial" w:hAnsi="Arial"/>
          <w:sz w:val="20"/>
          <w:szCs w:val="20"/>
          <w:color w:val="auto"/>
        </w:rPr>
      </w:pPr>
    </w:p>
    <w:p>
      <w:pPr>
        <w:ind w:left="660" w:right="160" w:firstLine="645"/>
        <w:spacing w:after="0" w:line="288" w:lineRule="auto"/>
        <w:tabs>
          <w:tab w:leader="none" w:pos="2176"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solely in the case of any Term Loan made on the Closing Date and any Revolving Loan, any U.S. federal withholding Taxes imposed on or with respect to amounts payable to a Non-U.S. Lender by a law in effect on the date on which such Non-U.S. Lender becomes a party hereto (or designates a new Lending Office), except (i) to the extent that such Non-U.S. Lender (or its assignor) was entitled, at the time of designation of a new Lending Office (or assignment), to receive additional amounts from the applicable Loan Party with respect to such withholding Tax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(ii) if such Non-U.S. Lender is an assignee pursuant to a request by the applicable Borrower under </w:t>
      </w:r>
      <w:r>
        <w:rPr>
          <w:rFonts w:ascii="Arial" w:cs="Arial" w:eastAsia="Arial" w:hAnsi="Arial"/>
          <w:sz w:val="19"/>
          <w:szCs w:val="19"/>
          <w:u w:val="single" w:color="auto"/>
          <w:color w:val="auto"/>
        </w:rPr>
        <w:t>Section 3.07</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387" w:lineRule="exact"/>
        <w:rPr>
          <w:rFonts w:ascii="Arial" w:cs="Arial" w:eastAsia="Arial" w:hAnsi="Arial"/>
          <w:sz w:val="19"/>
          <w:szCs w:val="19"/>
          <w:color w:val="auto"/>
        </w:rPr>
      </w:pPr>
    </w:p>
    <w:p>
      <w:pPr>
        <w:ind w:left="5620" w:hanging="120"/>
        <w:spacing w:after="0"/>
        <w:tabs>
          <w:tab w:leader="none" w:pos="5620" w:val="left"/>
        </w:tabs>
        <w:numPr>
          <w:ilvl w:val="1"/>
          <w:numId w:val="145"/>
        </w:numPr>
        <w:rPr>
          <w:rFonts w:ascii="Arial" w:cs="Arial" w:eastAsia="Arial" w:hAnsi="Arial"/>
          <w:sz w:val="20"/>
          <w:szCs w:val="20"/>
          <w:color w:val="auto"/>
        </w:rPr>
      </w:pPr>
      <w:r>
        <w:rPr>
          <w:rFonts w:ascii="Arial" w:cs="Arial" w:eastAsia="Arial" w:hAnsi="Arial"/>
          <w:sz w:val="20"/>
          <w:szCs w:val="20"/>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21" w:name="page222"/>
    <w:bookmarkEnd w:id="221"/>
    <w:p>
      <w:pPr>
        <w:ind w:left="660" w:right="900" w:firstLine="645"/>
        <w:spacing w:after="0" w:line="289" w:lineRule="auto"/>
        <w:tabs>
          <w:tab w:leader="none" w:pos="2187"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solely in the case of any Term Loan made on the Closing Date and any Revolving Loan, any U.S. federal withholding Taxes attributable to such recipient’s failure to timely comply with </w:t>
      </w:r>
      <w:r>
        <w:rPr>
          <w:rFonts w:ascii="Arial" w:cs="Arial" w:eastAsia="Arial" w:hAnsi="Arial"/>
          <w:sz w:val="20"/>
          <w:szCs w:val="20"/>
          <w:u w:val="single" w:color="auto"/>
          <w:color w:val="auto"/>
        </w:rPr>
        <w:t>Section 3.01(f)</w:t>
      </w:r>
      <w:r>
        <w:rPr>
          <w:rFonts w:ascii="Arial" w:cs="Arial" w:eastAsia="Arial" w:hAnsi="Arial"/>
          <w:sz w:val="20"/>
          <w:szCs w:val="20"/>
          <w:color w:val="auto"/>
        </w:rPr>
        <w:t>; or</w:t>
      </w:r>
    </w:p>
    <w:p>
      <w:pPr>
        <w:spacing w:after="0" w:line="148" w:lineRule="exact"/>
        <w:rPr>
          <w:rFonts w:ascii="Arial" w:cs="Arial" w:eastAsia="Arial" w:hAnsi="Arial"/>
          <w:sz w:val="20"/>
          <w:szCs w:val="20"/>
          <w:color w:val="auto"/>
        </w:rPr>
      </w:pPr>
    </w:p>
    <w:p>
      <w:pPr>
        <w:ind w:left="2180" w:hanging="875"/>
        <w:spacing w:after="0"/>
        <w:tabs>
          <w:tab w:leader="none" w:pos="21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any U.S. federal Taxes imposed under FATCA.</w:t>
      </w:r>
    </w:p>
    <w:p>
      <w:pPr>
        <w:spacing w:after="0" w:line="202" w:lineRule="exact"/>
        <w:rPr>
          <w:sz w:val="20"/>
          <w:szCs w:val="20"/>
          <w:color w:val="auto"/>
        </w:rPr>
      </w:pPr>
    </w:p>
    <w:p>
      <w:pPr>
        <w:ind w:firstLine="1297"/>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Exclusive License</w:t>
      </w:r>
      <w:r>
        <w:rPr>
          <w:rFonts w:ascii="Arial" w:cs="Arial" w:eastAsia="Arial" w:hAnsi="Arial"/>
          <w:sz w:val="19"/>
          <w:szCs w:val="19"/>
          <w:color w:val="auto"/>
        </w:rPr>
        <w:t xml:space="preserve">” means, with respect to any drug or pharmaceutical product, any license to develop, commercialize, sell, market and promote such drug or pharmaceutical product with a term greater than five (5) years (unless terminable prior to such time without material penalty or premium by the applicable Loan Party) and which provides for exclusive rights to develop, commercialize, sell, market and promote such drug or product within the United States;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“Exclusive License” shall not include (a) any license to distribute any such drug or product on an exclusive basis within any particular geographic region or territory, (b) any licenses, which may be exclusive, to manufacture any such drug or product, and (c) any license to manufacture, use, offer for sale or sell any authorized generic version of such drug or product. “</w:t>
      </w:r>
      <w:r>
        <w:rPr>
          <w:rFonts w:ascii="Arial" w:cs="Arial" w:eastAsia="Arial" w:hAnsi="Arial"/>
          <w:sz w:val="19"/>
          <w:szCs w:val="19"/>
          <w:u w:val="single" w:color="auto"/>
          <w:color w:val="auto"/>
        </w:rPr>
        <w:t>Exclusively License</w:t>
      </w:r>
      <w:r>
        <w:rPr>
          <w:rFonts w:ascii="Arial" w:cs="Arial" w:eastAsia="Arial" w:hAnsi="Arial"/>
          <w:sz w:val="19"/>
          <w:szCs w:val="19"/>
          <w:color w:val="auto"/>
        </w:rPr>
        <w:t>” shall have the correlative meaning.</w:t>
      </w:r>
    </w:p>
    <w:p>
      <w:pPr>
        <w:spacing w:after="0" w:line="152" w:lineRule="exact"/>
        <w:rPr>
          <w:sz w:val="20"/>
          <w:szCs w:val="20"/>
          <w:color w:val="auto"/>
        </w:rPr>
      </w:pPr>
    </w:p>
    <w:p>
      <w:pPr>
        <w:ind w:right="36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means the Credit Agreement dated June 12, 2012, as amended, by and among Parent, Jazz Pharmaceuticals, Inc., Jazz Pharmaceuticals Ireland Limited, Jazz Financing I Limited, each of the lenders party thereto and Barclays Bank PLC, as administrative agent.</w:t>
      </w:r>
    </w:p>
    <w:p>
      <w:pPr>
        <w:spacing w:after="0" w:line="159" w:lineRule="exact"/>
        <w:rPr>
          <w:sz w:val="20"/>
          <w:szCs w:val="20"/>
          <w:color w:val="auto"/>
        </w:rPr>
      </w:pPr>
    </w:p>
    <w:p>
      <w:pPr>
        <w:ind w:right="24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 of Credit</w:t>
      </w:r>
      <w:r>
        <w:rPr>
          <w:rFonts w:ascii="Arial" w:cs="Arial" w:eastAsia="Arial" w:hAnsi="Arial"/>
          <w:sz w:val="20"/>
          <w:szCs w:val="20"/>
          <w:color w:val="auto"/>
        </w:rPr>
        <w:t>” means that certain Irrevocable Standby Letter of Credit, dated January 26, 2015, issued by JPMorgan Chase Bank, N.A. to The Board of Trustees of the Leland Stanford Junior University Office of Land, Buildings and Real Estate at the request of Jazz Pharmaceuticals, Inc...</w:t>
      </w:r>
    </w:p>
    <w:p>
      <w:pPr>
        <w:spacing w:after="0" w:line="159" w:lineRule="exact"/>
        <w:rPr>
          <w:sz w:val="20"/>
          <w:szCs w:val="20"/>
          <w:color w:val="auto"/>
        </w:rPr>
      </w:pPr>
    </w:p>
    <w:p>
      <w:pPr>
        <w:jc w:val="both"/>
        <w:ind w:right="38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 Office</w:t>
      </w:r>
      <w:r>
        <w:rPr>
          <w:rFonts w:ascii="Arial" w:cs="Arial" w:eastAsia="Arial" w:hAnsi="Arial"/>
          <w:sz w:val="20"/>
          <w:szCs w:val="20"/>
          <w:color w:val="auto"/>
        </w:rPr>
        <w:t>” means the office or offices notified by a Lender to the Agent in writing on or before the date it becomes a Lender (or following that date, by not less than five Business Days’ written notice) as the office or offices through which it will perform its obligations under this Agreement.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Failed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2.03(d)</w:t>
      </w:r>
      <w:r>
        <w:rPr>
          <w:rFonts w:ascii="Arial" w:cs="Arial" w:eastAsia="Arial" w:hAnsi="Arial"/>
          <w:sz w:val="20"/>
          <w:szCs w:val="20"/>
          <w:color w:val="auto"/>
        </w:rPr>
        <w:t>.</w:t>
      </w:r>
    </w:p>
    <w:p>
      <w:pPr>
        <w:spacing w:after="0" w:line="189" w:lineRule="exact"/>
        <w:rPr>
          <w:sz w:val="20"/>
          <w:szCs w:val="20"/>
          <w:color w:val="auto"/>
        </w:rPr>
      </w:pPr>
    </w:p>
    <w:p>
      <w:pPr>
        <w:ind w:right="40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as of the date of this Agreement (or any amended or successor version described above).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FCPA</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5.22</w:t>
      </w:r>
      <w:r>
        <w:rPr>
          <w:rFonts w:ascii="Arial" w:cs="Arial" w:eastAsia="Arial" w:hAnsi="Arial"/>
          <w:sz w:val="20"/>
          <w:szCs w:val="20"/>
          <w:color w:val="auto"/>
        </w:rPr>
        <w:t>.</w:t>
      </w:r>
    </w:p>
    <w:p>
      <w:pPr>
        <w:spacing w:after="0" w:line="189" w:lineRule="exact"/>
        <w:rPr>
          <w:sz w:val="20"/>
          <w:szCs w:val="20"/>
          <w:color w:val="auto"/>
        </w:rPr>
      </w:pPr>
    </w:p>
    <w:p>
      <w:pPr>
        <w:ind w:right="120" w:firstLine="1297"/>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xml:space="preserve">” means, for any day, the rate per annum equal to the weighted average of the rates on overnight Federal funds transactions with members of the Federal Reserve System </w:t>
      </w:r>
      <w:r>
        <w:rPr>
          <w:rFonts w:ascii="Arial" w:cs="Arial" w:eastAsia="Arial" w:hAnsi="Arial"/>
          <w:sz w:val="19"/>
          <w:szCs w:val="19"/>
          <w:color w:val="FF0000"/>
          <w:strike w:val="1"/>
        </w:rPr>
        <w:t>arranged by Federal funds brokers on such day</w:t>
      </w:r>
      <w:r>
        <w:rPr>
          <w:rFonts w:ascii="Arial" w:cs="Arial" w:eastAsia="Arial" w:hAnsi="Arial"/>
          <w:sz w:val="19"/>
          <w:szCs w:val="19"/>
          <w:color w:val="auto"/>
        </w:rPr>
        <w:t xml:space="preserve">, as published by the Federal Reserve Bank of New York on the Business Day next succeeding such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such day is not a Business Day, the Federal Funds Rate for such day shall be such rate on such transactions on the next preceding Business Day as so published on the next succeeding Business Day, and (ii)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the Fee Letter dated May 24, 2015 between Parent and Bank of America.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79" w:right="259" w:bottom="1440" w:gutter="0" w:footer="0" w:header="0"/>
        </w:sectPr>
      </w:pPr>
    </w:p>
    <w:bookmarkStart w:id="222" w:name="page223"/>
    <w:bookmarkEnd w:id="222"/>
    <w:p>
      <w:pPr>
        <w:ind w:right="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Finance Document</w:t>
      </w:r>
      <w:r>
        <w:rPr>
          <w:rFonts w:ascii="Arial" w:cs="Arial" w:eastAsia="Arial" w:hAnsi="Arial"/>
          <w:sz w:val="20"/>
          <w:szCs w:val="20"/>
          <w:color w:val="auto"/>
        </w:rPr>
        <w:t>” means (i) each Loan Document, (ii) each Swap Agreement between one or more Loan Parties and a Swap Creditor evidencing Swap Obligations and (iii) each Secured Cash Management Agreement, and “</w:t>
      </w:r>
      <w:r>
        <w:rPr>
          <w:rFonts w:ascii="Arial" w:cs="Arial" w:eastAsia="Arial" w:hAnsi="Arial"/>
          <w:sz w:val="20"/>
          <w:szCs w:val="20"/>
          <w:u w:val="single" w:color="auto"/>
          <w:color w:val="auto"/>
        </w:rPr>
        <w:t>Finance Documents</w:t>
      </w:r>
      <w:r>
        <w:rPr>
          <w:rFonts w:ascii="Arial" w:cs="Arial" w:eastAsia="Arial" w:hAnsi="Arial"/>
          <w:sz w:val="20"/>
          <w:szCs w:val="20"/>
          <w:color w:val="auto"/>
        </w:rPr>
        <w:t>” means all of them, collectively.</w:t>
      </w:r>
    </w:p>
    <w:p>
      <w:pPr>
        <w:spacing w:after="0" w:line="186" w:lineRule="exact"/>
        <w:rPr>
          <w:sz w:val="20"/>
          <w:szCs w:val="20"/>
          <w:color w:val="auto"/>
        </w:rPr>
      </w:pPr>
    </w:p>
    <w:p>
      <w:pPr>
        <w:ind w:right="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Finance Obligations</w:t>
      </w:r>
      <w:r>
        <w:rPr>
          <w:rFonts w:ascii="Arial" w:cs="Arial" w:eastAsia="Arial" w:hAnsi="Arial"/>
          <w:sz w:val="20"/>
          <w:szCs w:val="20"/>
          <w:color w:val="auto"/>
        </w:rPr>
        <w:t>” means, at any date, (i) all Senior Credit Obligations, (ii) all Swap Obligations of a Loan Party permitted hereunder owed or owing to any Swap Creditor and (iii) all Cash Management Obligations.</w:t>
      </w:r>
    </w:p>
    <w:p>
      <w:pPr>
        <w:spacing w:after="0" w:line="177" w:lineRule="exact"/>
        <w:rPr>
          <w:sz w:val="20"/>
          <w:szCs w:val="20"/>
          <w:color w:val="auto"/>
        </w:rPr>
      </w:pPr>
    </w:p>
    <w:p>
      <w:pPr>
        <w:jc w:val="both"/>
        <w:ind w:right="40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Finance Party</w:t>
      </w:r>
      <w:r>
        <w:rPr>
          <w:rFonts w:ascii="Arial" w:cs="Arial" w:eastAsia="Arial" w:hAnsi="Arial"/>
          <w:sz w:val="20"/>
          <w:szCs w:val="20"/>
          <w:color w:val="auto"/>
        </w:rPr>
        <w:t>” means each Lender, the Swing Line Lender, each L/C Issuer, each Swap Creditor, each Cash Management Bank, each Agent and each Indemnitee and their respective successors and assigns, and “</w:t>
      </w:r>
      <w:r>
        <w:rPr>
          <w:rFonts w:ascii="Arial" w:cs="Arial" w:eastAsia="Arial" w:hAnsi="Arial"/>
          <w:sz w:val="20"/>
          <w:szCs w:val="20"/>
          <w:u w:val="single" w:color="auto"/>
          <w:color w:val="auto"/>
        </w:rPr>
        <w:t>Finance Parties</w:t>
      </w:r>
      <w:r>
        <w:rPr>
          <w:rFonts w:ascii="Arial" w:cs="Arial" w:eastAsia="Arial" w:hAnsi="Arial"/>
          <w:sz w:val="20"/>
          <w:szCs w:val="20"/>
          <w:color w:val="auto"/>
        </w:rPr>
        <w:t>” means any two or more of them, collectively.</w:t>
      </w:r>
    </w:p>
    <w:p>
      <w:pPr>
        <w:spacing w:after="0" w:line="186" w:lineRule="exact"/>
        <w:rPr>
          <w:sz w:val="20"/>
          <w:szCs w:val="20"/>
          <w:color w:val="auto"/>
        </w:rPr>
      </w:pPr>
    </w:p>
    <w:p>
      <w:pPr>
        <w:ind w:right="1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means the chief financial officer, principal accounting officer, senior vice president of finance, treasurer or controller of Parent.</w:t>
      </w:r>
    </w:p>
    <w:p>
      <w:pPr>
        <w:spacing w:after="0" w:line="177" w:lineRule="exact"/>
        <w:rPr>
          <w:sz w:val="20"/>
          <w:szCs w:val="20"/>
          <w:color w:val="auto"/>
        </w:rPr>
      </w:pPr>
    </w:p>
    <w:p>
      <w:pPr>
        <w:ind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Intercreditor Agreement</w:t>
      </w:r>
      <w:r>
        <w:rPr>
          <w:rFonts w:ascii="Arial" w:cs="Arial" w:eastAsia="Arial" w:hAnsi="Arial"/>
          <w:sz w:val="18"/>
          <w:szCs w:val="18"/>
          <w:color w:val="auto"/>
        </w:rPr>
        <w:t xml:space="preserve">” means a First Lien Intercreditor Agreement among the Administrative Agent, the Collateral Agent and one or more Senior Representatives for holders of Indebtedness secured by Liens on the Collateral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Liens on the Collateral securing the Senior Credit Obligations, in form and substance reasonably satisfactory to the Administrative Agent.</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Flood Laws</w:t>
      </w:r>
      <w:r>
        <w:rPr>
          <w:rFonts w:ascii="Arial" w:cs="Arial" w:eastAsia="Arial" w:hAnsi="Arial"/>
          <w:sz w:val="20"/>
          <w:szCs w:val="20"/>
          <w:color w:val="auto"/>
        </w:rPr>
        <w:t>” shall mean the National Flood Insurance Reform Act of 1994 and related legislation.</w:t>
      </w:r>
    </w:p>
    <w:p>
      <w:pPr>
        <w:spacing w:after="0" w:line="216" w:lineRule="exact"/>
        <w:rPr>
          <w:sz w:val="20"/>
          <w:szCs w:val="20"/>
          <w:color w:val="auto"/>
        </w:rPr>
      </w:pPr>
    </w:p>
    <w:p>
      <w:pPr>
        <w:ind w:right="18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Collateral Documents</w:t>
      </w:r>
      <w:r>
        <w:rPr>
          <w:rFonts w:ascii="Arial" w:cs="Arial" w:eastAsia="Arial" w:hAnsi="Arial"/>
          <w:sz w:val="20"/>
          <w:szCs w:val="20"/>
          <w:color w:val="auto"/>
        </w:rPr>
        <w:t xml:space="preserve">” means the Irish Security Documents, the Bermuda Share Charges, the Luxembourg Account Pledge Agreements, the Luxembourg Share Pledge Agreements, the Gibraltar Share Charge, the French Share Pledge Agreement, the Italian Collateral Documents and each of the other documents set forth on </w:t>
      </w:r>
      <w:r>
        <w:rPr>
          <w:rFonts w:ascii="Arial" w:cs="Arial" w:eastAsia="Arial" w:hAnsi="Arial"/>
          <w:sz w:val="20"/>
          <w:szCs w:val="20"/>
          <w:u w:val="single" w:color="auto"/>
          <w:color w:val="auto"/>
        </w:rPr>
        <w:t>Schedule 1.01(B)</w:t>
      </w:r>
      <w:r>
        <w:rPr>
          <w:rFonts w:ascii="Arial" w:cs="Arial" w:eastAsia="Arial" w:hAnsi="Arial"/>
          <w:sz w:val="20"/>
          <w:szCs w:val="20"/>
          <w:color w:val="auto"/>
        </w:rPr>
        <w:t>.</w:t>
      </w:r>
    </w:p>
    <w:p>
      <w:pPr>
        <w:spacing w:after="0" w:line="186" w:lineRule="exact"/>
        <w:rPr>
          <w:sz w:val="20"/>
          <w:szCs w:val="20"/>
          <w:color w:val="auto"/>
        </w:rPr>
      </w:pPr>
    </w:p>
    <w:p>
      <w:pPr>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Pension Plan</w:t>
      </w:r>
      <w:r>
        <w:rPr>
          <w:rFonts w:ascii="Arial" w:cs="Arial" w:eastAsia="Arial" w:hAnsi="Arial"/>
          <w:sz w:val="20"/>
          <w:szCs w:val="20"/>
          <w:color w:val="auto"/>
        </w:rPr>
        <w:t>” means any plan, fund (including, without limitation, any superannuation fund) or other similar program established or maintained outside the United States by Parent or any Restricted Subsidiary primarily for the benefit of employees of Parent or any Restricted Subsidiary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Guarantor</w:t>
      </w:r>
      <w:r>
        <w:rPr>
          <w:rFonts w:ascii="Arial" w:cs="Arial" w:eastAsia="Arial" w:hAnsi="Arial"/>
          <w:sz w:val="20"/>
          <w:szCs w:val="20"/>
          <w:color w:val="auto"/>
        </w:rPr>
        <w:t>” means Parent and each Guarantor that is a Foreign Subsidiary.</w:t>
      </w:r>
    </w:p>
    <w:p>
      <w:pPr>
        <w:spacing w:after="0" w:line="216" w:lineRule="exact"/>
        <w:rPr>
          <w:sz w:val="20"/>
          <w:szCs w:val="20"/>
          <w:color w:val="auto"/>
        </w:rPr>
      </w:pPr>
    </w:p>
    <w:p>
      <w:pPr>
        <w:ind w:right="3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organized under the laws of a jurisdiction other than the United States of America, any State thereof or the District of Columbia.</w:t>
      </w:r>
    </w:p>
    <w:p>
      <w:pPr>
        <w:spacing w:after="0" w:line="177" w:lineRule="exact"/>
        <w:rPr>
          <w:sz w:val="20"/>
          <w:szCs w:val="20"/>
          <w:color w:val="auto"/>
        </w:rPr>
      </w:pPr>
    </w:p>
    <w:p>
      <w:pPr>
        <w:ind w:right="5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French Share Pledge Agreement</w:t>
      </w:r>
      <w:r>
        <w:rPr>
          <w:rFonts w:ascii="Arial" w:cs="Arial" w:eastAsia="Arial" w:hAnsi="Arial"/>
          <w:sz w:val="20"/>
          <w:szCs w:val="20"/>
          <w:color w:val="auto"/>
        </w:rPr>
        <w:t>” means that certain French law governed share pledge agreement entered into between EUSA Pharma (Luxembourg) S.à r.l. and the Collateral Agent.</w:t>
      </w:r>
    </w:p>
    <w:p>
      <w:pPr>
        <w:spacing w:after="0" w:line="177" w:lineRule="exact"/>
        <w:rPr>
          <w:sz w:val="20"/>
          <w:szCs w:val="20"/>
          <w:color w:val="auto"/>
        </w:rPr>
      </w:pPr>
    </w:p>
    <w:p>
      <w:pPr>
        <w:ind w:right="120" w:firstLine="129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Revolving Lenders or Cash Collateralized in accordance with the terms hereof, and (b) with respect to any Swing Line Lender, such Defaulting Lender’s Applicable Percentage of Swing Line Loans other than Swing Line Loans as to which such Defaulting Lender’s participation obligation has been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23" w:name="page224"/>
    <w:bookmarkEnd w:id="223"/>
    <w:p>
      <w:pPr>
        <w:spacing w:after="0"/>
        <w:rPr>
          <w:sz w:val="20"/>
          <w:szCs w:val="20"/>
          <w:color w:val="auto"/>
        </w:rPr>
      </w:pPr>
      <w:r>
        <w:rPr>
          <w:rFonts w:ascii="Arial" w:cs="Arial" w:eastAsia="Arial" w:hAnsi="Arial"/>
          <w:sz w:val="20"/>
          <w:szCs w:val="20"/>
          <w:color w:val="auto"/>
        </w:rPr>
        <w:t xml:space="preserve">reallocated to other Revolving Lenders or Cash Collateralized in accordance with the terms of </w:t>
      </w:r>
      <w:r>
        <w:rPr>
          <w:rFonts w:ascii="Arial" w:cs="Arial" w:eastAsia="Arial" w:hAnsi="Arial"/>
          <w:sz w:val="20"/>
          <w:szCs w:val="20"/>
          <w:u w:val="single" w:color="auto"/>
          <w:color w:val="auto"/>
        </w:rPr>
        <w:t>Section 2.17(a)(iv)</w:t>
      </w:r>
      <w:r>
        <w:rPr>
          <w:rFonts w:ascii="Arial" w:cs="Arial" w:eastAsia="Arial" w:hAnsi="Arial"/>
          <w:sz w:val="20"/>
          <w:szCs w:val="20"/>
          <w:color w:val="auto"/>
        </w:rPr>
        <w:t>.</w:t>
      </w:r>
    </w:p>
    <w:p>
      <w:pPr>
        <w:spacing w:after="0" w:line="216"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7" w:lineRule="exact"/>
        <w:rPr>
          <w:sz w:val="20"/>
          <w:szCs w:val="20"/>
          <w:color w:val="auto"/>
        </w:rPr>
      </w:pPr>
    </w:p>
    <w:p>
      <w:pPr>
        <w:ind w:right="40" w:firstLine="129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Indebtedness</w:t>
      </w:r>
      <w:r>
        <w:rPr>
          <w:rFonts w:ascii="Arial" w:cs="Arial" w:eastAsia="Arial" w:hAnsi="Arial"/>
          <w:sz w:val="18"/>
          <w:szCs w:val="18"/>
          <w:color w:val="auto"/>
        </w:rPr>
        <w:t>” means, with respect to any Person, all Indebtedness of such Person that by its terms matures more than one year after the date of determination or incurrence or matures within one year from such date but is renewable or extendible, at the option of such Person, to a date more than one year after such date or arises under a revolving credit or similar agreement that obligates the lender or lenders to extend credit during a period of more than one year after such date, including, without limitation, all amounts of Funded Indebtedness of such Person required to be paid or prepaid within one year after the date of its creation.</w:t>
      </w:r>
    </w:p>
    <w:p>
      <w:pPr>
        <w:spacing w:after="0" w:line="165" w:lineRule="exact"/>
        <w:rPr>
          <w:sz w:val="20"/>
          <w:szCs w:val="20"/>
          <w:color w:val="auto"/>
        </w:rPr>
      </w:pPr>
    </w:p>
    <w:p>
      <w:pPr>
        <w:ind w:right="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xml:space="preserve">” means, subject to </w:t>
      </w:r>
      <w:r>
        <w:rPr>
          <w:rFonts w:ascii="Arial" w:cs="Arial" w:eastAsia="Arial" w:hAnsi="Arial"/>
          <w:sz w:val="20"/>
          <w:szCs w:val="20"/>
          <w:u w:val="single" w:color="auto"/>
          <w:color w:val="auto"/>
        </w:rPr>
        <w:t>Section 1.03(b)</w:t>
      </w:r>
      <w:r>
        <w:rPr>
          <w:rFonts w:ascii="Arial" w:cs="Arial" w:eastAsia="Arial" w:hAnsi="Arial"/>
          <w:sz w:val="20"/>
          <w:szCs w:val="20"/>
          <w:color w:val="auto"/>
        </w:rPr>
        <w:t>, United States generally accepted accounting principles as in effect as of the date of determination thereof.</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Gentium</w:t>
      </w:r>
      <w:r>
        <w:rPr>
          <w:rFonts w:ascii="Arial" w:cs="Arial" w:eastAsia="Arial" w:hAnsi="Arial"/>
          <w:sz w:val="20"/>
          <w:szCs w:val="20"/>
          <w:color w:val="auto"/>
        </w:rPr>
        <w:t xml:space="preserve">” means Gentium S.p.A, a </w:t>
      </w:r>
      <w:r>
        <w:rPr>
          <w:rFonts w:ascii="Arial" w:cs="Arial" w:eastAsia="Arial" w:hAnsi="Arial"/>
          <w:sz w:val="20"/>
          <w:szCs w:val="20"/>
          <w:i w:val="1"/>
          <w:iCs w:val="1"/>
          <w:color w:val="auto"/>
        </w:rPr>
        <w:t>società per azioni</w:t>
      </w:r>
      <w:r>
        <w:rPr>
          <w:rFonts w:ascii="Arial" w:cs="Arial" w:eastAsia="Arial" w:hAnsi="Arial"/>
          <w:sz w:val="20"/>
          <w:szCs w:val="20"/>
          <w:color w:val="auto"/>
        </w:rPr>
        <w:t xml:space="preserve"> incorporated in Italy.</w:t>
      </w:r>
    </w:p>
    <w:p>
      <w:pPr>
        <w:spacing w:after="0" w:line="216" w:lineRule="exact"/>
        <w:rPr>
          <w:sz w:val="20"/>
          <w:szCs w:val="20"/>
          <w:color w:val="auto"/>
        </w:rPr>
      </w:pPr>
    </w:p>
    <w:p>
      <w:pPr>
        <w:ind w:right="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Gentium Acquisition</w:t>
      </w:r>
      <w:r>
        <w:rPr>
          <w:rFonts w:ascii="Arial" w:cs="Arial" w:eastAsia="Arial" w:hAnsi="Arial"/>
          <w:sz w:val="20"/>
          <w:szCs w:val="20"/>
          <w:color w:val="auto"/>
        </w:rPr>
        <w:t xml:space="preserve">” means the acquisition of Gentium pursuant to that certain Tender Offer Agreement dated December 19, 2013 among Parent, Jazz Pharmaceuticals Italy S.r.L., an Italian </w:t>
      </w:r>
      <w:r>
        <w:rPr>
          <w:rFonts w:ascii="Arial" w:cs="Arial" w:eastAsia="Arial" w:hAnsi="Arial"/>
          <w:sz w:val="20"/>
          <w:szCs w:val="20"/>
          <w:i w:val="1"/>
          <w:iCs w:val="1"/>
          <w:color w:val="auto"/>
        </w:rPr>
        <w:t>società a responsabilità limitata</w:t>
      </w:r>
      <w:r>
        <w:rPr>
          <w:rFonts w:ascii="Arial" w:cs="Arial" w:eastAsia="Arial" w:hAnsi="Arial"/>
          <w:sz w:val="20"/>
          <w:szCs w:val="20"/>
          <w:color w:val="auto"/>
        </w:rPr>
        <w:t>, and Gentium, including the subsequent acquisition of any Equity Interests remaining after the tender offer contemplated thereby.</w:t>
      </w:r>
    </w:p>
    <w:p>
      <w:pPr>
        <w:spacing w:after="0" w:line="186" w:lineRule="exact"/>
        <w:rPr>
          <w:sz w:val="20"/>
          <w:szCs w:val="20"/>
          <w:color w:val="auto"/>
        </w:rPr>
      </w:pPr>
    </w:p>
    <w:p>
      <w:pPr>
        <w:ind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Gibraltar Share Charge</w:t>
      </w:r>
      <w:r>
        <w:rPr>
          <w:rFonts w:ascii="Arial" w:cs="Arial" w:eastAsia="Arial" w:hAnsi="Arial"/>
          <w:sz w:val="18"/>
          <w:szCs w:val="18"/>
          <w:color w:val="auto"/>
        </w:rPr>
        <w:t xml:space="preserve">” means a charge granted by the Parent and Jazz Pharmaceuticals Holdings Inc. of their equity interests in </w:t>
      </w:r>
      <w:r>
        <w:rPr>
          <w:rFonts w:ascii="Arial" w:cs="Arial" w:eastAsia="Arial" w:hAnsi="Arial"/>
          <w:sz w:val="18"/>
          <w:szCs w:val="18"/>
          <w:u w:val="single" w:color="auto"/>
          <w:color w:val="0000FF"/>
        </w:rPr>
        <w:t>Jazz Pharmaceuticals Europe Holdings Limited (formerly</w:t>
      </w:r>
      <w:r>
        <w:rPr>
          <w:rFonts w:ascii="Arial" w:cs="Arial" w:eastAsia="Arial" w:hAnsi="Arial"/>
          <w:sz w:val="18"/>
          <w:szCs w:val="18"/>
          <w:color w:val="auto"/>
        </w:rPr>
        <w:t xml:space="preserve"> EUSA Pharma International Limited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in favor of the Collateral Agent for the benefit of the Finance Parties, which charge shall be in form and substance reasonably satisfactory to the Collateral Agent.</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 Acts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2.05(l)</w:t>
      </w:r>
      <w:r>
        <w:rPr>
          <w:rFonts w:ascii="Arial" w:cs="Arial" w:eastAsia="Arial" w:hAnsi="Arial"/>
          <w:sz w:val="20"/>
          <w:szCs w:val="20"/>
          <w:color w:val="auto"/>
        </w:rPr>
        <w:t>.</w:t>
      </w:r>
    </w:p>
    <w:p>
      <w:pPr>
        <w:spacing w:after="0" w:line="216" w:lineRule="exact"/>
        <w:rPr>
          <w:sz w:val="20"/>
          <w:szCs w:val="20"/>
          <w:color w:val="auto"/>
        </w:rPr>
      </w:pPr>
    </w:p>
    <w:p>
      <w:pPr>
        <w:ind w:right="28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2" w:lineRule="exact"/>
        <w:rPr>
          <w:sz w:val="20"/>
          <w:szCs w:val="20"/>
          <w:color w:val="auto"/>
        </w:rPr>
      </w:pPr>
    </w:p>
    <w:p>
      <w:pPr>
        <w:ind w:right="12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Group</w:t>
      </w:r>
      <w:r>
        <w:rPr>
          <w:rFonts w:ascii="Arial" w:cs="Arial" w:eastAsia="Arial" w:hAnsi="Arial"/>
          <w:sz w:val="20"/>
          <w:szCs w:val="20"/>
          <w:color w:val="auto"/>
        </w:rPr>
        <w:t xml:space="preserve">” means at any time a group of Loans consisting of (i) all Loans which are Base Rate Loans at such time or (ii) all Loans which are Eurodollar Loans having the same Interest Period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Loan of any particular Lender is converted to or made as a Base Rate Loan pursuant to </w:t>
      </w:r>
      <w:r>
        <w:rPr>
          <w:rFonts w:ascii="Arial" w:cs="Arial" w:eastAsia="Arial" w:hAnsi="Arial"/>
          <w:sz w:val="20"/>
          <w:szCs w:val="20"/>
          <w:u w:val="single" w:color="auto"/>
          <w:color w:val="auto"/>
        </w:rPr>
        <w:t>Article III</w:t>
      </w:r>
      <w:r>
        <w:rPr>
          <w:rFonts w:ascii="Arial" w:cs="Arial" w:eastAsia="Arial" w:hAnsi="Arial"/>
          <w:sz w:val="20"/>
          <w:szCs w:val="20"/>
          <w:color w:val="auto"/>
        </w:rPr>
        <w:t>, such Loan shall be included in the same Group or Group of Loans from time to time as it would have been had it not been so converted or made.</w:t>
      </w:r>
    </w:p>
    <w:p>
      <w:pPr>
        <w:spacing w:after="0" w:line="192" w:lineRule="exact"/>
        <w:rPr>
          <w:sz w:val="20"/>
          <w:szCs w:val="20"/>
          <w:color w:val="auto"/>
        </w:rPr>
      </w:pPr>
    </w:p>
    <w:p>
      <w:pPr>
        <w:ind w:right="40"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w:t>
      </w:r>
      <w:r>
        <w:rPr>
          <w:rFonts w:ascii="Arial" w:cs="Arial" w:eastAsia="Arial" w:hAnsi="Arial"/>
          <w:sz w:val="20"/>
          <w:szCs w:val="20"/>
          <w:color w:val="auto"/>
        </w:rPr>
        <w:t>” of or by any Person (the “</w:t>
      </w:r>
      <w:r>
        <w:rPr>
          <w:rFonts w:ascii="Arial" w:cs="Arial" w:eastAsia="Arial" w:hAnsi="Arial"/>
          <w:sz w:val="20"/>
          <w:szCs w:val="20"/>
          <w:u w:val="single" w:color="auto"/>
          <w:color w:val="auto"/>
        </w:rPr>
        <w:t>guarantor</w:t>
      </w:r>
      <w:r>
        <w:rPr>
          <w:rFonts w:ascii="Arial" w:cs="Arial" w:eastAsia="Arial" w:hAnsi="Arial"/>
          <w:sz w:val="20"/>
          <w:szCs w:val="20"/>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20"/>
          <w:szCs w:val="20"/>
          <w:u w:val="single" w:color="auto"/>
          <w:color w:val="auto"/>
        </w:rPr>
        <w:t>primary obligor</w:t>
      </w:r>
      <w:r>
        <w:rPr>
          <w:rFonts w:ascii="Arial" w:cs="Arial" w:eastAsia="Arial" w:hAnsi="Arial"/>
          <w:sz w:val="20"/>
          <w:szCs w:val="20"/>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24" w:name="page225"/>
    <w:bookmarkEnd w:id="224"/>
    <w:p>
      <w:pPr>
        <w:spacing w:after="0" w:line="255" w:lineRule="auto"/>
        <w:rPr>
          <w:sz w:val="20"/>
          <w:szCs w:val="20"/>
          <w:color w:val="auto"/>
        </w:rPr>
      </w:pPr>
      <w:r>
        <w:rPr>
          <w:rFonts w:ascii="Arial" w:cs="Arial" w:eastAsia="Arial" w:hAnsi="Arial"/>
          <w:sz w:val="19"/>
          <w:szCs w:val="19"/>
          <w:color w:val="auto"/>
        </w:rPr>
        <w:t xml:space="preserve">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Guarantee shall not include endorsements for collection or deposit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lesser of (a) the stated or determinable amount of the primary payment obligation in respect of which such Guarantee is made and (b) the maximum amount for which the guaranteeing Person may be liable pursuant to the terms of the instrument embodying such Guarantee, unless such primary payment obligation and the maximum amount for which such guaranteeing Person may be liable are not stated or determinable, in which case the amount of the Guarantee shall be such guaranteeing Person’s maximum reasonably possible liability in respect thereof as reasonably determined by Parent in good faith.</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shall have the meaning as set forth in the Guaranty Agreement.</w:t>
      </w:r>
    </w:p>
    <w:p>
      <w:pPr>
        <w:spacing w:after="0" w:line="216" w:lineRule="exact"/>
        <w:rPr>
          <w:sz w:val="20"/>
          <w:szCs w:val="20"/>
          <w:color w:val="auto"/>
        </w:rPr>
      </w:pPr>
    </w:p>
    <w:p>
      <w:pPr>
        <w:ind w:right="200" w:firstLine="129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collectively, (A) Parent, (B) each Restricted Subsidiary of Parent (except (i) the Lead Borrower with respect to Guaranteed Obligations of the Lead Borrower, (ii) the U.S. Borrower with respect to Guaranteed Obligations of the U.S. Borrower,</w:t>
      </w:r>
    </w:p>
    <w:p>
      <w:pPr>
        <w:spacing w:after="0" w:line="1" w:lineRule="exact"/>
        <w:rPr>
          <w:sz w:val="20"/>
          <w:szCs w:val="20"/>
          <w:color w:val="auto"/>
        </w:rPr>
      </w:pPr>
    </w:p>
    <w:p>
      <w:pPr>
        <w:ind w:right="100" w:firstLine="8"/>
        <w:spacing w:after="0" w:line="282" w:lineRule="auto"/>
        <w:tabs>
          <w:tab w:leader="none" w:pos="3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Jazz Financing I with respect to Guaranteed Obligations of Jazz Financing I, (iv) Jazz Ireland with respect to Guaranteed Obligations of Jazz Ireland and (v) and any Excluded Subsidiary) and (C) each Subsidiary of Parent that becomes a party to the Guaranty Agreement or other guaranty agreement after the Closing Date required pursuant to </w:t>
      </w:r>
      <w:r>
        <w:rPr>
          <w:rFonts w:ascii="Arial" w:cs="Arial" w:eastAsia="Arial" w:hAnsi="Arial"/>
          <w:sz w:val="18"/>
          <w:szCs w:val="18"/>
          <w:u w:val="single" w:color="auto"/>
          <w:color w:val="auto"/>
        </w:rPr>
        <w:t>Section 6.09</w:t>
      </w:r>
      <w:r>
        <w:rPr>
          <w:rFonts w:ascii="Arial" w:cs="Arial" w:eastAsia="Arial" w:hAnsi="Arial"/>
          <w:sz w:val="18"/>
          <w:szCs w:val="18"/>
          <w:color w:val="auto"/>
        </w:rPr>
        <w:t>, and “</w:t>
      </w:r>
      <w:r>
        <w:rPr>
          <w:rFonts w:ascii="Arial" w:cs="Arial" w:eastAsia="Arial" w:hAnsi="Arial"/>
          <w:sz w:val="18"/>
          <w:szCs w:val="18"/>
          <w:u w:val="single" w:color="auto"/>
          <w:color w:val="auto"/>
        </w:rPr>
        <w:t>Guarantors</w:t>
      </w:r>
      <w:r>
        <w:rPr>
          <w:rFonts w:ascii="Arial" w:cs="Arial" w:eastAsia="Arial" w:hAnsi="Arial"/>
          <w:sz w:val="18"/>
          <w:szCs w:val="18"/>
          <w:color w:val="auto"/>
        </w:rPr>
        <w:t>” means any two or more of them.</w:t>
      </w:r>
    </w:p>
    <w:p>
      <w:pPr>
        <w:spacing w:after="0" w:line="159" w:lineRule="exact"/>
        <w:rPr>
          <w:sz w:val="20"/>
          <w:szCs w:val="20"/>
          <w:color w:val="auto"/>
        </w:rPr>
      </w:pPr>
    </w:p>
    <w:p>
      <w:pPr>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Agreement</w:t>
      </w:r>
      <w:r>
        <w:rPr>
          <w:rFonts w:ascii="Arial" w:cs="Arial" w:eastAsia="Arial" w:hAnsi="Arial"/>
          <w:sz w:val="20"/>
          <w:szCs w:val="20"/>
          <w:color w:val="auto"/>
        </w:rPr>
        <w:t xml:space="preserve">” means the Guaranty,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hereto, by Parent and the Subsidiary Guarantors in favor of the Administrative Agent, as the same may be amended, modified or supplemented from time to time in accordance with the terms thereof and of this Agreement.</w:t>
      </w:r>
    </w:p>
    <w:p>
      <w:pPr>
        <w:spacing w:after="0" w:line="186" w:lineRule="exact"/>
        <w:rPr>
          <w:sz w:val="20"/>
          <w:szCs w:val="20"/>
          <w:color w:val="auto"/>
        </w:rPr>
      </w:pPr>
    </w:p>
    <w:p>
      <w:pPr>
        <w:ind w:right="60"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all materials, chemicals, substances, wastes, pollutants, contaminants, compounds, mixtures and constituents in any form, including petroleum or petroleum products, asbestos or asbestos-containing materials, polychlorinated biphenyls or radon gas, regulated pursuant to, or which can give rise to liability under, any Environmental Law.</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HMT</w:t>
      </w:r>
      <w:r>
        <w:rPr>
          <w:rFonts w:ascii="Arial" w:cs="Arial" w:eastAsia="Arial" w:hAnsi="Arial"/>
          <w:sz w:val="20"/>
          <w:szCs w:val="20"/>
          <w:color w:val="auto"/>
        </w:rPr>
        <w:t>” has the meaning set forth in the definition of “Sanction(s).”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Honor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2.05(e)(i)</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Identified Participating Lenders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2.19(c)(iii)</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Identified Qualifying Lenders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2.19(c)(iii)</w:t>
      </w:r>
      <w:r>
        <w:rPr>
          <w:rFonts w:ascii="Arial" w:cs="Arial" w:eastAsia="Arial" w:hAnsi="Arial"/>
          <w:sz w:val="20"/>
          <w:szCs w:val="20"/>
          <w:color w:val="auto"/>
        </w:rPr>
        <w:t>.</w:t>
      </w:r>
    </w:p>
    <w:p>
      <w:pPr>
        <w:spacing w:after="0" w:line="216" w:lineRule="exact"/>
        <w:rPr>
          <w:sz w:val="20"/>
          <w:szCs w:val="20"/>
          <w:color w:val="auto"/>
        </w:rPr>
      </w:pPr>
    </w:p>
    <w:p>
      <w:pPr>
        <w:ind w:right="6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Immaterial Asset Sale</w:t>
      </w:r>
      <w:r>
        <w:rPr>
          <w:rFonts w:ascii="Arial" w:cs="Arial" w:eastAsia="Arial" w:hAnsi="Arial"/>
          <w:sz w:val="20"/>
          <w:szCs w:val="20"/>
          <w:color w:val="auto"/>
        </w:rPr>
        <w:t>” means any Disposition or series of related Dispositions of property in respect of which the fair market value of such property and the Disposition Consideration payable to the Parent or any of its Restricted Subsidiaries is equal to or less than $20,000,000.</w:t>
      </w:r>
    </w:p>
    <w:p>
      <w:pPr>
        <w:spacing w:after="0" w:line="186" w:lineRule="exact"/>
        <w:rPr>
          <w:sz w:val="20"/>
          <w:szCs w:val="20"/>
          <w:color w:val="auto"/>
        </w:rPr>
      </w:pPr>
    </w:p>
    <w:p>
      <w:pPr>
        <w:ind w:right="5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Immaterial Subsidiary</w:t>
      </w:r>
      <w:r>
        <w:rPr>
          <w:rFonts w:ascii="Arial" w:cs="Arial" w:eastAsia="Arial" w:hAnsi="Arial"/>
          <w:sz w:val="20"/>
          <w:szCs w:val="20"/>
          <w:color w:val="auto"/>
        </w:rPr>
        <w:t>” means, as of any date of determination, any direct or indirect Subsidiary of Parent that has been designated by Parent to the Administrative Agent in writing (and not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25" w:name="page226"/>
    <w:bookmarkEnd w:id="225"/>
    <w:p>
      <w:pPr>
        <w:spacing w:after="0" w:line="269" w:lineRule="auto"/>
        <w:rPr>
          <w:sz w:val="20"/>
          <w:szCs w:val="20"/>
          <w:color w:val="auto"/>
        </w:rPr>
      </w:pPr>
      <w:r>
        <w:rPr>
          <w:rFonts w:ascii="Arial" w:cs="Arial" w:eastAsia="Arial" w:hAnsi="Arial"/>
          <w:sz w:val="18"/>
          <w:szCs w:val="18"/>
          <w:color w:val="auto"/>
        </w:rPr>
        <w:t xml:space="preserve">redesignated as a Material Subsidiary as provided below) as an “Immaterial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for purposes of this Agreement, at no time shall (a) (I) the total assets of any Immaterial Subsidiary equal or exceed 5% of Consolidated Total Assets as of the end of the most recently completed Test Period or (II) the revenues for any Immaterial Subsidiary equal or exceed 5% of the consolidated revenues of Parent and its Restricted Subsidiaries for such Test Period or (b) (I) the total assets of all Immaterial Subsidiaries equal or exceed, in the aggregate, 10% of Consolidated Total Assets as of the end of the most recently completed Test Period or (II) the revenues for all Immaterial Subsidiaries equal or exceed, in the aggregate, 10% of the consolidated revenues of Parent and its Restricted Subsidiaries for such Test Period, (ii) the Parent shall not designate any new Immaterial Subsidiary if such designation would not comply with the provisions set forth in clause (i) above, (iii) if the total assets or revenues of all Subsidiaries so designated by Parent as “Immaterial Subsidiaries” (and not redesignated as “Material Subsidiaries”) shall at any time exceed the limits set forth in clause (i)(b) above, then Parent (or in the event Parent has failed to do so concurrently with the delivery of financial statements required for such Test Period by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Administrative Agent) shall redesignate one or more Immaterial Subsidiaries as Material Subsidiaries such that, as a result thereof, the total assets and revenues of all Subsidiaries still designated as “Immaterial Subsidiaries” do not exceed such limits, and (iv) no Borrower nor any direct or indirect parent company of any Borrower may be designated as an “Immaterial Subsidiary”;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Parent may designate and re-designate a Subsidiary as an Immaterial Subsidiary at any time, subject to the terms set forth in this definition. Notwithstanding the foregoing, for any determination made as of or prior to the date any Person becomes an indirect or direct Subsidiary of Parent, such determination and designation shall be made based on financial statements provided by or on behalf of such Person in connection with the acquisition by Parent of such Person or such Person’s assets.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Loans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3.3</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Joinder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2.15(c)</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Facilities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Loans</w:t>
      </w:r>
      <w:r>
        <w:rPr>
          <w:rFonts w:ascii="Arial" w:cs="Arial" w:eastAsia="Arial" w:hAnsi="Arial"/>
          <w:sz w:val="20"/>
          <w:szCs w:val="20"/>
          <w:color w:val="auto"/>
        </w:rPr>
        <w:t>” means, collectively, the Incremental Term Loans and Incremental Revolving Loans.</w:t>
      </w:r>
    </w:p>
    <w:p>
      <w:pPr>
        <w:spacing w:after="0" w:line="216" w:lineRule="exact"/>
        <w:rPr>
          <w:sz w:val="20"/>
          <w:szCs w:val="20"/>
          <w:color w:val="auto"/>
        </w:rPr>
      </w:pPr>
    </w:p>
    <w:p>
      <w:pPr>
        <w:ind w:right="48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Commitment Percentage</w:t>
      </w:r>
      <w:r>
        <w:rPr>
          <w:rFonts w:ascii="Arial" w:cs="Arial" w:eastAsia="Arial" w:hAnsi="Arial"/>
          <w:sz w:val="20"/>
          <w:szCs w:val="20"/>
          <w:color w:val="auto"/>
        </w:rPr>
        <w:t xml:space="preserve">” means, for each Lender, the percentage of the aggregate Incremental Revolving Commitments represented by such Lender’s Incremental Revolving Commitment at such time and identified as its Incremental Revolving Commitment Percentage in any Increase Joinder, as such percentage may be modified in connection with any Assignment and Assumption made in accordance with the provisions of </w:t>
      </w:r>
      <w:r>
        <w:rPr>
          <w:rFonts w:ascii="Arial" w:cs="Arial" w:eastAsia="Arial" w:hAnsi="Arial"/>
          <w:sz w:val="20"/>
          <w:szCs w:val="20"/>
          <w:u w:val="single" w:color="auto"/>
          <w:color w:val="auto"/>
        </w:rPr>
        <w:t>Section 10.06(b)</w:t>
      </w:r>
      <w:r>
        <w:rPr>
          <w:rFonts w:ascii="Arial" w:cs="Arial" w:eastAsia="Arial" w:hAnsi="Arial"/>
          <w:sz w:val="20"/>
          <w:szCs w:val="20"/>
          <w:color w:val="auto"/>
        </w:rPr>
        <w: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Commitments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Increase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Loans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Facility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16" w:lineRule="exact"/>
        <w:rPr>
          <w:sz w:val="20"/>
          <w:szCs w:val="20"/>
          <w:color w:val="auto"/>
        </w:rPr>
      </w:pPr>
    </w:p>
    <w:p>
      <w:pPr>
        <w:ind w:right="1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Commitment Percentage</w:t>
      </w:r>
      <w:r>
        <w:rPr>
          <w:rFonts w:ascii="Arial" w:cs="Arial" w:eastAsia="Arial" w:hAnsi="Arial"/>
          <w:sz w:val="20"/>
          <w:szCs w:val="20"/>
          <w:color w:val="auto"/>
        </w:rPr>
        <w:t>” means, for each Lender, the percentage of the aggregate Incremental Term Loan Commitments represented by such Lender’s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26" w:name="page227"/>
    <w:bookmarkEnd w:id="226"/>
    <w:p>
      <w:pPr>
        <w:spacing w:after="0" w:line="250" w:lineRule="auto"/>
        <w:rPr>
          <w:sz w:val="20"/>
          <w:szCs w:val="20"/>
          <w:color w:val="auto"/>
        </w:rPr>
      </w:pPr>
      <w:r>
        <w:rPr>
          <w:rFonts w:ascii="Arial" w:cs="Arial" w:eastAsia="Arial" w:hAnsi="Arial"/>
          <w:sz w:val="20"/>
          <w:szCs w:val="20"/>
          <w:color w:val="auto"/>
        </w:rPr>
        <w:t xml:space="preserve">Incremental Term Loan Commitment at such time and identified as its Incremental Term Loan Commitment Percentage in any Increase Joinder, as such percentage may be modified in connection with any Assignment and Assumption made in accordance with the provisions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10.06(b)</w:t>
      </w:r>
      <w:r>
        <w:rPr>
          <w:rFonts w:ascii="Arial" w:cs="Arial" w:eastAsia="Arial" w:hAnsi="Arial"/>
          <w:sz w:val="20"/>
          <w:szCs w:val="20"/>
          <w:color w:val="auto"/>
        </w:rPr>
        <w: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Commitments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16" w:lineRule="exact"/>
        <w:rPr>
          <w:sz w:val="20"/>
          <w:szCs w:val="20"/>
          <w:color w:val="auto"/>
        </w:rPr>
      </w:pPr>
    </w:p>
    <w:p>
      <w:pPr>
        <w:ind w:right="40" w:firstLine="129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(excluding trade accounts payable and accrued expenses arising in the ordinary course of business and licenses in the ordinary course of business), (d) all obligations of such Person in respect of the deferred purchase price of property or services (but excluding (i) trade accounts and accrued expense payable incurred in the ordinary course of business, (ii) payroll liabilities and deferred compensation and (iii) any purchase price adjustment, royalty, earnout, Milestone Payment, contingent payment or deferred payment of a similar nature incurred in connection with an acquisition), (e) all Capital Lease Obligations and Synthetic Lease Obligations of such Person, (f) all obligations, contingent or otherwise, of such Person as an account party in respect of letters of credit and surety bonds, (g) all obligations, contingent or otherwise, of such Person in respect of bankers’ acceptances, (h) all Indebtedness of others secured by (or for which the holder of such Indebtedness has an existing right, contingent or otherwise, to be secured by) any Lien on property owned or acquired by such Person, whether or not the Indebtedness secured thereby has been assumed;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Person has not assumed or otherwise become liable in respect of such Indebtedness, such obligations shall be deemed to be in an amount equal to the lesser of (i) the unpaid amount of such Indebtedness and (ii) fair market value of such property at the time of determination (in Parent’s good faith estimate), (i) all Guarantees by such Person of Indebtedness of others and (j) all Disqualified Capital Stock.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Liabilities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any Taxes other than Excluded Taxes.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w:t>
      </w:r>
      <w:r>
        <w:rPr>
          <w:rFonts w:ascii="Arial" w:cs="Arial" w:eastAsia="Arial" w:hAnsi="Arial"/>
          <w:sz w:val="20"/>
          <w:szCs w:val="20"/>
          <w:color w:val="auto"/>
        </w:rPr>
        <w:t>.</w:t>
      </w:r>
    </w:p>
    <w:p>
      <w:pPr>
        <w:spacing w:after="0" w:line="216" w:lineRule="exact"/>
        <w:rPr>
          <w:sz w:val="20"/>
          <w:szCs w:val="20"/>
          <w:color w:val="auto"/>
        </w:rPr>
      </w:pPr>
    </w:p>
    <w:p>
      <w:pPr>
        <w:ind w:right="60" w:firstLine="129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Insolvency or Liquidation Proceeding</w:t>
      </w:r>
      <w:r>
        <w:rPr>
          <w:rFonts w:ascii="Arial" w:cs="Arial" w:eastAsia="Arial" w:hAnsi="Arial"/>
          <w:sz w:val="19"/>
          <w:szCs w:val="19"/>
          <w:color w:val="auto"/>
        </w:rPr>
        <w:t>” means (i) any voluntary or involuntary case or proceeding under the Bankruptcy Code or any other Bankruptcy Law with respect to any Loan Party, (ii) any other voluntary or involuntary insolvency, examinership, reorganization or bankruptcy case or proceeding, or any receivership, liquidation, reorganization or other similar case or proceeding with respect to any Loan Party or with respect to a material portion of their respective assets, (iii) any liquidation, dissolution, examinership, reorganization or winding up of any Loan Party whether voluntary or involuntary and whether or not involving insolvency or bankruptcy or (iv) any assignment for the benefit of creditors or any other marshaling of assets and liabilities of any Loan Party.</w:t>
      </w:r>
    </w:p>
    <w:p>
      <w:pPr>
        <w:spacing w:after="0" w:line="179" w:lineRule="exact"/>
        <w:rPr>
          <w:sz w:val="20"/>
          <w:szCs w:val="20"/>
          <w:color w:val="auto"/>
        </w:rPr>
      </w:pPr>
    </w:p>
    <w:p>
      <w:pPr>
        <w:ind w:right="3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Proceeds</w:t>
      </w:r>
      <w:r>
        <w:rPr>
          <w:rFonts w:ascii="Arial" w:cs="Arial" w:eastAsia="Arial" w:hAnsi="Arial"/>
          <w:sz w:val="20"/>
          <w:szCs w:val="20"/>
          <w:color w:val="auto"/>
        </w:rPr>
        <w:t>” means all insurance proceeds (other than business interruption insurance proceeds), damages, awards, claims and rights of action with respect to any Casualty.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27" w:name="page228"/>
    <w:bookmarkEnd w:id="227"/>
    <w:p>
      <w:pPr>
        <w:ind w:right="140"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Note</w:t>
      </w:r>
      <w:r>
        <w:rPr>
          <w:rFonts w:ascii="Arial" w:cs="Arial" w:eastAsia="Arial" w:hAnsi="Arial"/>
          <w:sz w:val="18"/>
          <w:szCs w:val="18"/>
          <w:color w:val="auto"/>
        </w:rPr>
        <w:t xml:space="preserve">” means a promissory note contemplated by </w:t>
      </w:r>
      <w:r>
        <w:rPr>
          <w:rFonts w:ascii="Arial" w:cs="Arial" w:eastAsia="Arial" w:hAnsi="Arial"/>
          <w:sz w:val="18"/>
          <w:szCs w:val="18"/>
          <w:u w:val="single" w:color="auto"/>
          <w:color w:val="auto"/>
        </w:rPr>
        <w:t>Section 7.04(d)</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 or such other form as is reasonably acceptable to the Administrative Agent, and “Intercompany Notes” means any two or more of them.</w:t>
      </w:r>
    </w:p>
    <w:p>
      <w:pPr>
        <w:spacing w:after="0" w:line="130" w:lineRule="exact"/>
        <w:rPr>
          <w:sz w:val="20"/>
          <w:szCs w:val="20"/>
          <w:color w:val="auto"/>
        </w:rPr>
      </w:pPr>
    </w:p>
    <w:p>
      <w:pPr>
        <w:ind w:right="1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Coverage Ratio</w:t>
      </w:r>
      <w:r>
        <w:rPr>
          <w:rFonts w:ascii="Arial" w:cs="Arial" w:eastAsia="Arial" w:hAnsi="Arial"/>
          <w:sz w:val="20"/>
          <w:szCs w:val="20"/>
          <w:color w:val="auto"/>
        </w:rPr>
        <w:t>” means, as of any date of determination, the ratio of (a) Consolidated EBITDA for the most recently ended Test Period to (b) Consolidated Cash Interest Expense for such Test Period.</w:t>
      </w:r>
    </w:p>
    <w:p>
      <w:pPr>
        <w:spacing w:after="0" w:line="177" w:lineRule="exact"/>
        <w:rPr>
          <w:sz w:val="20"/>
          <w:szCs w:val="20"/>
          <w:color w:val="auto"/>
        </w:rPr>
      </w:pPr>
    </w:p>
    <w:p>
      <w:pPr>
        <w:ind w:right="80"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means (i) as to Base Rate Loans, the last Business Day of each March, June, September and December (commencing September 30, 2015) and the Maturity Date for Loans of the applicable Class and (ii) as to Eurodollar Loans, the last day of each applicable Interest Period and the Maturity Date for Loans of the applicable Class, and in addition where the applicable Interest Period for a Eurodollar Loan is greater than three months, then also the respective dates that fall every three months after the beginning of such Interest Period.</w:t>
      </w:r>
    </w:p>
    <w:p>
      <w:pPr>
        <w:spacing w:after="0" w:line="195" w:lineRule="exact"/>
        <w:rPr>
          <w:sz w:val="20"/>
          <w:szCs w:val="20"/>
          <w:color w:val="auto"/>
        </w:rPr>
      </w:pPr>
    </w:p>
    <w:p>
      <w:pPr>
        <w:ind w:right="360"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with respect to each Eurodollar Loan, the period commencing on the date such Eurodollar Loan is disbursed or converted to or continued as a Eurodollar Loan and ending on the date one, two, three or six months thereafter (in each case, subject to availability), as selected by the applicable Borrower in its Notice of Borrowing, or such other period that is twelve months or less requested by the applicable Borrower and consented to by all relevant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90" w:lineRule="exact"/>
        <w:rPr>
          <w:sz w:val="20"/>
          <w:szCs w:val="20"/>
          <w:color w:val="auto"/>
        </w:rPr>
      </w:pPr>
    </w:p>
    <w:p>
      <w:pPr>
        <w:ind w:left="660" w:right="40" w:firstLine="645"/>
        <w:spacing w:after="0" w:line="278" w:lineRule="auto"/>
        <w:tabs>
          <w:tab w:leader="none" w:pos="2143" w:val="left"/>
        </w:tabs>
        <w:numPr>
          <w:ilvl w:val="0"/>
          <w:numId w:val="148"/>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subject to clause (iii) below, be extended to the next succeeding Business Day unless such Business Day falls in another calendar month, in which case such Interest Period shall end on the next preceding Business Day;</w:t>
      </w:r>
    </w:p>
    <w:p>
      <w:pPr>
        <w:spacing w:after="0" w:line="146" w:lineRule="exact"/>
        <w:rPr>
          <w:rFonts w:ascii="Arial" w:cs="Arial" w:eastAsia="Arial" w:hAnsi="Arial"/>
          <w:sz w:val="20"/>
          <w:szCs w:val="20"/>
          <w:color w:val="auto"/>
        </w:rPr>
      </w:pPr>
    </w:p>
    <w:p>
      <w:pPr>
        <w:jc w:val="both"/>
        <w:ind w:left="660" w:right="500" w:firstLine="645"/>
        <w:spacing w:after="0" w:line="278" w:lineRule="auto"/>
        <w:tabs>
          <w:tab w:leader="none" w:pos="2198" w:val="left"/>
        </w:tabs>
        <w:numPr>
          <w:ilvl w:val="0"/>
          <w:numId w:val="148"/>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46" w:lineRule="exact"/>
        <w:rPr>
          <w:rFonts w:ascii="Arial" w:cs="Arial" w:eastAsia="Arial" w:hAnsi="Arial"/>
          <w:sz w:val="20"/>
          <w:szCs w:val="20"/>
          <w:color w:val="auto"/>
        </w:rPr>
      </w:pPr>
    </w:p>
    <w:p>
      <w:pPr>
        <w:ind w:left="2240" w:hanging="935"/>
        <w:spacing w:after="0"/>
        <w:tabs>
          <w:tab w:leader="none" w:pos="224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 for Loans of the applicable Class.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7.04</w:t>
      </w:r>
      <w:r>
        <w:rPr>
          <w:rFonts w:ascii="Arial" w:cs="Arial" w:eastAsia="Arial" w:hAnsi="Arial"/>
          <w:sz w:val="20"/>
          <w:szCs w:val="20"/>
          <w:color w:val="auto"/>
        </w:rPr>
        <w:t>.</w:t>
      </w:r>
    </w:p>
    <w:p>
      <w:pPr>
        <w:spacing w:after="0" w:line="216" w:lineRule="exact"/>
        <w:rPr>
          <w:sz w:val="20"/>
          <w:szCs w:val="20"/>
          <w:color w:val="auto"/>
        </w:rPr>
      </w:pPr>
    </w:p>
    <w:p>
      <w:pPr>
        <w:ind w:right="2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Irish Borrowers</w:t>
      </w:r>
      <w:r>
        <w:rPr>
          <w:rFonts w:ascii="Arial" w:cs="Arial" w:eastAsia="Arial" w:hAnsi="Arial"/>
          <w:sz w:val="20"/>
          <w:szCs w:val="20"/>
          <w:color w:val="auto"/>
        </w:rPr>
        <w:t>” means, collectively, the Lead Borrower, Jazz Financing I and Jazz Ireland and “</w:t>
      </w:r>
      <w:r>
        <w:rPr>
          <w:rFonts w:ascii="Arial" w:cs="Arial" w:eastAsia="Arial" w:hAnsi="Arial"/>
          <w:sz w:val="20"/>
          <w:szCs w:val="20"/>
          <w:u w:val="single" w:color="auto"/>
          <w:color w:val="auto"/>
        </w:rPr>
        <w:t>Irish Borrower</w:t>
      </w:r>
      <w:r>
        <w:rPr>
          <w:rFonts w:ascii="Arial" w:cs="Arial" w:eastAsia="Arial" w:hAnsi="Arial"/>
          <w:sz w:val="20"/>
          <w:szCs w:val="20"/>
          <w:color w:val="auto"/>
        </w:rPr>
        <w:t>” means the Lead Borrower, Jazz Financing I or Jazz Ireland, as the context requires.</w:t>
      </w:r>
    </w:p>
    <w:p>
      <w:pPr>
        <w:spacing w:after="0" w:line="177" w:lineRule="exact"/>
        <w:rPr>
          <w:sz w:val="20"/>
          <w:szCs w:val="20"/>
          <w:color w:val="auto"/>
        </w:rPr>
      </w:pPr>
    </w:p>
    <w:p>
      <w:pPr>
        <w:ind w:right="140"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Irish Debenture</w:t>
      </w:r>
      <w:r>
        <w:rPr>
          <w:rFonts w:ascii="Arial" w:cs="Arial" w:eastAsia="Arial" w:hAnsi="Arial"/>
          <w:sz w:val="19"/>
          <w:szCs w:val="19"/>
          <w:color w:val="auto"/>
        </w:rPr>
        <w:t>” means the debenture dated 18 June 2015 made among Parent, the Lead Borrower, Jazz Ireland, Jazz Financing I and Jazz Financing II and the Collateral Agent pursuant to which the Parent, the Lead Borrower, Jazz Ireland and Jazz Financing I and Jazz Financing II created fixed and floating charges over their respective assets located in Ireland.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Irish Lender Tax Certificate</w:t>
      </w:r>
      <w:r>
        <w:rPr>
          <w:rFonts w:ascii="Arial" w:cs="Arial" w:eastAsia="Arial" w:hAnsi="Arial"/>
          <w:sz w:val="20"/>
          <w:szCs w:val="20"/>
          <w:color w:val="auto"/>
        </w:rPr>
        <w:t>” means a certificate substantially in the form of Exhibit F-2, appropriately completed.</w:t>
      </w:r>
    </w:p>
    <w:p>
      <w:pPr>
        <w:spacing w:after="0" w:line="216"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Irish Qualifying Lender</w:t>
      </w:r>
      <w:r>
        <w:rPr>
          <w:rFonts w:ascii="Arial" w:cs="Arial" w:eastAsia="Arial" w:hAnsi="Arial"/>
          <w:sz w:val="20"/>
          <w:szCs w:val="20"/>
          <w:color w:val="auto"/>
        </w:rPr>
        <w:t>” means a Lender Party which is beneficially entitled to interest payable to that Lender Party in respect of an advance under a Loan Document and: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28" w:name="page229"/>
    <w:bookmarkEnd w:id="228"/>
    <w:p>
      <w:pPr>
        <w:ind w:left="-540" w:right="260" w:firstLine="645"/>
        <w:spacing w:after="0" w:line="289" w:lineRule="auto"/>
        <w:tabs>
          <w:tab w:leader="none" w:pos="976" w:val="left"/>
        </w:tabs>
        <w:numPr>
          <w:ilvl w:val="0"/>
          <w:numId w:val="149"/>
        </w:numPr>
        <w:rPr>
          <w:rFonts w:ascii="Arial" w:cs="Arial" w:eastAsia="Arial" w:hAnsi="Arial"/>
          <w:sz w:val="20"/>
          <w:szCs w:val="20"/>
          <w:color w:val="auto"/>
        </w:rPr>
      </w:pPr>
      <w:r>
        <w:rPr>
          <w:rFonts w:ascii="Arial" w:cs="Arial" w:eastAsia="Arial" w:hAnsi="Arial"/>
          <w:sz w:val="20"/>
          <w:szCs w:val="20"/>
          <w:color w:val="auto"/>
        </w:rPr>
        <w:t>which is the holder of an ECB Banking Authorisation or CBI Banking Authorisation and whose Facility Office is located in Ireland; or</w:t>
      </w:r>
    </w:p>
    <w:p>
      <w:pPr>
        <w:spacing w:after="0" w:line="134" w:lineRule="exact"/>
        <w:rPr>
          <w:rFonts w:ascii="Arial" w:cs="Arial" w:eastAsia="Arial" w:hAnsi="Arial"/>
          <w:sz w:val="20"/>
          <w:szCs w:val="20"/>
          <w:color w:val="auto"/>
        </w:rPr>
      </w:pPr>
    </w:p>
    <w:p>
      <w:pPr>
        <w:ind w:left="-540" w:right="200" w:firstLine="645"/>
        <w:spacing w:after="0" w:line="278" w:lineRule="auto"/>
        <w:tabs>
          <w:tab w:leader="none" w:pos="987" w:val="left"/>
        </w:tabs>
        <w:numPr>
          <w:ilvl w:val="0"/>
          <w:numId w:val="149"/>
        </w:numPr>
        <w:rPr>
          <w:rFonts w:ascii="Arial" w:cs="Arial" w:eastAsia="Arial" w:hAnsi="Arial"/>
          <w:sz w:val="20"/>
          <w:szCs w:val="20"/>
          <w:color w:val="auto"/>
        </w:rPr>
      </w:pPr>
      <w:r>
        <w:rPr>
          <w:rFonts w:ascii="Arial" w:cs="Arial" w:eastAsia="Arial" w:hAnsi="Arial"/>
          <w:sz w:val="20"/>
          <w:szCs w:val="20"/>
          <w:color w:val="auto"/>
        </w:rPr>
        <w:t>which is a building society (as defined for the purposes of Section 256(1) of the TCA) and which is carrying on a bona fide banking business in Ireland (for the purposes of Section 246(3) of the TCA) and whose Facility Office is located in Ireland; or</w:t>
      </w:r>
    </w:p>
    <w:p>
      <w:pPr>
        <w:spacing w:after="0" w:line="146" w:lineRule="exact"/>
        <w:rPr>
          <w:rFonts w:ascii="Arial" w:cs="Arial" w:eastAsia="Arial" w:hAnsi="Arial"/>
          <w:sz w:val="20"/>
          <w:szCs w:val="20"/>
          <w:color w:val="auto"/>
        </w:rPr>
      </w:pPr>
    </w:p>
    <w:p>
      <w:pPr>
        <w:ind w:left="-540" w:right="80" w:firstLine="645"/>
        <w:spacing w:after="0" w:line="273" w:lineRule="auto"/>
        <w:tabs>
          <w:tab w:leader="none" w:pos="976" w:val="left"/>
        </w:tabs>
        <w:numPr>
          <w:ilvl w:val="0"/>
          <w:numId w:val="149"/>
        </w:numPr>
        <w:rPr>
          <w:rFonts w:ascii="Arial" w:cs="Arial" w:eastAsia="Arial" w:hAnsi="Arial"/>
          <w:sz w:val="20"/>
          <w:szCs w:val="20"/>
          <w:color w:val="auto"/>
        </w:rPr>
      </w:pPr>
      <w:r>
        <w:rPr>
          <w:rFonts w:ascii="Arial" w:cs="Arial" w:eastAsia="Arial" w:hAnsi="Arial"/>
          <w:sz w:val="20"/>
          <w:szCs w:val="20"/>
          <w:color w:val="auto"/>
        </w:rPr>
        <w:t>which is an authorised credit institution under the terms of Directive 2013/36/EU and has duly established a branch in Ireland having made all necessary notifications to its home state competent authorities required thereunder (and, where applicable in accordance with the SSM Regulation) in relation to its intention to carry on banking business in Ireland and such credit institution is carrying on a bona fide banking business in Ireland (for the purposes of Section 246(3) of the TCA) and whose Facility Office is located in Ireland; or</w:t>
      </w:r>
    </w:p>
    <w:p>
      <w:pPr>
        <w:spacing w:after="0" w:line="150" w:lineRule="exact"/>
        <w:rPr>
          <w:rFonts w:ascii="Arial" w:cs="Arial" w:eastAsia="Arial" w:hAnsi="Arial"/>
          <w:sz w:val="20"/>
          <w:szCs w:val="20"/>
          <w:color w:val="auto"/>
        </w:rPr>
      </w:pPr>
    </w:p>
    <w:p>
      <w:pPr>
        <w:ind w:left="980" w:hanging="875"/>
        <w:spacing w:after="0"/>
        <w:tabs>
          <w:tab w:leader="none" w:pos="98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which is a body corporate:</w:t>
      </w:r>
    </w:p>
    <w:p>
      <w:pPr>
        <w:spacing w:after="0" w:line="202" w:lineRule="exact"/>
        <w:rPr>
          <w:rFonts w:ascii="Arial" w:cs="Arial" w:eastAsia="Arial" w:hAnsi="Arial"/>
          <w:sz w:val="20"/>
          <w:szCs w:val="20"/>
          <w:color w:val="auto"/>
        </w:rPr>
      </w:pPr>
    </w:p>
    <w:p>
      <w:pPr>
        <w:jc w:val="both"/>
        <w:ind w:left="-540" w:right="280" w:firstLine="807"/>
        <w:spacing w:after="0" w:line="278" w:lineRule="auto"/>
        <w:tabs>
          <w:tab w:leader="none" w:pos="943" w:val="left"/>
        </w:tabs>
        <w:numPr>
          <w:ilvl w:val="1"/>
          <w:numId w:val="149"/>
        </w:numPr>
        <w:rPr>
          <w:rFonts w:ascii="Arial" w:cs="Arial" w:eastAsia="Arial" w:hAnsi="Arial"/>
          <w:sz w:val="20"/>
          <w:szCs w:val="20"/>
          <w:color w:val="auto"/>
        </w:rPr>
      </w:pPr>
      <w:r>
        <w:rPr>
          <w:rFonts w:ascii="Arial" w:cs="Arial" w:eastAsia="Arial" w:hAnsi="Arial"/>
          <w:sz w:val="20"/>
          <w:szCs w:val="20"/>
          <w:color w:val="auto"/>
        </w:rPr>
        <w:t>which, by virtue of the law of a Relevant Territory is resident in the Relevant Territory for the purposes of tax and that Relevant Territory imposes a tax that generally applies to interest receivable in that Relevant Territory by bodies corporate from sources outside that Relevant Territory; or</w:t>
      </w:r>
    </w:p>
    <w:p>
      <w:pPr>
        <w:spacing w:after="0" w:line="146" w:lineRule="exact"/>
        <w:rPr>
          <w:rFonts w:ascii="Arial" w:cs="Arial" w:eastAsia="Arial" w:hAnsi="Arial"/>
          <w:sz w:val="20"/>
          <w:szCs w:val="20"/>
          <w:color w:val="auto"/>
        </w:rPr>
      </w:pPr>
    </w:p>
    <w:p>
      <w:pPr>
        <w:ind w:left="1000" w:hanging="733"/>
        <w:spacing w:after="0"/>
        <w:tabs>
          <w:tab w:leader="none" w:pos="1000" w:val="left"/>
        </w:tabs>
        <w:numPr>
          <w:ilvl w:val="1"/>
          <w:numId w:val="149"/>
        </w:numPr>
        <w:rPr>
          <w:rFonts w:ascii="Arial" w:cs="Arial" w:eastAsia="Arial" w:hAnsi="Arial"/>
          <w:sz w:val="20"/>
          <w:szCs w:val="20"/>
          <w:color w:val="auto"/>
        </w:rPr>
      </w:pPr>
      <w:r>
        <w:rPr>
          <w:rFonts w:ascii="Arial" w:cs="Arial" w:eastAsia="Arial" w:hAnsi="Arial"/>
          <w:sz w:val="20"/>
          <w:szCs w:val="20"/>
          <w:color w:val="auto"/>
        </w:rPr>
        <w:t>which is in receipt of interest under a Loan Document which:</w:t>
      </w:r>
    </w:p>
    <w:p>
      <w:pPr>
        <w:spacing w:after="0" w:line="188" w:lineRule="exact"/>
        <w:rPr>
          <w:rFonts w:ascii="Arial" w:cs="Arial" w:eastAsia="Arial" w:hAnsi="Arial"/>
          <w:sz w:val="20"/>
          <w:szCs w:val="20"/>
          <w:color w:val="auto"/>
        </w:rPr>
      </w:pPr>
    </w:p>
    <w:p>
      <w:pPr>
        <w:ind w:left="1720" w:right="240" w:hanging="319"/>
        <w:spacing w:after="0" w:line="309" w:lineRule="auto"/>
        <w:tabs>
          <w:tab w:leader="none" w:pos="1720" w:val="left"/>
        </w:tabs>
        <w:numPr>
          <w:ilvl w:val="2"/>
          <w:numId w:val="149"/>
        </w:numPr>
        <w:rPr>
          <w:rFonts w:ascii="Arial" w:cs="Arial" w:eastAsia="Arial" w:hAnsi="Arial"/>
          <w:sz w:val="16"/>
          <w:szCs w:val="16"/>
          <w:color w:val="auto"/>
        </w:rPr>
      </w:pPr>
      <w:r>
        <w:rPr>
          <w:rFonts w:ascii="Arial" w:cs="Arial" w:eastAsia="Arial" w:hAnsi="Arial"/>
          <w:sz w:val="16"/>
          <w:szCs w:val="16"/>
          <w:color w:val="auto"/>
        </w:rPr>
        <w:t>is exempted from the charge to Irish income tax pursuant to the terms of a double taxation treaty entered into between Ireland and another jurisdiction that is in force on the date the relevant interest is paid; or</w:t>
      </w:r>
    </w:p>
    <w:p>
      <w:pPr>
        <w:spacing w:after="0" w:line="1" w:lineRule="exact"/>
        <w:rPr>
          <w:rFonts w:ascii="Arial" w:cs="Arial" w:eastAsia="Arial" w:hAnsi="Arial"/>
          <w:sz w:val="16"/>
          <w:szCs w:val="16"/>
          <w:color w:val="auto"/>
        </w:rPr>
      </w:pPr>
    </w:p>
    <w:p>
      <w:pPr>
        <w:jc w:val="both"/>
        <w:ind w:left="1720" w:right="260" w:hanging="319"/>
        <w:spacing w:after="0" w:line="332" w:lineRule="auto"/>
        <w:tabs>
          <w:tab w:leader="none" w:pos="1720" w:val="left"/>
        </w:tabs>
        <w:numPr>
          <w:ilvl w:val="2"/>
          <w:numId w:val="149"/>
        </w:numPr>
        <w:rPr>
          <w:rFonts w:ascii="Arial" w:cs="Arial" w:eastAsia="Arial" w:hAnsi="Arial"/>
          <w:sz w:val="16"/>
          <w:szCs w:val="16"/>
          <w:color w:val="auto"/>
        </w:rPr>
      </w:pPr>
      <w:r>
        <w:rPr>
          <w:rFonts w:ascii="Arial" w:cs="Arial" w:eastAsia="Arial" w:hAnsi="Arial"/>
          <w:sz w:val="16"/>
          <w:szCs w:val="16"/>
          <w:color w:val="auto"/>
        </w:rPr>
        <w:t>would be exempted from the charge to Irish income tax pursuant to the terms of a double taxation treaty entered into between Ireland and another jurisdiction signed on or before the date on which the relevant interest is paid but not in force on that date, assuming that treaty had the force of law on that date;</w:t>
      </w:r>
    </w:p>
    <w:p>
      <w:pPr>
        <w:spacing w:after="0" w:line="139" w:lineRule="exact"/>
        <w:rPr>
          <w:sz w:val="20"/>
          <w:szCs w:val="20"/>
          <w:color w:val="auto"/>
        </w:rPr>
      </w:pPr>
    </w:p>
    <w:p>
      <w:pPr>
        <w:ind w:left="420" w:right="320"/>
        <w:spacing w:after="0" w:line="260" w:lineRule="auto"/>
        <w:rPr>
          <w:sz w:val="20"/>
          <w:szCs w:val="20"/>
          <w:color w:val="auto"/>
        </w:rPr>
      </w:pPr>
      <w:r>
        <w:rPr>
          <w:rFonts w:ascii="Arial" w:cs="Arial" w:eastAsia="Arial" w:hAnsi="Arial"/>
          <w:sz w:val="20"/>
          <w:szCs w:val="20"/>
          <w:color w:val="auto"/>
        </w:rPr>
        <w:t>provided that, in the case of both (i) and (ii) above, such body corporate does not provide its commitment in connection with a trade or business which is carried on in Ireland through a branch or agency; or</w:t>
      </w:r>
    </w:p>
    <w:p>
      <w:pPr>
        <w:spacing w:after="0" w:line="150" w:lineRule="exact"/>
        <w:rPr>
          <w:sz w:val="20"/>
          <w:szCs w:val="20"/>
          <w:color w:val="auto"/>
        </w:rPr>
      </w:pPr>
    </w:p>
    <w:p>
      <w:pPr>
        <w:ind w:left="-1200" w:firstLine="1305"/>
        <w:spacing w:after="0" w:line="274" w:lineRule="auto"/>
        <w:tabs>
          <w:tab w:leader="none" w:pos="96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in the case only where an Irish Borrower is a qualifying company within the meaning of Section 110 of the TCA, which is a person which by virtue of the law of a Relevant Territory is resident in a Relevant Territory for the purposes of tax provided that such person does not provide its commitment in connection with a trade or business which is carried on in Ireland through a branch or agency in Ireland; or</w:t>
      </w:r>
    </w:p>
    <w:p>
      <w:pPr>
        <w:spacing w:after="0" w:line="151" w:lineRule="exact"/>
        <w:rPr>
          <w:rFonts w:ascii="Arial" w:cs="Arial" w:eastAsia="Arial" w:hAnsi="Arial"/>
          <w:sz w:val="20"/>
          <w:szCs w:val="20"/>
          <w:color w:val="auto"/>
        </w:rPr>
      </w:pPr>
    </w:p>
    <w:p>
      <w:pPr>
        <w:ind w:left="-1200" w:right="120" w:firstLine="1305"/>
        <w:spacing w:after="0" w:line="299" w:lineRule="auto"/>
        <w:tabs>
          <w:tab w:leader="none" w:pos="943" w:val="left"/>
        </w:tabs>
        <w:numPr>
          <w:ilvl w:val="0"/>
          <w:numId w:val="150"/>
        </w:numPr>
        <w:rPr>
          <w:rFonts w:ascii="Arial" w:cs="Arial" w:eastAsia="Arial" w:hAnsi="Arial"/>
          <w:sz w:val="19"/>
          <w:szCs w:val="19"/>
          <w:color w:val="auto"/>
        </w:rPr>
      </w:pPr>
      <w:r>
        <w:rPr>
          <w:rFonts w:ascii="Arial" w:cs="Arial" w:eastAsia="Arial" w:hAnsi="Arial"/>
          <w:sz w:val="19"/>
          <w:szCs w:val="19"/>
          <w:color w:val="auto"/>
        </w:rPr>
        <w:t>which is a U.S. corporation that is incorporated under the laws of the United States, any State thereof or the District of Columbia and is subject to tax in the United States on its worldwide income, provided that such U.S. corporation does not provide its commitment in connection with a trade or business which is carried on in Ireland through a branch or agency; or</w:t>
      </w:r>
    </w:p>
    <w:p>
      <w:pPr>
        <w:spacing w:after="0" w:line="128" w:lineRule="exact"/>
        <w:rPr>
          <w:rFonts w:ascii="Arial" w:cs="Arial" w:eastAsia="Arial" w:hAnsi="Arial"/>
          <w:sz w:val="19"/>
          <w:szCs w:val="19"/>
          <w:color w:val="auto"/>
        </w:rPr>
      </w:pPr>
    </w:p>
    <w:p>
      <w:pPr>
        <w:ind w:left="-1200" w:right="240" w:firstLine="1305"/>
        <w:spacing w:after="0" w:line="289" w:lineRule="auto"/>
        <w:tabs>
          <w:tab w:leader="none" w:pos="975" w:val="left"/>
        </w:tabs>
        <w:numPr>
          <w:ilvl w:val="0"/>
          <w:numId w:val="150"/>
        </w:numPr>
        <w:rPr>
          <w:rFonts w:ascii="Arial" w:cs="Arial" w:eastAsia="Arial" w:hAnsi="Arial"/>
          <w:sz w:val="20"/>
          <w:szCs w:val="20"/>
          <w:color w:val="auto"/>
        </w:rPr>
      </w:pPr>
      <w:r>
        <w:rPr>
          <w:rFonts w:ascii="Arial" w:cs="Arial" w:eastAsia="Arial" w:hAnsi="Arial"/>
          <w:sz w:val="20"/>
          <w:szCs w:val="20"/>
          <w:color w:val="auto"/>
        </w:rPr>
        <w:t>which is a U.S. LLC, where the ultimate recipients of the interest payable to that LLC satisfy the requirements set out in (d), (e) or (f) above and the business conducted through the LLC</w:t>
      </w: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p>
      <w:pPr>
        <w:ind w:left="4420" w:hanging="120"/>
        <w:spacing w:after="0"/>
        <w:tabs>
          <w:tab w:leader="none" w:pos="4420" w:val="left"/>
        </w:tabs>
        <w:numPr>
          <w:ilvl w:val="1"/>
          <w:numId w:val="150"/>
        </w:numPr>
        <w:rPr>
          <w:rFonts w:ascii="Arial" w:cs="Arial" w:eastAsia="Arial" w:hAnsi="Arial"/>
          <w:sz w:val="20"/>
          <w:szCs w:val="20"/>
          <w:color w:val="auto"/>
        </w:rPr>
      </w:pPr>
      <w:r>
        <w:rPr>
          <w:rFonts w:ascii="Arial" w:cs="Arial" w:eastAsia="Arial" w:hAnsi="Arial"/>
          <w:sz w:val="20"/>
          <w:szCs w:val="20"/>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48895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80" w:right="239" w:bottom="1440" w:gutter="0" w:footer="0" w:header="0"/>
        </w:sectPr>
      </w:pPr>
    </w:p>
    <w:bookmarkStart w:id="229" w:name="page230"/>
    <w:bookmarkEnd w:id="229"/>
    <w:p>
      <w:pPr>
        <w:ind w:right="60"/>
        <w:spacing w:after="0" w:line="260" w:lineRule="auto"/>
        <w:rPr>
          <w:sz w:val="20"/>
          <w:szCs w:val="20"/>
          <w:color w:val="auto"/>
        </w:rPr>
      </w:pPr>
      <w:r>
        <w:rPr>
          <w:rFonts w:ascii="Arial" w:cs="Arial" w:eastAsia="Arial" w:hAnsi="Arial"/>
          <w:sz w:val="20"/>
          <w:szCs w:val="20"/>
          <w:color w:val="auto"/>
        </w:rPr>
        <w:t>is so structured for market reasons and not for tax avoidance purposes, provided that such LLC does not provide its commitment in connection with a trade or business which is carried on by it in Ireland through a branch or agency; or</w:t>
      </w:r>
    </w:p>
    <w:p>
      <w:pPr>
        <w:spacing w:after="0" w:line="150" w:lineRule="exact"/>
        <w:rPr>
          <w:sz w:val="20"/>
          <w:szCs w:val="20"/>
          <w:color w:val="auto"/>
        </w:rPr>
      </w:pPr>
    </w:p>
    <w:p>
      <w:pPr>
        <w:ind w:left="2180" w:hanging="875"/>
        <w:spacing w:after="0"/>
        <w:tabs>
          <w:tab w:leader="none" w:pos="218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which is a body corporate:</w:t>
      </w:r>
    </w:p>
    <w:p>
      <w:pPr>
        <w:spacing w:after="0" w:line="202" w:lineRule="exact"/>
        <w:rPr>
          <w:rFonts w:ascii="Arial" w:cs="Arial" w:eastAsia="Arial" w:hAnsi="Arial"/>
          <w:sz w:val="20"/>
          <w:szCs w:val="20"/>
          <w:color w:val="auto"/>
        </w:rPr>
      </w:pPr>
    </w:p>
    <w:p>
      <w:pPr>
        <w:ind w:left="2140" w:hanging="673"/>
        <w:spacing w:after="0"/>
        <w:tabs>
          <w:tab w:leader="none" w:pos="2140" w:val="left"/>
        </w:tabs>
        <w:numPr>
          <w:ilvl w:val="1"/>
          <w:numId w:val="151"/>
        </w:numPr>
        <w:rPr>
          <w:rFonts w:ascii="Arial" w:cs="Arial" w:eastAsia="Arial" w:hAnsi="Arial"/>
          <w:sz w:val="20"/>
          <w:szCs w:val="20"/>
          <w:color w:val="auto"/>
        </w:rPr>
      </w:pPr>
      <w:r>
        <w:rPr>
          <w:rFonts w:ascii="Arial" w:cs="Arial" w:eastAsia="Arial" w:hAnsi="Arial"/>
          <w:sz w:val="20"/>
          <w:szCs w:val="20"/>
          <w:color w:val="auto"/>
        </w:rPr>
        <w:t>which advances money in the ordinary course of a trade which includes the lending of money;</w:t>
      </w:r>
    </w:p>
    <w:p>
      <w:pPr>
        <w:spacing w:after="0" w:line="202" w:lineRule="exact"/>
        <w:rPr>
          <w:rFonts w:ascii="Arial" w:cs="Arial" w:eastAsia="Arial" w:hAnsi="Arial"/>
          <w:sz w:val="20"/>
          <w:szCs w:val="20"/>
          <w:color w:val="auto"/>
        </w:rPr>
      </w:pPr>
    </w:p>
    <w:p>
      <w:pPr>
        <w:ind w:left="660" w:firstLine="807"/>
        <w:spacing w:after="0" w:line="289" w:lineRule="auto"/>
        <w:tabs>
          <w:tab w:leader="none" w:pos="2198" w:val="left"/>
        </w:tabs>
        <w:numPr>
          <w:ilvl w:val="1"/>
          <w:numId w:val="151"/>
        </w:numPr>
        <w:rPr>
          <w:rFonts w:ascii="Arial" w:cs="Arial" w:eastAsia="Arial" w:hAnsi="Arial"/>
          <w:sz w:val="20"/>
          <w:szCs w:val="20"/>
          <w:color w:val="auto"/>
        </w:rPr>
      </w:pPr>
      <w:r>
        <w:rPr>
          <w:rFonts w:ascii="Arial" w:cs="Arial" w:eastAsia="Arial" w:hAnsi="Arial"/>
          <w:sz w:val="20"/>
          <w:szCs w:val="20"/>
          <w:color w:val="auto"/>
        </w:rPr>
        <w:t>in whose hands any interest payable in respect of money so advanced is taken into account in computing the trading income of that body corporate;</w:t>
      </w:r>
    </w:p>
    <w:p>
      <w:pPr>
        <w:spacing w:after="0" w:line="134" w:lineRule="exact"/>
        <w:rPr>
          <w:rFonts w:ascii="Arial" w:cs="Arial" w:eastAsia="Arial" w:hAnsi="Arial"/>
          <w:sz w:val="20"/>
          <w:szCs w:val="20"/>
          <w:color w:val="auto"/>
        </w:rPr>
      </w:pPr>
    </w:p>
    <w:p>
      <w:pPr>
        <w:ind w:left="2240" w:hanging="773"/>
        <w:spacing w:after="0"/>
        <w:tabs>
          <w:tab w:leader="none" w:pos="2240" w:val="left"/>
        </w:tabs>
        <w:numPr>
          <w:ilvl w:val="1"/>
          <w:numId w:val="151"/>
        </w:numPr>
        <w:rPr>
          <w:rFonts w:ascii="Arial" w:cs="Arial" w:eastAsia="Arial" w:hAnsi="Arial"/>
          <w:sz w:val="20"/>
          <w:szCs w:val="20"/>
          <w:color w:val="auto"/>
        </w:rPr>
      </w:pPr>
      <w:r>
        <w:rPr>
          <w:rFonts w:ascii="Arial" w:cs="Arial" w:eastAsia="Arial" w:hAnsi="Arial"/>
          <w:sz w:val="20"/>
          <w:szCs w:val="20"/>
          <w:color w:val="auto"/>
        </w:rPr>
        <w:t>which has complied with the notification requirements set out in Section 246(5)(a) of the TCA; and</w:t>
      </w:r>
    </w:p>
    <w:p>
      <w:pPr>
        <w:spacing w:after="0" w:line="202" w:lineRule="exact"/>
        <w:rPr>
          <w:rFonts w:ascii="Arial" w:cs="Arial" w:eastAsia="Arial" w:hAnsi="Arial"/>
          <w:sz w:val="20"/>
          <w:szCs w:val="20"/>
          <w:color w:val="auto"/>
        </w:rPr>
      </w:pPr>
    </w:p>
    <w:p>
      <w:pPr>
        <w:ind w:left="2240" w:hanging="773"/>
        <w:spacing w:after="0"/>
        <w:tabs>
          <w:tab w:leader="none" w:pos="2240" w:val="left"/>
        </w:tabs>
        <w:numPr>
          <w:ilvl w:val="1"/>
          <w:numId w:val="151"/>
        </w:numPr>
        <w:rPr>
          <w:rFonts w:ascii="Arial" w:cs="Arial" w:eastAsia="Arial" w:hAnsi="Arial"/>
          <w:sz w:val="20"/>
          <w:szCs w:val="20"/>
          <w:color w:val="auto"/>
        </w:rPr>
      </w:pPr>
      <w:r>
        <w:rPr>
          <w:rFonts w:ascii="Arial" w:cs="Arial" w:eastAsia="Arial" w:hAnsi="Arial"/>
          <w:sz w:val="20"/>
          <w:szCs w:val="20"/>
          <w:color w:val="auto"/>
        </w:rPr>
        <w:t>whose Facility Office is located in Ireland; or</w:t>
      </w:r>
    </w:p>
    <w:p>
      <w:pPr>
        <w:spacing w:after="0" w:line="202" w:lineRule="exact"/>
        <w:rPr>
          <w:rFonts w:ascii="Arial" w:cs="Arial" w:eastAsia="Arial" w:hAnsi="Arial"/>
          <w:sz w:val="20"/>
          <w:szCs w:val="20"/>
          <w:color w:val="auto"/>
        </w:rPr>
      </w:pPr>
    </w:p>
    <w:p>
      <w:pPr>
        <w:ind w:left="2140" w:hanging="835"/>
        <w:spacing w:after="0"/>
        <w:tabs>
          <w:tab w:leader="none" w:pos="2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which is a qualifying company (within the meaning of section 110 of the TCA) and whose Facility Office is located</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 Ireland; or</w:t>
      </w:r>
    </w:p>
    <w:p>
      <w:pPr>
        <w:spacing w:after="0" w:line="202" w:lineRule="exact"/>
        <w:rPr>
          <w:rFonts w:ascii="Arial" w:cs="Arial" w:eastAsia="Arial" w:hAnsi="Arial"/>
          <w:sz w:val="18"/>
          <w:szCs w:val="18"/>
          <w:color w:val="auto"/>
        </w:rPr>
      </w:pPr>
    </w:p>
    <w:p>
      <w:pPr>
        <w:ind w:left="2140" w:hanging="835"/>
        <w:spacing w:after="0"/>
        <w:tabs>
          <w:tab w:leader="none" w:pos="2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which is an investment undertaking (within the meaning of Section 739B of the TCA) and whose Facility Office is</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located in Ireland; or</w:t>
      </w:r>
    </w:p>
    <w:p>
      <w:pPr>
        <w:spacing w:after="0" w:line="202" w:lineRule="exact"/>
        <w:rPr>
          <w:rFonts w:ascii="Arial" w:cs="Arial" w:eastAsia="Arial" w:hAnsi="Arial"/>
          <w:sz w:val="18"/>
          <w:szCs w:val="18"/>
          <w:color w:val="auto"/>
        </w:rPr>
      </w:pPr>
    </w:p>
    <w:p>
      <w:pPr>
        <w:ind w:left="2180" w:hanging="875"/>
        <w:spacing w:after="0"/>
        <w:tabs>
          <w:tab w:leader="none" w:pos="21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which is an exempted approved scheme within the meaning of section 774 of the TCA whose Facility Office is</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located in Ireland; or</w:t>
      </w:r>
    </w:p>
    <w:p>
      <w:pPr>
        <w:spacing w:after="0" w:line="202" w:lineRule="exact"/>
        <w:rPr>
          <w:rFonts w:ascii="Arial" w:cs="Arial" w:eastAsia="Arial" w:hAnsi="Arial"/>
          <w:sz w:val="18"/>
          <w:szCs w:val="18"/>
          <w:color w:val="auto"/>
        </w:rPr>
      </w:pPr>
    </w:p>
    <w:p>
      <w:pPr>
        <w:ind w:left="2140" w:hanging="835"/>
        <w:spacing w:after="0"/>
        <w:tabs>
          <w:tab w:leader="none" w:pos="214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which is a Treaty Lender.</w:t>
      </w:r>
    </w:p>
    <w:p>
      <w:pPr>
        <w:spacing w:after="0" w:line="189" w:lineRule="exact"/>
        <w:rPr>
          <w:sz w:val="20"/>
          <w:szCs w:val="20"/>
          <w:color w:val="auto"/>
        </w:rPr>
      </w:pPr>
    </w:p>
    <w:p>
      <w:pPr>
        <w:ind w:right="5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Irish Security Documents</w:t>
      </w:r>
      <w:r>
        <w:rPr>
          <w:rFonts w:ascii="Arial" w:cs="Arial" w:eastAsia="Arial" w:hAnsi="Arial"/>
          <w:sz w:val="20"/>
          <w:szCs w:val="20"/>
          <w:color w:val="auto"/>
        </w:rPr>
        <w:t>” means (a) the Irish Debenture and (b) any Irish law governed share security, which security documents shall be in form and substance reasonably satisfactory to the Collateral Agent.</w:t>
      </w:r>
    </w:p>
    <w:p>
      <w:pPr>
        <w:spacing w:after="0" w:line="177" w:lineRule="exact"/>
        <w:rPr>
          <w:sz w:val="20"/>
          <w:szCs w:val="20"/>
          <w:color w:val="auto"/>
        </w:rPr>
      </w:pPr>
    </w:p>
    <w:p>
      <w:pPr>
        <w:ind w:right="4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177" w:lineRule="exact"/>
        <w:rPr>
          <w:sz w:val="20"/>
          <w:szCs w:val="20"/>
          <w:color w:val="auto"/>
        </w:rPr>
      </w:pPr>
    </w:p>
    <w:p>
      <w:pPr>
        <w:ind w:right="9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Italian Civil Code</w:t>
      </w:r>
      <w:r>
        <w:rPr>
          <w:rFonts w:ascii="Arial" w:cs="Arial" w:eastAsia="Arial" w:hAnsi="Arial"/>
          <w:sz w:val="20"/>
          <w:szCs w:val="20"/>
          <w:color w:val="auto"/>
        </w:rPr>
        <w:t>” means the Italian civil code, enacted by Royal Decree No. 262 of 16 March 1942, as amended, supplemented and implemented from time to time.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Italian Collateral Documents</w:t>
      </w:r>
      <w:r>
        <w:rPr>
          <w:rFonts w:ascii="Arial" w:cs="Arial" w:eastAsia="Arial" w:hAnsi="Arial"/>
          <w:sz w:val="20"/>
          <w:szCs w:val="20"/>
          <w:color w:val="auto"/>
        </w:rPr>
        <w:t>” means any collateral document that is expressed to be governed by Italian law.</w:t>
      </w:r>
    </w:p>
    <w:p>
      <w:pPr>
        <w:spacing w:after="0" w:line="216" w:lineRule="exact"/>
        <w:rPr>
          <w:sz w:val="20"/>
          <w:szCs w:val="20"/>
          <w:color w:val="auto"/>
        </w:rPr>
      </w:pPr>
    </w:p>
    <w:p>
      <w:pPr>
        <w:ind w:right="2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Jazz Financial Statements</w:t>
      </w:r>
      <w:r>
        <w:rPr>
          <w:rFonts w:ascii="Arial" w:cs="Arial" w:eastAsia="Arial" w:hAnsi="Arial"/>
          <w:sz w:val="20"/>
          <w:szCs w:val="20"/>
          <w:color w:val="auto"/>
        </w:rPr>
        <w:t>” means the audited consolidated financial statements of Parent and its Subsidiaries for the fiscal years ended December 31, 2012, 2013 and 2014.</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Jazz Financing I</w:t>
      </w:r>
      <w:r>
        <w:rPr>
          <w:rFonts w:ascii="Arial" w:cs="Arial" w:eastAsia="Arial" w:hAnsi="Arial"/>
          <w:sz w:val="20"/>
          <w:szCs w:val="20"/>
          <w:color w:val="auto"/>
        </w:rPr>
        <w:t>” has the meaning specified in the preamble.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Jazz Financing II</w:t>
      </w:r>
      <w:r>
        <w:rPr>
          <w:rFonts w:ascii="Arial" w:cs="Arial" w:eastAsia="Arial" w:hAnsi="Arial"/>
          <w:sz w:val="20"/>
          <w:szCs w:val="20"/>
          <w:color w:val="auto"/>
        </w:rPr>
        <w:t>” means Jazz Financing II Limited, a company incorporated under the laws of Ireland.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66" w:right="299" w:bottom="1440" w:gutter="0" w:footer="0" w:header="0"/>
        </w:sectPr>
      </w:pPr>
    </w:p>
    <w:bookmarkStart w:id="230" w:name="page231"/>
    <w:bookmarkEnd w:id="230"/>
    <w:p>
      <w:pPr>
        <w:ind w:firstLine="1297"/>
        <w:spacing w:after="0" w:line="260" w:lineRule="auto"/>
        <w:rPr>
          <w:sz w:val="20"/>
          <w:szCs w:val="20"/>
          <w:color w:val="auto"/>
        </w:rPr>
      </w:pPr>
      <w:r>
        <w:rPr>
          <w:rFonts w:ascii="Arial" w:cs="Arial" w:eastAsia="Arial" w:hAnsi="Arial"/>
          <w:sz w:val="20"/>
          <w:szCs w:val="20"/>
          <w:u w:val="single" w:color="auto"/>
          <w:color w:val="0000FF"/>
        </w:rPr>
        <w:t>“Jazz Financing Lux Account Pledge Agreement” means the Luxembourg law governed account pledge agreement entered into between Jazz Financing Lux S.à r.l. and the Collateral Agent.</w:t>
      </w:r>
    </w:p>
    <w:p>
      <w:pPr>
        <w:spacing w:after="0" w:line="177" w:lineRule="exact"/>
        <w:rPr>
          <w:sz w:val="20"/>
          <w:szCs w:val="20"/>
          <w:color w:val="auto"/>
        </w:rPr>
      </w:pPr>
    </w:p>
    <w:p>
      <w:pPr>
        <w:ind w:right="400" w:firstLine="1297"/>
        <w:spacing w:after="0" w:line="287" w:lineRule="auto"/>
        <w:rPr>
          <w:sz w:val="20"/>
          <w:szCs w:val="20"/>
          <w:color w:val="auto"/>
        </w:rPr>
      </w:pPr>
      <w:r>
        <w:rPr>
          <w:rFonts w:ascii="Arial" w:cs="Arial" w:eastAsia="Arial" w:hAnsi="Arial"/>
          <w:sz w:val="19"/>
          <w:szCs w:val="19"/>
          <w:u w:val="single" w:color="auto"/>
          <w:color w:val="0000FF"/>
        </w:rPr>
        <w:t>“Jazz Financing Lux Share Pledge Agreement” means the Luxembourg law governed share pledge agreement entered into between Jazz Pharmaceuticals Public Limited Company, the Collateral Agent and Jazz Financing Lux S.à r.l.</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Jazz Ireland</w:t>
      </w:r>
      <w:r>
        <w:rPr>
          <w:rFonts w:ascii="Arial" w:cs="Arial" w:eastAsia="Arial" w:hAnsi="Arial"/>
          <w:sz w:val="20"/>
          <w:szCs w:val="20"/>
          <w:color w:val="auto"/>
        </w:rPr>
        <w:t>” has the meaning specified in the preamble.</w:t>
      </w:r>
    </w:p>
    <w:p>
      <w:pPr>
        <w:spacing w:after="0" w:line="216" w:lineRule="exact"/>
        <w:rPr>
          <w:sz w:val="20"/>
          <w:szCs w:val="20"/>
          <w:color w:val="auto"/>
        </w:rPr>
      </w:pPr>
    </w:p>
    <w:p>
      <w:pPr>
        <w:ind w:right="28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Joint Bookrunners</w:t>
      </w:r>
      <w:r>
        <w:rPr>
          <w:rFonts w:ascii="Arial" w:cs="Arial" w:eastAsia="Arial" w:hAnsi="Arial"/>
          <w:sz w:val="19"/>
          <w:szCs w:val="19"/>
          <w:color w:val="auto"/>
        </w:rPr>
        <w:t>” means Merrill Lynch, Pierce, Fenner &amp; Smith Incorporated, Barclays Bank PLC, Citibank, N.A., DNB (UK) Limited, J.P. Morgan Securities LLC, and RBC Capital Markets, in their respective capacities as joint bookrunners.</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 Currency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10.16(a)</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 Currency Conversion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10.16(a)</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Debt Payments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7.08(b).</w:t>
      </w:r>
    </w:p>
    <w:p>
      <w:pPr>
        <w:spacing w:after="0" w:line="216" w:lineRule="exact"/>
        <w:rPr>
          <w:sz w:val="20"/>
          <w:szCs w:val="20"/>
          <w:color w:val="auto"/>
        </w:rPr>
      </w:pPr>
    </w:p>
    <w:p>
      <w:pPr>
        <w:ind w:right="4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JV Subsidiary</w:t>
      </w:r>
      <w:r>
        <w:rPr>
          <w:rFonts w:ascii="Arial" w:cs="Arial" w:eastAsia="Arial" w:hAnsi="Arial"/>
          <w:sz w:val="20"/>
          <w:szCs w:val="20"/>
          <w:color w:val="auto"/>
        </w:rPr>
        <w:t>” means any Subsidiary that is not a Wholly Owned Subsidiary and that is a joint venture with a third party unaffiliated with Parent or any other Subsidiary of Parent.</w:t>
      </w:r>
    </w:p>
    <w:p>
      <w:pPr>
        <w:spacing w:after="0" w:line="177" w:lineRule="exact"/>
        <w:rPr>
          <w:sz w:val="20"/>
          <w:szCs w:val="20"/>
          <w:color w:val="auto"/>
        </w:rPr>
      </w:pPr>
    </w:p>
    <w:p>
      <w:pPr>
        <w:ind w:right="2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means, at any date of determination, the latest maturity or termination date applicable to any Loan or Commitment hereunder at such time, including the latest maturity or expiration date of any Other Term Loan, any Other Term Commitment, any Other Revolving Loan or any Other Revolving Commitment (but excluding, for the avoidance of doubt, any Permitted External Credit Agreement Refinancing Indebtedness) in each case as extended in accordance with this Agreement from time to time.</w:t>
      </w:r>
    </w:p>
    <w:p>
      <w:pPr>
        <w:spacing w:after="0" w:line="162" w:lineRule="exact"/>
        <w:rPr>
          <w:sz w:val="20"/>
          <w:szCs w:val="20"/>
          <w:color w:val="auto"/>
        </w:rPr>
      </w:pPr>
    </w:p>
    <w:p>
      <w:pPr>
        <w:ind w:right="12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applicable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directives, licenses, authorizations and permits of any Governmental Authority.</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LCA Election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1.03(e)</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LCA Test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1.03(e)</w:t>
      </w:r>
      <w:r>
        <w:rPr>
          <w:rFonts w:ascii="Arial" w:cs="Arial" w:eastAsia="Arial" w:hAnsi="Arial"/>
          <w:sz w:val="20"/>
          <w:szCs w:val="20"/>
          <w:color w:val="auto"/>
        </w:rPr>
        <w:t>.</w:t>
      </w:r>
    </w:p>
    <w:p>
      <w:pPr>
        <w:spacing w:after="0" w:line="216" w:lineRule="exact"/>
        <w:rPr>
          <w:sz w:val="20"/>
          <w:szCs w:val="20"/>
          <w:color w:val="auto"/>
        </w:rPr>
      </w:pPr>
    </w:p>
    <w:p>
      <w:pPr>
        <w:ind w:right="4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Borrowing</w:t>
      </w:r>
      <w:r>
        <w:rPr>
          <w:rFonts w:ascii="Arial" w:cs="Arial" w:eastAsia="Arial" w:hAnsi="Arial"/>
          <w:sz w:val="20"/>
          <w:szCs w:val="20"/>
          <w:color w:val="auto"/>
        </w:rPr>
        <w:t xml:space="preserve">” means a Revolving Borrowing made pursuant to </w:t>
      </w:r>
      <w:r>
        <w:rPr>
          <w:rFonts w:ascii="Arial" w:cs="Arial" w:eastAsia="Arial" w:hAnsi="Arial"/>
          <w:sz w:val="20"/>
          <w:szCs w:val="20"/>
          <w:u w:val="single" w:color="auto"/>
          <w:color w:val="auto"/>
        </w:rPr>
        <w:t>Section 2.05(e)(iv)</w:t>
      </w:r>
      <w:r>
        <w:rPr>
          <w:rFonts w:ascii="Arial" w:cs="Arial" w:eastAsia="Arial" w:hAnsi="Arial"/>
          <w:sz w:val="20"/>
          <w:szCs w:val="20"/>
          <w:color w:val="auto"/>
        </w:rPr>
        <w:t xml:space="preserve"> and (v) to refinance Unreimbursed Amounts in respect of drawn Letters of Credit.</w:t>
      </w:r>
    </w:p>
    <w:p>
      <w:pPr>
        <w:spacing w:after="0" w:line="177" w:lineRule="exact"/>
        <w:rPr>
          <w:sz w:val="20"/>
          <w:szCs w:val="20"/>
          <w:color w:val="auto"/>
        </w:rPr>
      </w:pPr>
    </w:p>
    <w:p>
      <w:pPr>
        <w:ind w:right="16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Commitment</w:t>
      </w:r>
      <w:r>
        <w:rPr>
          <w:rFonts w:ascii="Arial" w:cs="Arial" w:eastAsia="Arial" w:hAnsi="Arial"/>
          <w:sz w:val="19"/>
          <w:szCs w:val="19"/>
          <w:color w:val="auto"/>
        </w:rPr>
        <w:t>” means the commitment of one or more L/C Issuers to issue Letters of Credit in an aggregate face amount at any one time outstanding (together with the amounts of any unreimbursed drawings thereon) of up to the L/C Sublimit.</w:t>
      </w:r>
    </w:p>
    <w:p>
      <w:pPr>
        <w:spacing w:after="0" w:line="153"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increase of the amount thereof.</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Disbursement</w:t>
      </w:r>
      <w:r>
        <w:rPr>
          <w:rFonts w:ascii="Arial" w:cs="Arial" w:eastAsia="Arial" w:hAnsi="Arial"/>
          <w:sz w:val="20"/>
          <w:szCs w:val="20"/>
          <w:color w:val="auto"/>
        </w:rPr>
        <w:t>” means a payment or disbursement made by an L/C Issuer pursuant to a Letter of Credit.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31" w:name="page232"/>
    <w:bookmarkEnd w:id="231"/>
    <w:p>
      <w:pPr>
        <w:ind w:right="160"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Documents</w:t>
      </w:r>
      <w:r>
        <w:rPr>
          <w:rFonts w:ascii="Arial" w:cs="Arial" w:eastAsia="Arial" w:hAnsi="Arial"/>
          <w:sz w:val="19"/>
          <w:szCs w:val="19"/>
          <w:color w:val="auto"/>
        </w:rPr>
        <w:t>” means, with respect to any Letter of Credit, such Letter of Credit, any amendments thereto, any documents delivered in connection therewith, any Letter of Credit Request, any Letter of Credit Application and any agreements, instruments, Guarantee or other documents (whether general in application or applicable only to such Letter of Credit) governing or providing for (i) the rights and obligations of the parties concerned or at risk or (ii) any collateral security for such obligations.</w:t>
      </w:r>
    </w:p>
    <w:p>
      <w:pPr>
        <w:spacing w:after="0" w:line="177" w:lineRule="exact"/>
        <w:rPr>
          <w:sz w:val="20"/>
          <w:szCs w:val="20"/>
          <w:color w:val="auto"/>
        </w:rPr>
      </w:pPr>
    </w:p>
    <w:p>
      <w:pPr>
        <w:ind w:right="20"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Issuer</w:t>
      </w:r>
      <w:r>
        <w:rPr>
          <w:rFonts w:ascii="Arial" w:cs="Arial" w:eastAsia="Arial" w:hAnsi="Arial"/>
          <w:sz w:val="19"/>
          <w:szCs w:val="19"/>
          <w:color w:val="auto"/>
        </w:rPr>
        <w:t xml:space="preserve">” means (i) Bank of America and JPMorgan Chase Bank, N.A., in their respective capacities as issuers of Letters of Credit ((x) in the case of Bank of America, with respect to all Letters of Credit other than the Existing Letter of Credit and (y) in the case of JPMorgan Chase Bank, N.A., only with respect to the Existing Letter of Credit) under </w:t>
      </w:r>
      <w:r>
        <w:rPr>
          <w:rFonts w:ascii="Arial" w:cs="Arial" w:eastAsia="Arial" w:hAnsi="Arial"/>
          <w:sz w:val="19"/>
          <w:szCs w:val="19"/>
          <w:u w:val="single" w:color="auto"/>
          <w:color w:val="auto"/>
        </w:rPr>
        <w:t>Section 2.05(a)</w:t>
      </w:r>
      <w:r>
        <w:rPr>
          <w:rFonts w:ascii="Arial" w:cs="Arial" w:eastAsia="Arial" w:hAnsi="Arial"/>
          <w:sz w:val="19"/>
          <w:szCs w:val="19"/>
          <w:color w:val="auto"/>
        </w:rPr>
        <w:t>, and their respective successor or successors in such capacity and (ii) any other Revolving Lender (or, if reasonably satisfactory to the Administrative Agent, an Affiliate of any Revolving Lender) which the Lead Borrower shall have designated as an “L/C Issuer” by notice to the Administrative Agent with the consent of such other Revolving Lender or Affiliate of a Revolving Lender, as applicable, in each case, through itself or one of its designated Affiliates or branch offices. At any time there is more than one L/C Issuer, any singular references to the L/C Issuer shall mean any L/C Issuer, either L/C Issuer, each L/C Issuer, the L/C Issuer that has issued the applicable Letter of Credit, or both (or all) L/C Issuers, as the context may require. Notwithstanding anything herein to the contrary, neither Bank of America nor any of its branches or Affiliates shall be required to issue any commercial letters of credit hereunder.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Issuer Fees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2.11(b)(iii)</w:t>
      </w:r>
      <w:r>
        <w:rPr>
          <w:rFonts w:ascii="Arial" w:cs="Arial" w:eastAsia="Arial" w:hAnsi="Arial"/>
          <w:sz w:val="20"/>
          <w:szCs w:val="20"/>
          <w:color w:val="auto"/>
        </w:rPr>
        <w:t>.</w:t>
      </w:r>
    </w:p>
    <w:p>
      <w:pPr>
        <w:spacing w:after="0" w:line="216" w:lineRule="exact"/>
        <w:rPr>
          <w:sz w:val="20"/>
          <w:szCs w:val="20"/>
          <w:color w:val="auto"/>
        </w:rPr>
      </w:pPr>
    </w:p>
    <w:p>
      <w:pPr>
        <w:ind w:right="120"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Obligations</w:t>
      </w:r>
      <w:r>
        <w:rPr>
          <w:rFonts w:ascii="Arial" w:cs="Arial" w:eastAsia="Arial" w:hAnsi="Arial"/>
          <w:sz w:val="19"/>
          <w:szCs w:val="19"/>
          <w:color w:val="auto"/>
        </w:rPr>
        <w:t xml:space="preserve">” means at any time, the sum of (i) the maximum amount which is, or at any time thereafter may become, available to be drawn under Letters of Credit then outstanding, assuming compliance with all requirements for drawings referred to in such Letters of Credit plus (ii) the aggregate amount of all Unreimbursed Amounts not then paid by the applicable Borrower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2.05(e)(ii)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w:t>
      </w:r>
      <w:r>
        <w:rPr>
          <w:rFonts w:ascii="Arial" w:cs="Arial" w:eastAsia="Arial" w:hAnsi="Arial"/>
          <w:sz w:val="19"/>
          <w:szCs w:val="19"/>
          <w:color w:val="auto"/>
        </w:rPr>
        <w:t xml:space="preserve"> to the applicable L/C Issuer in respect of drawings under Letters of Credit, including any portion of any such obligation to which a Lender has become subrogated pursuant to </w:t>
      </w:r>
      <w:r>
        <w:rPr>
          <w:rFonts w:ascii="Arial" w:cs="Arial" w:eastAsia="Arial" w:hAnsi="Arial"/>
          <w:sz w:val="19"/>
          <w:szCs w:val="19"/>
          <w:u w:val="single" w:color="auto"/>
          <w:color w:val="auto"/>
        </w:rPr>
        <w:t>Section 2.05(e)(vi)</w:t>
      </w:r>
      <w:r>
        <w:rPr>
          <w:rFonts w:ascii="Arial" w:cs="Arial" w:eastAsia="Arial" w:hAnsi="Arial"/>
          <w:sz w:val="19"/>
          <w:szCs w:val="19"/>
          <w:color w:val="auto"/>
        </w:rPr>
        <w:t xml:space="preserve">. For purposes of computing the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For all purposes of this Agreement and all other Loan Documents,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5" w:lineRule="exact"/>
        <w:rPr>
          <w:sz w:val="20"/>
          <w:szCs w:val="20"/>
          <w:color w:val="auto"/>
        </w:rPr>
      </w:pPr>
    </w:p>
    <w:p>
      <w:pPr>
        <w:ind w:right="3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Sublimit</w:t>
      </w:r>
      <w:r>
        <w:rPr>
          <w:rFonts w:ascii="Arial" w:cs="Arial" w:eastAsia="Arial" w:hAnsi="Arial"/>
          <w:sz w:val="20"/>
          <w:szCs w:val="20"/>
          <w:color w:val="auto"/>
        </w:rPr>
        <w:t>” means an amount equal to $25,000,000. The L/C Sublimit is a part of, and not in addition to, the Revolving Committed Amount.</w:t>
      </w:r>
    </w:p>
    <w:p>
      <w:pPr>
        <w:spacing w:after="0" w:line="177" w:lineRule="exact"/>
        <w:rPr>
          <w:sz w:val="20"/>
          <w:szCs w:val="20"/>
          <w:color w:val="auto"/>
        </w:rPr>
      </w:pPr>
    </w:p>
    <w:p>
      <w:pPr>
        <w:ind w:right="20"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Arrangers</w:t>
      </w:r>
      <w:r>
        <w:rPr>
          <w:rFonts w:ascii="Arial" w:cs="Arial" w:eastAsia="Arial" w:hAnsi="Arial"/>
          <w:sz w:val="18"/>
          <w:szCs w:val="18"/>
          <w:color w:val="auto"/>
        </w:rPr>
        <w:t>” means Merrill Lynch, Pierce, Fenner &amp; Smith Incorporated, Barclays Bank PLC, Citibank, N.A., DNB (UK) Limited, J.P. Morgan Securities LLC, and RBC Capital Markets in their respective capacities as joint arrangers or any successor lead arranger.</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Lead Borrower</w:t>
      </w:r>
      <w:r>
        <w:rPr>
          <w:rFonts w:ascii="Arial" w:cs="Arial" w:eastAsia="Arial" w:hAnsi="Arial"/>
          <w:sz w:val="20"/>
          <w:szCs w:val="20"/>
          <w:color w:val="auto"/>
        </w:rPr>
        <w:t>” has the meaning specified in the preamble.</w:t>
      </w:r>
    </w:p>
    <w:p>
      <w:pPr>
        <w:spacing w:after="0" w:line="216" w:lineRule="exact"/>
        <w:rPr>
          <w:sz w:val="20"/>
          <w:szCs w:val="20"/>
          <w:color w:val="auto"/>
        </w:rPr>
      </w:pPr>
    </w:p>
    <w:p>
      <w:pPr>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Leases</w:t>
      </w:r>
      <w:r>
        <w:rPr>
          <w:rFonts w:ascii="Arial" w:cs="Arial" w:eastAsia="Arial" w:hAnsi="Arial"/>
          <w:sz w:val="20"/>
          <w:szCs w:val="20"/>
          <w:color w:val="auto"/>
        </w:rPr>
        <w:t>” means any and all leases, subleases, tenancies, options, concession agreements, rental agreements, occupancy agreements, franchise agreements, access agreements and any other agreements (including all amendments, extensions, replacements, renewals, modifications and/or guarantees thereof), whether or not of record and whether now in existence or hereafter entered into, affecting the use or occupancy of all or any portion of any real property.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32" w:name="page233"/>
    <w:bookmarkEnd w:id="232"/>
    <w:p>
      <w:pPr>
        <w:ind w:right="2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means a Revolving Lender, Term Lender and each Eligible Assignee that becomes a Lender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10.06(b)</w:t>
      </w:r>
      <w:r>
        <w:rPr>
          <w:rFonts w:ascii="Arial" w:cs="Arial" w:eastAsia="Arial" w:hAnsi="Arial"/>
          <w:sz w:val="18"/>
          <w:szCs w:val="18"/>
          <w:color w:val="auto"/>
        </w:rPr>
        <w:t xml:space="preserve"> and their respective permitted successors and shall include, as the context may require, the Swing Line Lender in such capacity and each L/C Issuer in such capacity; it being understood that any Lender may make any Credit Extension to any Borrower by causing any domestic or foreign branch or Affiliate of such Lender that is an Eligible Assignee to make such Credit Extension.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Party</w:t>
      </w:r>
      <w:r>
        <w:rPr>
          <w:rFonts w:ascii="Arial" w:cs="Arial" w:eastAsia="Arial" w:hAnsi="Arial"/>
          <w:sz w:val="20"/>
          <w:szCs w:val="20"/>
          <w:color w:val="auto"/>
        </w:rPr>
        <w:t>” means any Lender, L/C Issuer or Swing Line Lender.</w:t>
      </w:r>
    </w:p>
    <w:p>
      <w:pPr>
        <w:spacing w:after="0" w:line="216" w:lineRule="exact"/>
        <w:rPr>
          <w:sz w:val="20"/>
          <w:szCs w:val="20"/>
          <w:color w:val="auto"/>
        </w:rPr>
      </w:pPr>
    </w:p>
    <w:p>
      <w:pPr>
        <w:ind w:right="20" w:firstLine="1297"/>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(i) with respect to any Lender and for each Type of Loan made to any Borrower, the “Lending Office” of such Lender (or of an Affiliate of such Lender) designated for such Type of Loan in such Lender’s Administrative Questionnaire or in any applicable Assignment and Assumption pursuant to which such Lender became a Lender hereunder or such other office of such Lender (or of an Affiliate of such Lender) as such Lender may from time to time specify to the Administrative Agent and any Borrower as the office by which its Loans of such Type to such Borrower are to be made and maintained, which office may include any Affiliate of such Lender or any domestic or foreign branch of such Lender or such Affiliate that is an Eligible Assignee, and (ii) with respect to any L/C Issuer and for each Letter of Credit made to any Borrower, the “Lending Office” of such L/C Issuer (or of an Affiliate of such L/C Issuer) designated on the signature pages hereto or such other office of such L/C Issuer (or of an Affiliate of such L/C Issuer) as such L/C Issuer may from time to time specify to the Administrative Agent and such Borrower as the office by which its Letters of Credit are to be issued and maintained with respect to such Borrower, which office may include any Affiliate of such L/C Issuer or any domestic or foreign branch of such L/C Issuer or such Affiliate. Unless the context otherwise requires, each reference to a Lender or L/C Issuer shall include its applicable Lending Office.</w:t>
      </w:r>
    </w:p>
    <w:p>
      <w:pPr>
        <w:spacing w:after="0" w:line="171" w:lineRule="exact"/>
        <w:rPr>
          <w:sz w:val="20"/>
          <w:szCs w:val="20"/>
          <w:color w:val="auto"/>
        </w:rPr>
      </w:pPr>
    </w:p>
    <w:p>
      <w:pPr>
        <w:ind w:right="180"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commercial or standby letter of credit issued hereunder by an L/C Issuer on or after the Closing Date, which provides for the payment of cash upon the honoring of a presentation thereunder and shall include the Existing Letter of Credit.</w:t>
      </w:r>
    </w:p>
    <w:p>
      <w:pPr>
        <w:spacing w:after="0" w:line="130" w:lineRule="exact"/>
        <w:rPr>
          <w:sz w:val="20"/>
          <w:szCs w:val="20"/>
          <w:color w:val="auto"/>
        </w:rPr>
      </w:pPr>
    </w:p>
    <w:p>
      <w:pPr>
        <w:ind w:right="1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the applicable L/C Issuer.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Expiration Date</w:t>
      </w:r>
      <w:r>
        <w:rPr>
          <w:rFonts w:ascii="Arial" w:cs="Arial" w:eastAsia="Arial" w:hAnsi="Arial"/>
          <w:sz w:val="19"/>
          <w:szCs w:val="19"/>
          <w:color w:val="auto"/>
        </w:rPr>
        <w:t>” means the fifth Business Day prior to the Revolving Termination Date then in effect.</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2.11(b)(i)</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Request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2.05(c)</w:t>
      </w:r>
      <w:r>
        <w:rPr>
          <w:rFonts w:ascii="Arial" w:cs="Arial" w:eastAsia="Arial" w:hAnsi="Arial"/>
          <w:sz w:val="20"/>
          <w:szCs w:val="20"/>
          <w:color w:val="auto"/>
        </w:rPr>
        <w:t>.</w:t>
      </w:r>
    </w:p>
    <w:p>
      <w:pPr>
        <w:spacing w:after="0" w:line="216" w:lineRule="exact"/>
        <w:rPr>
          <w:sz w:val="20"/>
          <w:szCs w:val="20"/>
          <w:color w:val="auto"/>
        </w:rPr>
      </w:pPr>
    </w:p>
    <w:p>
      <w:pPr>
        <w:ind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xml:space="preserve">” means any security interest, mortgage, pledge, hypothecation, assignment, deposit arrangement, encumbrance, easement, right-of-way or other encumbrance on title, lien (statutory or otherwise),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operating lease or license (other than an Exclusive License), and any filing of a UCC financing statement that is a protective lease filing in respect of an operating lease and any filings with the Governmental Authority in respect of any license (other than an Exclusive License) do not constitute Liens.</w:t>
      </w:r>
    </w:p>
    <w:p>
      <w:pPr>
        <w:spacing w:after="0" w:line="193" w:lineRule="exact"/>
        <w:rPr>
          <w:sz w:val="20"/>
          <w:szCs w:val="20"/>
          <w:color w:val="auto"/>
        </w:rPr>
      </w:pPr>
    </w:p>
    <w:p>
      <w:pPr>
        <w:ind w:right="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Acquisition</w:t>
      </w:r>
      <w:r>
        <w:rPr>
          <w:rFonts w:ascii="Arial" w:cs="Arial" w:eastAsia="Arial" w:hAnsi="Arial"/>
          <w:sz w:val="20"/>
          <w:szCs w:val="20"/>
          <w:color w:val="auto"/>
        </w:rPr>
        <w:t>” means any Permitted Acquisition or other permitted Investment by one or more of Parent and its Restricted Subsidiaries whose consummation is not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33" w:name="page234"/>
    <w:bookmarkEnd w:id="233"/>
    <w:p>
      <w:pPr>
        <w:spacing w:after="0"/>
        <w:rPr>
          <w:sz w:val="20"/>
          <w:szCs w:val="20"/>
          <w:color w:val="auto"/>
        </w:rPr>
      </w:pPr>
      <w:r>
        <w:rPr>
          <w:rFonts w:ascii="Arial" w:cs="Arial" w:eastAsia="Arial" w:hAnsi="Arial"/>
          <w:sz w:val="20"/>
          <w:szCs w:val="20"/>
          <w:color w:val="auto"/>
        </w:rPr>
        <w:t>expressly subject to a condition precedent that requires the availability of, or obtaining, debt or equity financing from a third party.</w:t>
      </w:r>
    </w:p>
    <w:p>
      <w:pPr>
        <w:spacing w:after="0" w:line="216" w:lineRule="exact"/>
        <w:rPr>
          <w:sz w:val="20"/>
          <w:szCs w:val="20"/>
          <w:color w:val="auto"/>
        </w:rPr>
      </w:pPr>
    </w:p>
    <w:p>
      <w:pPr>
        <w:ind w:right="20"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means a Revolving Loan, a Term Loan, an Incremental Term Loan, an Other Term Loan, an Incremental Revolving Loan, an Other Revolving Loan or a Swing Line Loan (or a portion of any Revolving Loans, Term Loans, Incremental Term Loans, Other Term Loans, Incremental Revolving Loans, Other Revolving Loans or Swing Line Loans), individually or collectively as appropriate;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such loan or loans (or portions thereof) are combined or subdivided pursuant to a Notice of Extension/Conversion, the term “Loan” shall refer to the combined principal amount resulting from such combination or to each of the separate principal amounts resulting from such subdivision, as the case may be.</w:t>
      </w:r>
    </w:p>
    <w:p>
      <w:pPr>
        <w:spacing w:after="0" w:line="196" w:lineRule="exact"/>
        <w:rPr>
          <w:sz w:val="20"/>
          <w:szCs w:val="20"/>
          <w:color w:val="auto"/>
        </w:rPr>
      </w:pPr>
    </w:p>
    <w:p>
      <w:pPr>
        <w:ind w:right="40" w:firstLine="129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the Notes, the Guaranty Agreement, the Collateral Documents, each L/C Document and any agreement creating or perfecting rights in cash collateral pursuant to the provisions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of this Agreement, collectively, in each case as the same may be amended, modified or supplemented from time to time, and all other related agreements and documents executed by a Loan Party in favor of, and delivered to, any Senior Credit Party in connection with or pursuant to any of the foregoing, but for the avoidance of doubt, excluding any Swap Agreements and any Cash Management Agreements.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each Borrower and the Guarantors, and “Loan Party” means any of the foregoing.</w:t>
      </w:r>
    </w:p>
    <w:p>
      <w:pPr>
        <w:spacing w:after="0" w:line="216" w:lineRule="exact"/>
        <w:rPr>
          <w:sz w:val="20"/>
          <w:szCs w:val="20"/>
          <w:color w:val="auto"/>
        </w:rPr>
      </w:pPr>
    </w:p>
    <w:p>
      <w:pPr>
        <w:ind w:right="3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Account Pledge Agreements</w:t>
      </w:r>
      <w:r>
        <w:rPr>
          <w:rFonts w:ascii="Arial" w:cs="Arial" w:eastAsia="Arial" w:hAnsi="Arial"/>
          <w:sz w:val="20"/>
          <w:szCs w:val="20"/>
          <w:color w:val="auto"/>
        </w:rPr>
        <w:t>” means collectively the Jazz Financing Lux Account Pledge Agreement and the EUSA Pharma (Luxembourg) Account Pledge Agreement.</w:t>
      </w:r>
    </w:p>
    <w:p>
      <w:pPr>
        <w:spacing w:after="0" w:line="177" w:lineRule="exact"/>
        <w:rPr>
          <w:sz w:val="20"/>
          <w:szCs w:val="20"/>
          <w:color w:val="auto"/>
        </w:rPr>
      </w:pPr>
    </w:p>
    <w:p>
      <w:pPr>
        <w:ind w:right="2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Share Pledge Agreements</w:t>
      </w:r>
      <w:r>
        <w:rPr>
          <w:rFonts w:ascii="Arial" w:cs="Arial" w:eastAsia="Arial" w:hAnsi="Arial"/>
          <w:sz w:val="20"/>
          <w:szCs w:val="20"/>
          <w:color w:val="auto"/>
        </w:rPr>
        <w:t>” means collectively the Jazz Financing Lux Share Pledge Agreement and the EUSA Pharma (Luxembourg) Share Pledge Agreement.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means “margin stock” as such term is defined in Regulation U.</w:t>
      </w:r>
    </w:p>
    <w:p>
      <w:pPr>
        <w:spacing w:after="0" w:line="216" w:lineRule="exact"/>
        <w:rPr>
          <w:sz w:val="20"/>
          <w:szCs w:val="20"/>
          <w:color w:val="auto"/>
        </w:rPr>
      </w:pPr>
    </w:p>
    <w:p>
      <w:pPr>
        <w:ind w:right="1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Acquisition</w:t>
      </w:r>
      <w:r>
        <w:rPr>
          <w:rFonts w:ascii="Arial" w:cs="Arial" w:eastAsia="Arial" w:hAnsi="Arial"/>
          <w:sz w:val="20"/>
          <w:szCs w:val="20"/>
          <w:color w:val="auto"/>
        </w:rPr>
        <w:t>” means any Permitted Acquisition that involves the payment of aggregate Acquisition Consideration by Parent and its Restricted Subsidiaries in excess of $50,000,000.</w:t>
      </w:r>
    </w:p>
    <w:p>
      <w:pPr>
        <w:spacing w:after="0" w:line="177" w:lineRule="exact"/>
        <w:rPr>
          <w:sz w:val="20"/>
          <w:szCs w:val="20"/>
          <w:color w:val="auto"/>
        </w:rPr>
      </w:pPr>
    </w:p>
    <w:p>
      <w:pPr>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a material adverse effect on the business, property, results of operations, or financial condition of Parent and its Subsidiaries, taken as a whole (after taking into account any applicable insurance and any applicable indemnification (to the extent the provider of such insurance or indemnification has the financial ability to support its obligations with respect thereto and is not disputing or refusing to acknowledge the same)); or (b) material adverse effect on the rights of or benefits or remedies available to the Lenders or the Collateral Agent under any Loan Document.</w:t>
      </w:r>
    </w:p>
    <w:p>
      <w:pPr>
        <w:spacing w:after="0" w:line="195" w:lineRule="exact"/>
        <w:rPr>
          <w:sz w:val="20"/>
          <w:szCs w:val="20"/>
          <w:color w:val="auto"/>
        </w:rPr>
      </w:pPr>
    </w:p>
    <w:p>
      <w:pPr>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Disposition</w:t>
      </w:r>
      <w:r>
        <w:rPr>
          <w:rFonts w:ascii="Arial" w:cs="Arial" w:eastAsia="Arial" w:hAnsi="Arial"/>
          <w:sz w:val="20"/>
          <w:szCs w:val="20"/>
          <w:color w:val="auto"/>
        </w:rPr>
        <w:t>” means any Disposition of property or series of related Dispositions of property that involves payment of aggregate Disposition Consideration to Parent and its Restricted Subsidiaries in excess of $50,000,000.</w:t>
      </w:r>
    </w:p>
    <w:p>
      <w:pPr>
        <w:spacing w:after="0" w:line="177" w:lineRule="exact"/>
        <w:rPr>
          <w:sz w:val="20"/>
          <w:szCs w:val="20"/>
          <w:color w:val="auto"/>
        </w:rPr>
      </w:pPr>
    </w:p>
    <w:p>
      <w:pPr>
        <w:ind w:right="60"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Indebtedness</w:t>
      </w:r>
      <w:r>
        <w:rPr>
          <w:rFonts w:ascii="Arial" w:cs="Arial" w:eastAsia="Arial" w:hAnsi="Arial"/>
          <w:sz w:val="20"/>
          <w:szCs w:val="20"/>
          <w:color w:val="auto"/>
        </w:rPr>
        <w:t>” means Indebtedness (other than (i) the Loans and Letters of Credit and (ii) Indebtedness solely among Parent and its Restricted Subsidiaries), or obligations in respect of one or more Swap Agreements, of any one or more of Parent and its Restricted Subsidiaries in an aggregate principal amount exceeding $</w:t>
      </w:r>
      <w:r>
        <w:rPr>
          <w:rFonts w:ascii="Arial" w:cs="Arial" w:eastAsia="Arial" w:hAnsi="Arial"/>
          <w:sz w:val="20"/>
          <w:szCs w:val="20"/>
          <w:color w:val="FF0000"/>
          <w:strike w:val="1"/>
        </w:rPr>
        <w:t>20,000,000.</w:t>
      </w:r>
      <w:r>
        <w:rPr>
          <w:rFonts w:ascii="Arial" w:cs="Arial" w:eastAsia="Arial" w:hAnsi="Arial"/>
          <w:sz w:val="20"/>
          <w:szCs w:val="20"/>
          <w:u w:val="single" w:color="auto"/>
          <w:color w:val="0000FF"/>
        </w:rPr>
        <w:t>50,000,000.</w:t>
      </w:r>
      <w:r>
        <w:rPr>
          <w:rFonts w:ascii="Arial" w:cs="Arial" w:eastAsia="Arial" w:hAnsi="Arial"/>
          <w:sz w:val="20"/>
          <w:szCs w:val="20"/>
          <w:color w:val="auto"/>
        </w:rPr>
        <w:t xml:space="preserve"> For purposes of determining Material Indebtedness, the “principal amount” of the obligations of Parent or any Restricted Subsidiary in respect of any Swap Agreement at any time shall be the termination value (giving effect to any netting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34" w:name="page235"/>
    <w:bookmarkEnd w:id="234"/>
    <w:p>
      <w:pPr>
        <w:spacing w:after="0"/>
        <w:rPr>
          <w:sz w:val="20"/>
          <w:szCs w:val="20"/>
          <w:color w:val="auto"/>
        </w:rPr>
      </w:pPr>
      <w:r>
        <w:rPr>
          <w:rFonts w:ascii="Arial" w:cs="Arial" w:eastAsia="Arial" w:hAnsi="Arial"/>
          <w:sz w:val="19"/>
          <w:szCs w:val="19"/>
          <w:color w:val="auto"/>
        </w:rPr>
        <w:t>agreements) that Parent or such Restricted Subsidiary would be required to pay if such Swap Agreement were terminated at such time.</w:t>
      </w:r>
    </w:p>
    <w:p>
      <w:pPr>
        <w:spacing w:after="0" w:line="227" w:lineRule="exact"/>
        <w:rPr>
          <w:sz w:val="20"/>
          <w:szCs w:val="20"/>
          <w:color w:val="auto"/>
        </w:rPr>
      </w:pPr>
    </w:p>
    <w:p>
      <w:pPr>
        <w:ind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Restricted Subsidiary</w:t>
      </w:r>
      <w:r>
        <w:rPr>
          <w:rFonts w:ascii="Arial" w:cs="Arial" w:eastAsia="Arial" w:hAnsi="Arial"/>
          <w:sz w:val="19"/>
          <w:szCs w:val="19"/>
          <w:color w:val="auto"/>
        </w:rPr>
        <w:t xml:space="preserve">” means each Restricted Subsidiary (i) that, for the most recent Test Period then ended, contributed greater than 10% of Consolidated EBITDA for such period or (ii) that contributed greater than 10% of Consolidated Total Assets as of the end of such Test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any time the aggregate amount of Consolidated EBITDA or Consolidated Total Assets attributable to all Restricted Subsidiaries (other than Excluded Subsidiaries) that are not Material Restricted Subsidiaries exceeds 15% of Consolidated EBITDA for any such period or 15% of Consolidated Total Assets as of the end of any such Test Period, Parent (or, in the event Parent has failed to do so concurrently with the delivery of financial statements for such period or quarter required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the Administrative Agent) shall designate sufficient Restricted Subsidiaries (other than Excluded Subsidiaries) as “Material Restricted Subsidiaries” to eliminate such excess, and such designated Subsidiaries shall for all purposes of this Agreement constitute Material Restricted Subsidiaries.</w:t>
      </w:r>
    </w:p>
    <w:p>
      <w:pPr>
        <w:spacing w:after="0" w:line="185" w:lineRule="exact"/>
        <w:rPr>
          <w:sz w:val="20"/>
          <w:szCs w:val="20"/>
          <w:color w:val="auto"/>
        </w:rPr>
      </w:pPr>
    </w:p>
    <w:p>
      <w:pPr>
        <w:ind w:right="160"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Subsidiary</w:t>
      </w:r>
      <w:r>
        <w:rPr>
          <w:rFonts w:ascii="Arial" w:cs="Arial" w:eastAsia="Arial" w:hAnsi="Arial"/>
          <w:sz w:val="19"/>
          <w:szCs w:val="19"/>
          <w:color w:val="auto"/>
        </w:rPr>
        <w:t>” means, at any date of determination, each Subsidiary of the Parent that is not an Immaterial Subsidiary (but including, in any case, any Subsidiary that has been designated as a Material Subsidiary as provided in, or has been designated as an Immaterial Subsidiary in a manner that does not comply with, the definition of “Immaterial Subsidiary”).</w:t>
      </w:r>
    </w:p>
    <w:p>
      <w:pPr>
        <w:spacing w:after="0" w:line="170" w:lineRule="exact"/>
        <w:rPr>
          <w:sz w:val="20"/>
          <w:szCs w:val="20"/>
          <w:color w:val="auto"/>
        </w:rPr>
      </w:pPr>
    </w:p>
    <w:p>
      <w:pPr>
        <w:ind w:right="3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(i) as to the Revolving Loans and Swing Line Loans, the Revolving Termination Date and (ii) as to Term Loans, the Term Loan Maturity Date.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10.09</w:t>
      </w:r>
      <w:r>
        <w:rPr>
          <w:rFonts w:ascii="Arial" w:cs="Arial" w:eastAsia="Arial" w:hAnsi="Arial"/>
          <w:sz w:val="20"/>
          <w:szCs w:val="20"/>
          <w:color w:val="auto"/>
        </w:rPr>
        <w:t>.</w:t>
      </w:r>
    </w:p>
    <w:p>
      <w:pPr>
        <w:spacing w:after="0" w:line="216" w:lineRule="exact"/>
        <w:rPr>
          <w:sz w:val="20"/>
          <w:szCs w:val="20"/>
          <w:color w:val="auto"/>
        </w:rPr>
      </w:pPr>
    </w:p>
    <w:p>
      <w:pPr>
        <w:ind w:right="140" w:firstLine="129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Milestone Payments</w:t>
      </w:r>
      <w:r>
        <w:rPr>
          <w:rFonts w:ascii="Arial" w:cs="Arial" w:eastAsia="Arial" w:hAnsi="Arial"/>
          <w:sz w:val="19"/>
          <w:szCs w:val="19"/>
          <w:color w:val="auto"/>
        </w:rPr>
        <w:t>” means payments made under Contractual Obligations existing during the period of twelve months ending on the Closing Date or Contractual Obligations arising thereafter, in each case in connection with any Permitted Acquisition or other acquisition (including any license or the acquisition of any license) of any rights in respect of any drug or other pharmaceutical product (and any related property or assets) to sellers (or licensors) of the assets or Equity Interests acquired (or licensed) therein based on the achievement of specified revenue, profit or other performance targets (financial or otherwise).</w:t>
      </w:r>
    </w:p>
    <w:p>
      <w:pPr>
        <w:spacing w:after="0" w:line="181" w:lineRule="exact"/>
        <w:rPr>
          <w:sz w:val="20"/>
          <w:szCs w:val="20"/>
          <w:color w:val="auto"/>
        </w:rPr>
      </w:pPr>
    </w:p>
    <w:p>
      <w:pPr>
        <w:jc w:val="both"/>
        <w:ind w:right="40"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means, at any time, (a) as to Cash Collateral consisting of cash or deposit account balances, an amount equal to 103 % of the Fronting Exposure of all L/C Issuers with respect to Letters of Credit issued and outstanding at such time and (b) otherwise, an amount determined by the Administrative Agent and the L/C Issuers in their sole discretion.</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MNPI</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2.19(a)</w:t>
      </w:r>
      <w:r>
        <w:rPr>
          <w:rFonts w:ascii="Arial" w:cs="Arial" w:eastAsia="Arial" w:hAnsi="Arial"/>
          <w:sz w:val="20"/>
          <w:szCs w:val="20"/>
          <w:color w:val="auto"/>
        </w:rPr>
        <w:t>.</w:t>
      </w:r>
    </w:p>
    <w:p>
      <w:pPr>
        <w:spacing w:after="0" w:line="216" w:lineRule="exact"/>
        <w:rPr>
          <w:sz w:val="20"/>
          <w:szCs w:val="20"/>
          <w:color w:val="auto"/>
        </w:rPr>
      </w:pPr>
    </w:p>
    <w:p>
      <w:pPr>
        <w:ind w:right="20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Moody’s</w:t>
      </w:r>
      <w:r>
        <w:rPr>
          <w:rFonts w:ascii="Arial" w:cs="Arial" w:eastAsia="Arial" w:hAnsi="Arial"/>
          <w:sz w:val="19"/>
          <w:szCs w:val="19"/>
          <w:color w:val="auto"/>
        </w:rPr>
        <w:t>” means Moody’s Investors Service, Inc., a Delaware corporation, and its successors or, absent any such successor, such nationally recognized statistical rating organization as the Lead Borrower and the Administrative Agent may select.</w:t>
      </w:r>
    </w:p>
    <w:p>
      <w:pPr>
        <w:spacing w:after="0" w:line="153" w:lineRule="exact"/>
        <w:rPr>
          <w:sz w:val="20"/>
          <w:szCs w:val="20"/>
          <w:color w:val="auto"/>
        </w:rPr>
      </w:pPr>
    </w:p>
    <w:p>
      <w:pPr>
        <w:jc w:val="both"/>
        <w:ind w:right="80"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w:t>
      </w:r>
      <w:r>
        <w:rPr>
          <w:rFonts w:ascii="Arial" w:cs="Arial" w:eastAsia="Arial" w:hAnsi="Arial"/>
          <w:sz w:val="19"/>
          <w:szCs w:val="19"/>
          <w:color w:val="auto"/>
        </w:rPr>
        <w:t>” means each mortgage, deed of trust or other agreement that conveys or evidences a Lien in favor of the Collateral Agent, for the benefit of the Collateral Agent and the Finance Parties, on the Mortgaged Property in form and substance reasonably acceptable to the Collateral Agent, including any amendment, restatement, modification or supplement thereto.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6" w:right="279" w:bottom="1440" w:gutter="0" w:footer="0" w:header="0"/>
        </w:sectPr>
      </w:pPr>
    </w:p>
    <w:bookmarkStart w:id="235" w:name="page236"/>
    <w:bookmarkEnd w:id="235"/>
    <w:p>
      <w:pPr>
        <w:ind w:right="40" w:firstLine="129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 Instruments</w:t>
      </w:r>
      <w:r>
        <w:rPr>
          <w:rFonts w:ascii="Arial" w:cs="Arial" w:eastAsia="Arial" w:hAnsi="Arial"/>
          <w:sz w:val="19"/>
          <w:szCs w:val="19"/>
          <w:color w:val="auto"/>
        </w:rPr>
        <w:t xml:space="preserve">” means such title reports, certificates of title, title insurance, “Life-of-Loan” flood certifications and flood insurance, opinions of counsel, surveys, appraisals, environmental reports, acknowledged borrower notices of flood insurance requirements and other similar information and related certifications as are customary for the jurisdiction of the applicable Mortgaged Property and in form and substance reasonably acceptable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real property located in the United States, Mortgage Instruments may include a “Life-of-Loan” Federal Emergency Standard Flood Hazard Determination (together with a notice about special flood hazard area status and flood disaster assistance duly executed by the U.S. Borrower and each other Loan Party relating thereto), and if such Mortgaged Property is located in a special flood hazard area, evidence of flood insurance confirming that such insurance has been obtained to the extent required by this Agreement.</w:t>
      </w:r>
    </w:p>
    <w:p>
      <w:pPr>
        <w:spacing w:after="0" w:line="181" w:lineRule="exact"/>
        <w:rPr>
          <w:sz w:val="20"/>
          <w:szCs w:val="20"/>
          <w:color w:val="auto"/>
        </w:rPr>
      </w:pPr>
    </w:p>
    <w:p>
      <w:pPr>
        <w:ind w:right="3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Mortgaged Property</w:t>
      </w:r>
      <w:r>
        <w:rPr>
          <w:rFonts w:ascii="Arial" w:cs="Arial" w:eastAsia="Arial" w:hAnsi="Arial"/>
          <w:sz w:val="20"/>
          <w:szCs w:val="20"/>
          <w:color w:val="auto"/>
        </w:rPr>
        <w:t>” means each fee interest in any real property (other than Excluded Assets), if any, owned or acquired after the Closing Date by any Loan Party.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3(37) or 4001(a)(3) of ERISA.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Cash Proceeds</w:t>
      </w:r>
      <w:r>
        <w:rPr>
          <w:rFonts w:ascii="Arial" w:cs="Arial" w:eastAsia="Arial" w:hAnsi="Arial"/>
          <w:sz w:val="20"/>
          <w:szCs w:val="20"/>
          <w:color w:val="auto"/>
        </w:rPr>
        <w:t>” means:</w:t>
      </w:r>
    </w:p>
    <w:p>
      <w:pPr>
        <w:spacing w:after="0" w:line="229" w:lineRule="exact"/>
        <w:rPr>
          <w:sz w:val="20"/>
          <w:szCs w:val="20"/>
          <w:color w:val="auto"/>
        </w:rPr>
      </w:pPr>
    </w:p>
    <w:p>
      <w:pPr>
        <w:ind w:left="660" w:right="40" w:firstLine="645"/>
        <w:spacing w:after="0" w:line="341" w:lineRule="auto"/>
        <w:tabs>
          <w:tab w:leader="none" w:pos="2143" w:val="left"/>
        </w:tabs>
        <w:numPr>
          <w:ilvl w:val="1"/>
          <w:numId w:val="152"/>
        </w:numPr>
        <w:rPr>
          <w:rFonts w:ascii="Arial" w:cs="Arial" w:eastAsia="Arial" w:hAnsi="Arial"/>
          <w:sz w:val="16"/>
          <w:szCs w:val="16"/>
          <w:color w:val="auto"/>
        </w:rPr>
      </w:pPr>
      <w:r>
        <w:rPr>
          <w:rFonts w:ascii="Arial" w:cs="Arial" w:eastAsia="Arial" w:hAnsi="Arial"/>
          <w:sz w:val="16"/>
          <w:szCs w:val="16"/>
          <w:color w:val="auto"/>
        </w:rPr>
        <w:t>with respect to any Asset Disposition (other than the issuance of Equity Interests), Casualty or Condemnation, (A) the gross amount of all cash proceeds (including cash Insurance Proceeds and cash Condemnation Awards) in the case of any Casualty or Condemnation actually paid to or actually received by Parent or any of its Restricted Subsidiaries in respect of such Asset Disposition, Casualty or Condemnation (including any cash proceeds received as income or other proceeds of any noncash proceeds of any Asset Disposition, Casualty or Condemnation as and when received), less (B) the sum of (1) the amount, if any, of all customary fees, legal fees, brokerage fees, commissions, costs and other expenses that are incurred in connection with such Asset Disposition, Casualty or Condemnation and are payable by Parent or any of its Restricted Subsidiaries, but only to the extent not already deducted in arriving at the amount referred to in clause (i)(A) above, (2) Taxes paid or reasonably estimated to be payable in connection therewith (including Taxes imposed on the distribution or repatriation of any such Net Cash Proceeds), (3) in the case of any Disposition by, or Condemnation or Casualty affecting, a non-Wholly Owned Restricted Subsidiary, the pro rata portion of the Net Cash Proceeds thereof (calculated without regard to this clause (3)) attributable to minority interests and not available for distribution to or for the account of Parent or a Wholly Owned Restricted Subsidiary as a result thereof, (4) appropriate amounts that must be set aside as a reserve in accordance with GAAP against any indemnities, liabilities (contingent or otherwise) associated with such Asset Disposition, Casualty or Condemnation, (5) if applicable, the principal amount of any Indebtedness secured by a Permitted Lien that has been repaid or refinanced in accordance with its terms with the proceeds of such Asset Disposition, Casualty or Condemnation and</w:t>
      </w:r>
    </w:p>
    <w:p>
      <w:pPr>
        <w:spacing w:after="0" w:line="189" w:lineRule="exact"/>
        <w:rPr>
          <w:rFonts w:ascii="Arial" w:cs="Arial" w:eastAsia="Arial" w:hAnsi="Arial"/>
          <w:sz w:val="16"/>
          <w:szCs w:val="16"/>
          <w:color w:val="auto"/>
        </w:rPr>
      </w:pPr>
    </w:p>
    <w:p>
      <w:pPr>
        <w:ind w:left="660" w:hanging="4"/>
        <w:spacing w:after="0" w:line="347" w:lineRule="auto"/>
        <w:tabs>
          <w:tab w:leader="none" w:pos="9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payments to be made by Parent or any of its Restricted Subsidiaries as agreed between Parent or such Restricted Subsidiary and the purchaser of any assets subject to an Asset Disposition, Casualty or Condemnation in connection therewith; and</w:t>
      </w:r>
    </w:p>
    <w:p>
      <w:pPr>
        <w:spacing w:after="0" w:line="90" w:lineRule="exact"/>
        <w:rPr>
          <w:rFonts w:ascii="Arial" w:cs="Arial" w:eastAsia="Arial" w:hAnsi="Arial"/>
          <w:sz w:val="18"/>
          <w:szCs w:val="18"/>
          <w:color w:val="auto"/>
        </w:rPr>
      </w:pPr>
    </w:p>
    <w:p>
      <w:pPr>
        <w:ind w:left="660" w:right="20" w:firstLine="645"/>
        <w:spacing w:after="0" w:line="273" w:lineRule="auto"/>
        <w:tabs>
          <w:tab w:leader="none" w:pos="2198" w:val="left"/>
        </w:tabs>
        <w:numPr>
          <w:ilvl w:val="1"/>
          <w:numId w:val="153"/>
        </w:numPr>
        <w:rPr>
          <w:rFonts w:ascii="Arial" w:cs="Arial" w:eastAsia="Arial" w:hAnsi="Arial"/>
          <w:sz w:val="20"/>
          <w:szCs w:val="20"/>
          <w:color w:val="auto"/>
        </w:rPr>
      </w:pPr>
      <w:r>
        <w:rPr>
          <w:rFonts w:ascii="Arial" w:cs="Arial" w:eastAsia="Arial" w:hAnsi="Arial"/>
          <w:sz w:val="20"/>
          <w:szCs w:val="20"/>
          <w:color w:val="auto"/>
        </w:rPr>
        <w:t>with respect to any Debt Issuance or issuance of Equity Interests, the gross amount of cash proceeds paid to or received by Parent or any of its Restricted Subsidiaries in respect of such Debt Issuance or issuance of Equity Interests (including cash proceeds subsequently as and when received at any time in respect of such Debt Issuance or issuance of Equity Interests from non-cash consideration initially received or otherwise), less the sum of underwriting discounts and commissions or placement fees, investment banking fees, legal fees,</w:t>
      </w:r>
    </w:p>
    <w:p>
      <w:pPr>
        <w:spacing w:after="0" w:line="200" w:lineRule="exact"/>
        <w:rPr>
          <w:rFonts w:ascii="Arial" w:cs="Arial" w:eastAsia="Arial" w:hAnsi="Arial"/>
          <w:sz w:val="20"/>
          <w:szCs w:val="20"/>
          <w:color w:val="auto"/>
        </w:rPr>
      </w:pPr>
    </w:p>
    <w:p>
      <w:pPr>
        <w:spacing w:after="0" w:line="396" w:lineRule="exact"/>
        <w:rPr>
          <w:rFonts w:ascii="Arial" w:cs="Arial" w:eastAsia="Arial" w:hAnsi="Arial"/>
          <w:sz w:val="20"/>
          <w:szCs w:val="20"/>
          <w:color w:val="auto"/>
        </w:rPr>
      </w:pPr>
    </w:p>
    <w:p>
      <w:pPr>
        <w:ind w:left="5620" w:hanging="120"/>
        <w:spacing w:after="0"/>
        <w:tabs>
          <w:tab w:leader="none" w:pos="5620" w:val="left"/>
        </w:tabs>
        <w:numPr>
          <w:ilvl w:val="2"/>
          <w:numId w:val="153"/>
        </w:numPr>
        <w:rPr>
          <w:rFonts w:ascii="Arial" w:cs="Arial" w:eastAsia="Arial" w:hAnsi="Arial"/>
          <w:sz w:val="20"/>
          <w:szCs w:val="20"/>
          <w:color w:val="auto"/>
        </w:rPr>
      </w:pPr>
      <w:r>
        <w:rPr>
          <w:rFonts w:ascii="Arial" w:cs="Arial" w:eastAsia="Arial" w:hAnsi="Arial"/>
          <w:sz w:val="20"/>
          <w:szCs w:val="20"/>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6" w:right="279" w:bottom="1440" w:gutter="0" w:footer="0" w:header="0"/>
        </w:sectPr>
      </w:pPr>
    </w:p>
    <w:bookmarkStart w:id="236" w:name="page237"/>
    <w:bookmarkEnd w:id="236"/>
    <w:p>
      <w:pPr>
        <w:ind w:left="660" w:right="500"/>
        <w:spacing w:after="0" w:line="289" w:lineRule="auto"/>
        <w:rPr>
          <w:sz w:val="20"/>
          <w:szCs w:val="20"/>
          <w:color w:val="auto"/>
        </w:rPr>
      </w:pPr>
      <w:r>
        <w:rPr>
          <w:rFonts w:ascii="Arial" w:cs="Arial" w:eastAsia="Arial" w:hAnsi="Arial"/>
          <w:sz w:val="20"/>
          <w:szCs w:val="20"/>
          <w:color w:val="auto"/>
        </w:rPr>
        <w:t>consulting fees, accounting fees and other customary fees and expenses incurred by Parent or any of its Restricted Subsidiaries in connection therewith.</w:t>
      </w:r>
    </w:p>
    <w:p>
      <w:pPr>
        <w:spacing w:after="0" w:line="121" w:lineRule="exact"/>
        <w:rPr>
          <w:sz w:val="20"/>
          <w:szCs w:val="20"/>
          <w:color w:val="auto"/>
        </w:rPr>
      </w:pPr>
    </w:p>
    <w:p>
      <w:pPr>
        <w:jc w:val="both"/>
        <w:ind w:right="14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Nominal Shares</w:t>
      </w:r>
      <w:r>
        <w:rPr>
          <w:rFonts w:ascii="Arial" w:cs="Arial" w:eastAsia="Arial" w:hAnsi="Arial"/>
          <w:sz w:val="20"/>
          <w:szCs w:val="20"/>
          <w:color w:val="auto"/>
        </w:rPr>
        <w:t>” means (i) for any Foreign Subsidiary, nominal issuances of Equity Interests in an aggregate amount not to exceed 5.0% of the Equity Interests or Equity Equivalents of such Subsidiary on a fully-diluted basis and (ii) in any case, director’s qualifying shares, in each case to the extent such issuances are required by applicable Laws.</w:t>
      </w:r>
    </w:p>
    <w:p>
      <w:pPr>
        <w:spacing w:after="0" w:line="186" w:lineRule="exact"/>
        <w:rPr>
          <w:sz w:val="20"/>
          <w:szCs w:val="20"/>
          <w:color w:val="auto"/>
        </w:rPr>
      </w:pPr>
    </w:p>
    <w:p>
      <w:pPr>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means any Lender that does not approve any amendment, waiver or consent that (a) requires the approval of all Lenders, all affected Lenders, or all the Lenders with respect to a certain Class of Loans, in accordance with the terms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10.01</w:t>
      </w:r>
      <w:r>
        <w:rPr>
          <w:rFonts w:ascii="Arial" w:cs="Arial" w:eastAsia="Arial" w:hAnsi="Arial"/>
          <w:sz w:val="20"/>
          <w:szCs w:val="20"/>
          <w:color w:val="auto"/>
        </w:rPr>
        <w:t xml:space="preserve"> and (b) has been approved by the Required Lenders.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Non-Extension Notice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2.05(c)(iii)</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Non-U.S. Lender</w:t>
      </w:r>
      <w:r>
        <w:rPr>
          <w:rFonts w:ascii="Arial" w:cs="Arial" w:eastAsia="Arial" w:hAnsi="Arial"/>
          <w:sz w:val="20"/>
          <w:szCs w:val="20"/>
          <w:color w:val="auto"/>
        </w:rPr>
        <w:t>” means any Lender Party that is not a United States Person.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Revolving Note, a Term Note or a Swing Line Note, and “</w:t>
      </w:r>
      <w:r>
        <w:rPr>
          <w:rFonts w:ascii="Arial" w:cs="Arial" w:eastAsia="Arial" w:hAnsi="Arial"/>
          <w:sz w:val="18"/>
          <w:szCs w:val="18"/>
          <w:u w:val="single" w:color="auto"/>
          <w:color w:val="auto"/>
        </w:rPr>
        <w:t>Notes</w:t>
      </w:r>
      <w:r>
        <w:rPr>
          <w:rFonts w:ascii="Arial" w:cs="Arial" w:eastAsia="Arial" w:hAnsi="Arial"/>
          <w:sz w:val="18"/>
          <w:szCs w:val="18"/>
          <w:color w:val="auto"/>
        </w:rPr>
        <w:t>” means any combination of the foregoing.</w:t>
      </w:r>
    </w:p>
    <w:p>
      <w:pPr>
        <w:spacing w:after="0" w:line="239" w:lineRule="exact"/>
        <w:rPr>
          <w:sz w:val="20"/>
          <w:szCs w:val="20"/>
          <w:color w:val="auto"/>
        </w:rPr>
      </w:pPr>
    </w:p>
    <w:p>
      <w:pPr>
        <w:ind w:right="20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Borrowing</w:t>
      </w:r>
      <w:r>
        <w:rPr>
          <w:rFonts w:ascii="Arial" w:cs="Arial" w:eastAsia="Arial" w:hAnsi="Arial"/>
          <w:sz w:val="20"/>
          <w:szCs w:val="20"/>
          <w:color w:val="auto"/>
        </w:rPr>
        <w:t xml:space="preserve">” means a request by the applicable Borrower for a Borrowing, substantially in the form of </w:t>
      </w:r>
      <w:r>
        <w:rPr>
          <w:rFonts w:ascii="Arial" w:cs="Arial" w:eastAsia="Arial" w:hAnsi="Arial"/>
          <w:sz w:val="20"/>
          <w:szCs w:val="20"/>
          <w:u w:val="single" w:color="auto"/>
          <w:color w:val="auto"/>
        </w:rPr>
        <w:t>Exhibit A-1</w:t>
      </w:r>
      <w:r>
        <w:rPr>
          <w:rFonts w:ascii="Arial" w:cs="Arial" w:eastAsia="Arial" w:hAnsi="Arial"/>
          <w:sz w:val="20"/>
          <w:szCs w:val="20"/>
          <w:color w:val="auto"/>
        </w:rPr>
        <w:t xml:space="preserve"> hereto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Extension/Conversion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2.07(a)</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OFAC</w:t>
      </w:r>
      <w:r>
        <w:rPr>
          <w:rFonts w:ascii="Arial" w:cs="Arial" w:eastAsia="Arial" w:hAnsi="Arial"/>
          <w:sz w:val="19"/>
          <w:szCs w:val="19"/>
          <w:color w:val="auto"/>
        </w:rPr>
        <w:t>” means the U.S. Treasury Department Office of Foreign Assets Control of the United States Department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Treasury.</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 Currency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10.16(a)</w:t>
      </w:r>
      <w:r>
        <w:rPr>
          <w:rFonts w:ascii="Arial" w:cs="Arial" w:eastAsia="Arial" w:hAnsi="Arial"/>
          <w:sz w:val="20"/>
          <w:szCs w:val="20"/>
          <w:color w:val="auto"/>
        </w:rPr>
        <w:t>.</w:t>
      </w:r>
    </w:p>
    <w:p>
      <w:pPr>
        <w:spacing w:after="0" w:line="216" w:lineRule="exact"/>
        <w:rPr>
          <w:sz w:val="20"/>
          <w:szCs w:val="20"/>
          <w:color w:val="auto"/>
        </w:rPr>
      </w:pPr>
    </w:p>
    <w:p>
      <w:pPr>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Offer of Specified Discount Prepayment</w:t>
      </w:r>
      <w:r>
        <w:rPr>
          <w:rFonts w:ascii="Arial" w:cs="Arial" w:eastAsia="Arial" w:hAnsi="Arial"/>
          <w:sz w:val="20"/>
          <w:szCs w:val="20"/>
          <w:color w:val="auto"/>
        </w:rPr>
        <w:t xml:space="preserve">” means the offer by Parent or any of its Subsidiaries to make a voluntary prepayment of Term Loans at a discount to par pursuant to </w:t>
      </w:r>
      <w:r>
        <w:rPr>
          <w:rFonts w:ascii="Arial" w:cs="Arial" w:eastAsia="Arial" w:hAnsi="Arial"/>
          <w:sz w:val="20"/>
          <w:szCs w:val="20"/>
          <w:u w:val="single" w:color="auto"/>
          <w:color w:val="auto"/>
        </w:rPr>
        <w:t>Section 2.19(b)</w:t>
      </w:r>
      <w:r>
        <w:rPr>
          <w:rFonts w:ascii="Arial" w:cs="Arial" w:eastAsia="Arial" w:hAnsi="Arial"/>
          <w:sz w:val="20"/>
          <w:szCs w:val="20"/>
          <w:color w:val="auto"/>
        </w:rPr>
        <w: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Offered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2.19(d)(i)</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Offered Discount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2.19(d)(i)</w:t>
      </w:r>
      <w:r>
        <w:rPr>
          <w:rFonts w:ascii="Arial" w:cs="Arial" w:eastAsia="Arial" w:hAnsi="Arial"/>
          <w:sz w:val="20"/>
          <w:szCs w:val="20"/>
          <w:color w:val="auto"/>
        </w:rPr>
        <w:t>.</w:t>
      </w:r>
    </w:p>
    <w:p>
      <w:pPr>
        <w:spacing w:after="0" w:line="216"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Officer’s Certificate</w:t>
      </w:r>
      <w:r>
        <w:rPr>
          <w:rFonts w:ascii="Arial" w:cs="Arial" w:eastAsia="Arial" w:hAnsi="Arial"/>
          <w:sz w:val="20"/>
          <w:szCs w:val="20"/>
          <w:color w:val="auto"/>
        </w:rPr>
        <w:t>” means a certificate executed by the chief executive officer, the president, any vice president, secretary or one of the Financial Officers, each in his or her official (and not individual) capacity.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OML</w:t>
      </w:r>
      <w:r>
        <w:rPr>
          <w:rFonts w:ascii="Arial" w:cs="Arial" w:eastAsia="Arial" w:hAnsi="Arial"/>
          <w:sz w:val="20"/>
          <w:szCs w:val="20"/>
          <w:color w:val="auto"/>
        </w:rPr>
        <w:t>” means Orphan Medical, LLC, a Delaware limited liability company.</w:t>
      </w:r>
    </w:p>
    <w:p>
      <w:pPr>
        <w:spacing w:after="0" w:line="216" w:lineRule="exact"/>
        <w:rPr>
          <w:sz w:val="20"/>
          <w:szCs w:val="20"/>
          <w:color w:val="auto"/>
        </w:rPr>
      </w:pPr>
    </w:p>
    <w:p>
      <w:pPr>
        <w:jc w:val="both"/>
        <w:ind w:right="100"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OML Settlement Agreements</w:t>
      </w:r>
      <w:r>
        <w:rPr>
          <w:rFonts w:ascii="Arial" w:cs="Arial" w:eastAsia="Arial" w:hAnsi="Arial"/>
          <w:sz w:val="18"/>
          <w:szCs w:val="18"/>
          <w:color w:val="auto"/>
        </w:rPr>
        <w:t>” means, collectively, the Civil Settlement Agreement among the United States of America, the U.S. Borrower and OML dated July 13, 2007, (ii) the Non-prosecution Agreement between the United States Attorney’s Office for the Eastern District of New York and the U.S. Borrower dated July 13, 2007, (iii) the Plea Agreement between the United States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79" w:right="259" w:bottom="1440" w:gutter="0" w:footer="0" w:header="0"/>
        </w:sectPr>
      </w:pPr>
    </w:p>
    <w:bookmarkStart w:id="237" w:name="page238"/>
    <w:bookmarkEnd w:id="237"/>
    <w:p>
      <w:pPr>
        <w:ind w:right="180"/>
        <w:spacing w:after="0" w:line="316" w:lineRule="auto"/>
        <w:rPr>
          <w:sz w:val="20"/>
          <w:szCs w:val="20"/>
          <w:color w:val="auto"/>
        </w:rPr>
      </w:pPr>
      <w:r>
        <w:rPr>
          <w:rFonts w:ascii="Arial" w:cs="Arial" w:eastAsia="Arial" w:hAnsi="Arial"/>
          <w:sz w:val="18"/>
          <w:szCs w:val="18"/>
          <w:color w:val="auto"/>
        </w:rPr>
        <w:t>Attorney’s Office for the Eastern District of New York and OML dated July 13, 2007 and (iv) the Corporate Integrity Agreement between the Office of Inspector General of the Department of Health and Human Services and the U.S. Borrower dated July 13, 2007.</w:t>
      </w:r>
    </w:p>
    <w:p>
      <w:pPr>
        <w:spacing w:after="0" w:line="130" w:lineRule="exact"/>
        <w:rPr>
          <w:sz w:val="20"/>
          <w:szCs w:val="20"/>
          <w:color w:val="auto"/>
        </w:rPr>
      </w:pPr>
    </w:p>
    <w:p>
      <w:pPr>
        <w:ind w:firstLine="129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 Documents</w:t>
      </w:r>
      <w:r>
        <w:rPr>
          <w:rFonts w:ascii="Arial" w:cs="Arial" w:eastAsia="Arial" w:hAnsi="Arial"/>
          <w:sz w:val="19"/>
          <w:szCs w:val="19"/>
          <w:color w:val="auto"/>
        </w:rPr>
        <w:t>” means (i) with respect to any corporation, the certificate or articles of incorporation and the bylaws (or equivalent or comparable constitutive documents with respect to any non-United States jurisdiction); (ii) with respect to any limited liability company, the certificate or articles of formation or organization and operating agreement (or equivalent or comparable constitutive documents with respect to any non-United States jurisdiction); and (iii) with respect to any partnership, joint venture, trust or other form of business entity, the partnership, joint venture or other applicable agreement of formation or organization (or equivalent or comparable constitutive documents with respect to any non-United States jurisdiction)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1" w:lineRule="exact"/>
        <w:rPr>
          <w:sz w:val="20"/>
          <w:szCs w:val="20"/>
          <w:color w:val="auto"/>
        </w:rPr>
      </w:pPr>
    </w:p>
    <w:p>
      <w:pPr>
        <w:ind w:right="100"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Revolving Commitment Percentage</w:t>
      </w:r>
      <w:r>
        <w:rPr>
          <w:rFonts w:ascii="Arial" w:cs="Arial" w:eastAsia="Arial" w:hAnsi="Arial"/>
          <w:sz w:val="20"/>
          <w:szCs w:val="20"/>
          <w:color w:val="auto"/>
        </w:rPr>
        <w:t xml:space="preserve">” means, for each Lender, for each Class of Other Revolving Commitments, the percentage of the aggregate Other Revolving Commitments of such Class represented by such Lender’s Other Revolving Commitment of such Class at such time and identified as its Other Revolving Commitment Percentage of such Class in the relevant Refinancing Amendment, as such percentage may be modified in connection with any Assignment and Assumption made in accordance with the provisions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10.06(b)</w:t>
      </w:r>
      <w:r>
        <w:rPr>
          <w:rFonts w:ascii="Arial" w:cs="Arial" w:eastAsia="Arial" w:hAnsi="Arial"/>
          <w:sz w:val="20"/>
          <w:szCs w:val="20"/>
          <w:color w:val="auto"/>
        </w:rPr>
        <w:t>.</w:t>
      </w:r>
    </w:p>
    <w:p>
      <w:pPr>
        <w:spacing w:after="0" w:line="195" w:lineRule="exact"/>
        <w:rPr>
          <w:sz w:val="20"/>
          <w:szCs w:val="20"/>
          <w:color w:val="auto"/>
        </w:rPr>
      </w:pPr>
    </w:p>
    <w:p>
      <w:pPr>
        <w:ind w:right="3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Revolving Commitments</w:t>
      </w:r>
      <w:r>
        <w:rPr>
          <w:rFonts w:ascii="Arial" w:cs="Arial" w:eastAsia="Arial" w:hAnsi="Arial"/>
          <w:sz w:val="20"/>
          <w:szCs w:val="20"/>
          <w:color w:val="auto"/>
        </w:rPr>
        <w:t>” means one or more Classes of revolving credit commitments hereunder that result from a Refinancing Amendment.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Revolving Loans</w:t>
      </w:r>
      <w:r>
        <w:rPr>
          <w:rFonts w:ascii="Arial" w:cs="Arial" w:eastAsia="Arial" w:hAnsi="Arial"/>
          <w:sz w:val="20"/>
          <w:szCs w:val="20"/>
          <w:color w:val="auto"/>
        </w:rPr>
        <w:t>” means the Revolving Loans made pursuant to any Other Revolving Commitment.</w:t>
      </w:r>
    </w:p>
    <w:p>
      <w:pPr>
        <w:spacing w:after="0" w:line="216" w:lineRule="exact"/>
        <w:rPr>
          <w:sz w:val="20"/>
          <w:szCs w:val="20"/>
          <w:color w:val="auto"/>
        </w:rPr>
      </w:pPr>
    </w:p>
    <w:p>
      <w:pPr>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means all present or future stamp, court, documentary, intangible, recording, or filing Taxes, or any other excise, property or similar Taxes that arise from any payment made under, from the execution, delivery, performance, enforcement or registration of, from the receipt or perfection of a security interest under, or otherwise with respect to, any Loan Document.</w:t>
      </w:r>
    </w:p>
    <w:p>
      <w:pPr>
        <w:spacing w:after="0" w:line="170" w:lineRule="exact"/>
        <w:rPr>
          <w:sz w:val="20"/>
          <w:szCs w:val="20"/>
          <w:color w:val="auto"/>
        </w:rPr>
      </w:pPr>
    </w:p>
    <w:p>
      <w:pPr>
        <w:ind w:right="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Term Commitment Percentage</w:t>
      </w:r>
      <w:r>
        <w:rPr>
          <w:rFonts w:ascii="Arial" w:cs="Arial" w:eastAsia="Arial" w:hAnsi="Arial"/>
          <w:sz w:val="18"/>
          <w:szCs w:val="18"/>
          <w:color w:val="auto"/>
        </w:rPr>
        <w:t xml:space="preserve">” means, for each Lender, for each Class of Other Term Commitments, the percentage of the aggregate Other Term Commitments of such Class represented by such Lender’s Other Term Commitment of such Class at such time and identified as its Other Term Commitment Percentage of such Class in the relevant Refinancing Amendment, as such percentage may be modified in connection with any Assignment and Assumption made in accordance with the provisions of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Term Commitments</w:t>
      </w:r>
      <w:r>
        <w:rPr>
          <w:rFonts w:ascii="Arial" w:cs="Arial" w:eastAsia="Arial" w:hAnsi="Arial"/>
          <w:sz w:val="18"/>
          <w:szCs w:val="18"/>
          <w:color w:val="auto"/>
        </w:rPr>
        <w:t>” means one or more Classes of term loan commitments hereunder that result from a Refinancing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Amendment.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Term Loans</w:t>
      </w:r>
      <w:r>
        <w:rPr>
          <w:rFonts w:ascii="Arial" w:cs="Arial" w:eastAsia="Arial" w:hAnsi="Arial"/>
          <w:sz w:val="20"/>
          <w:szCs w:val="20"/>
          <w:color w:val="auto"/>
        </w:rPr>
        <w:t>” means one or more Classes of Term Loans that result from a Refinancing Amendment.</w:t>
      </w:r>
    </w:p>
    <w:p>
      <w:pPr>
        <w:spacing w:after="0" w:line="216" w:lineRule="exact"/>
        <w:rPr>
          <w:sz w:val="20"/>
          <w:szCs w:val="20"/>
          <w:color w:val="auto"/>
        </w:rPr>
      </w:pPr>
    </w:p>
    <w:p>
      <w:pPr>
        <w:ind w:right="200"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with respect to any L/C Obligations on any date, the amount of such L/C Obligations on such date, including any L/C Borrowings outstanding on such date, but after giving effect to any reimbursements of outstanding unpaid drawings under any Letters of Credit (including any refinancing of outstanding unpaid drawings under Letters of Credit or L/C Borrowings as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38" w:name="page239"/>
    <w:bookmarkEnd w:id="238"/>
    <w:p>
      <w:pPr>
        <w:ind w:right="380"/>
        <w:spacing w:after="0" w:line="260" w:lineRule="auto"/>
        <w:rPr>
          <w:sz w:val="20"/>
          <w:szCs w:val="20"/>
          <w:color w:val="auto"/>
        </w:rPr>
      </w:pPr>
      <w:r>
        <w:rPr>
          <w:rFonts w:ascii="Arial" w:cs="Arial" w:eastAsia="Arial" w:hAnsi="Arial"/>
          <w:sz w:val="20"/>
          <w:szCs w:val="20"/>
          <w:color w:val="auto"/>
        </w:rPr>
        <w:t>a Revolving Borrowing) or any reductions in the maximum amount available for drawing under Letters of Credit taking effect on or before such date.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has the meaning specified in the preamble.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2.19(c)(ii)</w:t>
      </w:r>
      <w:r>
        <w:rPr>
          <w:rFonts w:ascii="Arial" w:cs="Arial" w:eastAsia="Arial" w:hAnsi="Arial"/>
          <w:sz w:val="20"/>
          <w:szCs w:val="20"/>
          <w:color w:val="auto"/>
        </w:rPr>
        <w:t>.</w:t>
      </w:r>
    </w:p>
    <w:p>
      <w:pPr>
        <w:spacing w:after="0" w:line="216" w:lineRule="exact"/>
        <w:rPr>
          <w:sz w:val="20"/>
          <w:szCs w:val="20"/>
          <w:color w:val="auto"/>
        </w:rPr>
      </w:pPr>
    </w:p>
    <w:p>
      <w:pPr>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Participation Interest</w:t>
      </w:r>
      <w:r>
        <w:rPr>
          <w:rFonts w:ascii="Arial" w:cs="Arial" w:eastAsia="Arial" w:hAnsi="Arial"/>
          <w:sz w:val="20"/>
          <w:szCs w:val="20"/>
          <w:color w:val="auto"/>
        </w:rPr>
        <w:t xml:space="preserve">” means a Credit Extension by a Lender by way of a purchase of a participation interest in Letters of Credit or L/C Obligations as provided in </w:t>
      </w:r>
      <w:r>
        <w:rPr>
          <w:rFonts w:ascii="Arial" w:cs="Arial" w:eastAsia="Arial" w:hAnsi="Arial"/>
          <w:sz w:val="20"/>
          <w:szCs w:val="20"/>
          <w:u w:val="single" w:color="auto"/>
          <w:color w:val="auto"/>
        </w:rPr>
        <w:t>Section 2.05(e)</w:t>
      </w:r>
      <w:r>
        <w:rPr>
          <w:rFonts w:ascii="Arial" w:cs="Arial" w:eastAsia="Arial" w:hAnsi="Arial"/>
          <w:sz w:val="20"/>
          <w:szCs w:val="20"/>
          <w:color w:val="auto"/>
        </w:rPr>
        <w:t xml:space="preserve">, in Swing Line Loans as provided in </w:t>
      </w:r>
      <w:r>
        <w:rPr>
          <w:rFonts w:ascii="Arial" w:cs="Arial" w:eastAsia="Arial" w:hAnsi="Arial"/>
          <w:sz w:val="20"/>
          <w:szCs w:val="20"/>
          <w:u w:val="single" w:color="auto"/>
          <w:color w:val="auto"/>
        </w:rPr>
        <w:t>Section 2.01(c)(vi)</w:t>
      </w:r>
      <w:r>
        <w:rPr>
          <w:rFonts w:ascii="Arial" w:cs="Arial" w:eastAsia="Arial" w:hAnsi="Arial"/>
          <w:sz w:val="20"/>
          <w:szCs w:val="20"/>
          <w:color w:val="auto"/>
        </w:rPr>
        <w:t xml:space="preserve"> or in any Loans as provided in </w:t>
      </w:r>
      <w:r>
        <w:rPr>
          <w:rFonts w:ascii="Arial" w:cs="Arial" w:eastAsia="Arial" w:hAnsi="Arial"/>
          <w:sz w:val="20"/>
          <w:szCs w:val="20"/>
          <w:u w:val="single" w:color="auto"/>
          <w:color w:val="auto"/>
        </w:rPr>
        <w:t>Section 2.13</w:t>
      </w:r>
      <w:r>
        <w:rPr>
          <w:rFonts w:ascii="Arial" w:cs="Arial" w:eastAsia="Arial" w:hAnsi="Arial"/>
          <w:sz w:val="20"/>
          <w:szCs w:val="20"/>
          <w:color w:val="auto"/>
        </w:rPr>
        <w: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10.14</w:t>
      </w:r>
      <w:r>
        <w:rPr>
          <w:rFonts w:ascii="Arial" w:cs="Arial" w:eastAsia="Arial" w:hAnsi="Arial"/>
          <w:sz w:val="20"/>
          <w:szCs w:val="20"/>
          <w:color w:val="auto"/>
        </w:rPr>
        <w:t>.</w:t>
      </w:r>
    </w:p>
    <w:p>
      <w:pPr>
        <w:spacing w:after="0" w:line="216" w:lineRule="exact"/>
        <w:rPr>
          <w:sz w:val="20"/>
          <w:szCs w:val="20"/>
          <w:color w:val="auto"/>
        </w:rPr>
      </w:pPr>
    </w:p>
    <w:p>
      <w:pPr>
        <w:ind w:right="4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established pursuant to Subtitle A of Title IV of ERISA or any entity succeeding to any or all of its functions under ERISA.</w:t>
      </w:r>
    </w:p>
    <w:p>
      <w:pPr>
        <w:spacing w:after="0" w:line="177" w:lineRule="exact"/>
        <w:rPr>
          <w:sz w:val="20"/>
          <w:szCs w:val="20"/>
          <w:color w:val="auto"/>
        </w:rPr>
      </w:pPr>
    </w:p>
    <w:p>
      <w:pPr>
        <w:ind w:right="14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Perfection Certificate</w:t>
      </w:r>
      <w:r>
        <w:rPr>
          <w:rFonts w:ascii="Arial" w:cs="Arial" w:eastAsia="Arial" w:hAnsi="Arial"/>
          <w:sz w:val="20"/>
          <w:szCs w:val="20"/>
          <w:color w:val="auto"/>
        </w:rPr>
        <w:t xml:space="preserve">” means with respect to any Loan Party a certificate, substantially in the form of </w:t>
      </w:r>
      <w:r>
        <w:rPr>
          <w:rFonts w:ascii="Arial" w:cs="Arial" w:eastAsia="Arial" w:hAnsi="Arial"/>
          <w:sz w:val="20"/>
          <w:szCs w:val="20"/>
          <w:u w:val="single" w:color="auto"/>
          <w:color w:val="auto"/>
        </w:rPr>
        <w:t>Exhibit J</w:t>
      </w:r>
      <w:r>
        <w:rPr>
          <w:rFonts w:ascii="Arial" w:cs="Arial" w:eastAsia="Arial" w:hAnsi="Arial"/>
          <w:sz w:val="20"/>
          <w:szCs w:val="20"/>
          <w:color w:val="auto"/>
        </w:rPr>
        <w:t xml:space="preserve"> to this Agreement, completed and supplemented with the schedules and attachments contemplated thereby and duly executed on behalf of such Loan Party by a Responsible Officer of such Loan Party.</w:t>
      </w:r>
    </w:p>
    <w:p>
      <w:pPr>
        <w:spacing w:after="0" w:line="186" w:lineRule="exact"/>
        <w:rPr>
          <w:sz w:val="20"/>
          <w:szCs w:val="20"/>
          <w:color w:val="auto"/>
        </w:rPr>
      </w:pPr>
    </w:p>
    <w:p>
      <w:pPr>
        <w:ind w:right="20" w:firstLine="1297"/>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the purchase or other acquisition (including by merger or consolidation) by Parent or any Restricted Subsidiary of Equity Interests in, or all or substantially all the assets of (or all or substantially all the assets constituting a business unit, division, product line (including rights in respect of any drug or other pharmaceutical product) or line of business of) any Person, or any Exclusive License of rights to a drug or other product line, in a single transaction or a series of related transactions if: (a) (i) in the case of any purchase or other acquisition of Equity Interests in a Person, such Person (including each Subsidiary of such Person), upon the consummation of such purchase or acquisition, will be a Restricted Subsidiary (including as a result of a merger or consolidation between Parent or any Restricted Subsidiary and such Person, with, in the case of a merger or consolidation involving Parent, Parent being the surviving entity) or (ii) in the case of any purchase, license or other acquisition of other assets, such assets will be owned and/or licensed by Parent or a Wholly Owned Restricted Subsidiary; (b) the business of such Person, or the business conducted with such assets, as the case may be, constitutes a business permitted by </w:t>
      </w:r>
      <w:r>
        <w:rPr>
          <w:rFonts w:ascii="Arial" w:cs="Arial" w:eastAsia="Arial" w:hAnsi="Arial"/>
          <w:sz w:val="16"/>
          <w:szCs w:val="16"/>
          <w:u w:val="single" w:color="auto"/>
          <w:color w:val="auto"/>
        </w:rPr>
        <w:t>Section 7.03(b)</w:t>
      </w:r>
      <w:r>
        <w:rPr>
          <w:rFonts w:ascii="Arial" w:cs="Arial" w:eastAsia="Arial" w:hAnsi="Arial"/>
          <w:sz w:val="16"/>
          <w:szCs w:val="16"/>
          <w:color w:val="auto"/>
        </w:rPr>
        <w:t>; (c) at the time of and immediately after giving effect (including pro forma effect) to any such purchase, license or other acquisition, (i) no Default shall have occurred and be continuing and (ii) if the Acquisition Consideration with respect thereto exceeds $100,000,000, Parent shall have delivered to the Administrative Agent a certificate of a Financial Officer, in form and substance reasonably satisfactory to the Administrative Agent, certifying that all the requirements set forth in this definition have been satisfied with respect to such purchase or other acquisition, together with reasonably detailed calculations demonstrating satisfaction of the requirements set forth in clause</w:t>
      </w:r>
    </w:p>
    <w:p>
      <w:pPr>
        <w:spacing w:after="0" w:line="181" w:lineRule="exact"/>
        <w:rPr>
          <w:sz w:val="20"/>
          <w:szCs w:val="20"/>
          <w:color w:val="auto"/>
        </w:rPr>
      </w:pPr>
    </w:p>
    <w:p>
      <w:pPr>
        <w:ind w:right="220" w:firstLine="8"/>
        <w:spacing w:after="0" w:line="258" w:lineRule="auto"/>
        <w:tabs>
          <w:tab w:leader="none" w:pos="28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below; (d) after giving effect (on a pro forma basis in accordance with </w:t>
      </w:r>
      <w:r>
        <w:rPr>
          <w:rFonts w:ascii="Arial" w:cs="Arial" w:eastAsia="Arial" w:hAnsi="Arial"/>
          <w:sz w:val="19"/>
          <w:szCs w:val="19"/>
          <w:u w:val="single" w:color="auto"/>
          <w:color w:val="auto"/>
        </w:rPr>
        <w:t>Section 1.03(c)</w:t>
      </w:r>
      <w:r>
        <w:rPr>
          <w:rFonts w:ascii="Arial" w:cs="Arial" w:eastAsia="Arial" w:hAnsi="Arial"/>
          <w:sz w:val="19"/>
          <w:szCs w:val="19"/>
          <w:color w:val="auto"/>
        </w:rPr>
        <w:t xml:space="preserve"> and, if applicable, </w:t>
      </w:r>
      <w:r>
        <w:rPr>
          <w:rFonts w:ascii="Arial" w:cs="Arial" w:eastAsia="Arial" w:hAnsi="Arial"/>
          <w:sz w:val="19"/>
          <w:szCs w:val="19"/>
          <w:u w:val="single" w:color="auto"/>
          <w:color w:val="auto"/>
        </w:rPr>
        <w:t>Section 1.03(e)</w:t>
      </w:r>
      <w:r>
        <w:rPr>
          <w:rFonts w:ascii="Arial" w:cs="Arial" w:eastAsia="Arial" w:hAnsi="Arial"/>
          <w:sz w:val="19"/>
          <w:szCs w:val="19"/>
          <w:color w:val="auto"/>
        </w:rPr>
        <w:t xml:space="preserve">) to any such purchase, license or other acquisition, the Secured Leverage Ratio shall not exceed the maximum permitted Secured Leverage Ratio set forth for the current period in </w:t>
      </w:r>
      <w:r>
        <w:rPr>
          <w:rFonts w:ascii="Arial" w:cs="Arial" w:eastAsia="Arial" w:hAnsi="Arial"/>
          <w:sz w:val="19"/>
          <w:szCs w:val="19"/>
          <w:u w:val="single" w:color="auto"/>
          <w:color w:val="auto"/>
        </w:rPr>
        <w:t>Section 7.10(a)</w:t>
      </w:r>
      <w:r>
        <w:rPr>
          <w:rFonts w:ascii="Arial" w:cs="Arial" w:eastAsia="Arial" w:hAnsi="Arial"/>
          <w:sz w:val="19"/>
          <w:szCs w:val="19"/>
          <w:color w:val="auto"/>
        </w:rPr>
        <w:t xml:space="preserve"> (as such level may be adjusted pursuant to any Secured Leverage Holiday in the event of a Relevant Acquisition) and (e) such purchase or acquisition was not consummated pursuant to a hostile tender offer.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ind w:left="5620" w:hanging="120"/>
        <w:spacing w:after="0"/>
        <w:tabs>
          <w:tab w:leader="none" w:pos="562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39" w:name="page240"/>
    <w:bookmarkEnd w:id="239"/>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Encumbrances</w:t>
      </w:r>
      <w:r>
        <w:rPr>
          <w:rFonts w:ascii="Arial" w:cs="Arial" w:eastAsia="Arial" w:hAnsi="Arial"/>
          <w:sz w:val="20"/>
          <w:szCs w:val="20"/>
          <w:color w:val="auto"/>
        </w:rPr>
        <w:t>” means:</w:t>
      </w:r>
    </w:p>
    <w:p>
      <w:pPr>
        <w:spacing w:after="0" w:line="229" w:lineRule="exact"/>
        <w:rPr>
          <w:sz w:val="20"/>
          <w:szCs w:val="20"/>
          <w:color w:val="auto"/>
        </w:rPr>
      </w:pPr>
    </w:p>
    <w:p>
      <w:pPr>
        <w:ind w:left="660" w:right="400" w:firstLine="645"/>
        <w:spacing w:after="0" w:line="289" w:lineRule="auto"/>
        <w:tabs>
          <w:tab w:leader="none" w:pos="2176"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Liens imposed by law for Taxes that are not yet due or are being contested in compliance with </w:t>
      </w:r>
      <w:r>
        <w:rPr>
          <w:rFonts w:ascii="Arial" w:cs="Arial" w:eastAsia="Arial" w:hAnsi="Arial"/>
          <w:sz w:val="20"/>
          <w:szCs w:val="20"/>
          <w:u w:val="single" w:color="auto"/>
          <w:color w:val="auto"/>
        </w:rPr>
        <w:t>Section 6.04</w:t>
      </w:r>
      <w:r>
        <w:rPr>
          <w:rFonts w:ascii="Arial" w:cs="Arial" w:eastAsia="Arial" w:hAnsi="Arial"/>
          <w:sz w:val="20"/>
          <w:szCs w:val="20"/>
          <w:color w:val="auto"/>
        </w:rPr>
        <w:t xml:space="preserve"> and Liens for unpaid utility charges;</w:t>
      </w:r>
    </w:p>
    <w:p>
      <w:pPr>
        <w:spacing w:after="0" w:line="134" w:lineRule="exact"/>
        <w:rPr>
          <w:rFonts w:ascii="Arial" w:cs="Arial" w:eastAsia="Arial" w:hAnsi="Arial"/>
          <w:sz w:val="20"/>
          <w:szCs w:val="20"/>
          <w:color w:val="auto"/>
        </w:rPr>
      </w:pPr>
    </w:p>
    <w:p>
      <w:pPr>
        <w:ind w:left="660" w:right="60" w:firstLine="645"/>
        <w:spacing w:after="0" w:line="278" w:lineRule="auto"/>
        <w:tabs>
          <w:tab w:leader="none" w:pos="2187"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carriers’, warehousemen’s, mechanics’, materialmen’s, repairmen’s and other like Liens imposed by Law, arising in the ordinary course of business and securing obligations that are not overdue by more than sixty (60) days or are being contested in compliance with </w:t>
      </w:r>
      <w:r>
        <w:rPr>
          <w:rFonts w:ascii="Arial" w:cs="Arial" w:eastAsia="Arial" w:hAnsi="Arial"/>
          <w:sz w:val="20"/>
          <w:szCs w:val="20"/>
          <w:u w:val="single" w:color="auto"/>
          <w:color w:val="auto"/>
        </w:rPr>
        <w:t>Section 6.04</w:t>
      </w:r>
      <w:r>
        <w:rPr>
          <w:rFonts w:ascii="Arial" w:cs="Arial" w:eastAsia="Arial" w:hAnsi="Arial"/>
          <w:sz w:val="20"/>
          <w:szCs w:val="20"/>
          <w:color w:val="auto"/>
        </w:rPr>
        <w:t>;</w:t>
      </w:r>
    </w:p>
    <w:p>
      <w:pPr>
        <w:spacing w:after="0" w:line="146" w:lineRule="exact"/>
        <w:rPr>
          <w:rFonts w:ascii="Arial" w:cs="Arial" w:eastAsia="Arial" w:hAnsi="Arial"/>
          <w:sz w:val="20"/>
          <w:szCs w:val="20"/>
          <w:color w:val="auto"/>
        </w:rPr>
      </w:pPr>
    </w:p>
    <w:p>
      <w:pPr>
        <w:ind w:left="660" w:right="160" w:firstLine="645"/>
        <w:spacing w:after="0" w:line="314" w:lineRule="auto"/>
        <w:tabs>
          <w:tab w:leader="none" w:pos="217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pledges and deposits made (i) in the ordinary course of business in compliance with workers’ compensation, unemployment insurance and other social security laws or regulations or employment laws or to secure other public, statutory or regulatory obligations and (ii) in respect of letters of credit, bank guarantees or similar instruments issued for the account of Parent or any Subsidiary in the ordinary course of business supporting obligations of the type set forth in clause (c)(i) above;</w:t>
      </w:r>
    </w:p>
    <w:p>
      <w:pPr>
        <w:spacing w:after="0" w:line="118" w:lineRule="exact"/>
        <w:rPr>
          <w:rFonts w:ascii="Arial" w:cs="Arial" w:eastAsia="Arial" w:hAnsi="Arial"/>
          <w:sz w:val="18"/>
          <w:szCs w:val="18"/>
          <w:color w:val="auto"/>
        </w:rPr>
      </w:pPr>
    </w:p>
    <w:p>
      <w:pPr>
        <w:ind w:left="660" w:firstLine="645"/>
        <w:spacing w:after="0" w:line="293" w:lineRule="auto"/>
        <w:tabs>
          <w:tab w:leader="none" w:pos="2187" w:val="left"/>
        </w:tabs>
        <w:numPr>
          <w:ilvl w:val="0"/>
          <w:numId w:val="155"/>
        </w:numPr>
        <w:rPr>
          <w:rFonts w:ascii="Arial" w:cs="Arial" w:eastAsia="Arial" w:hAnsi="Arial"/>
          <w:sz w:val="19"/>
          <w:szCs w:val="19"/>
          <w:color w:val="auto"/>
        </w:rPr>
      </w:pPr>
      <w:r>
        <w:rPr>
          <w:rFonts w:ascii="Arial" w:cs="Arial" w:eastAsia="Arial" w:hAnsi="Arial"/>
          <w:sz w:val="19"/>
          <w:szCs w:val="19"/>
          <w:color w:val="auto"/>
        </w:rPr>
        <w:t>pledges and deposits (i) to secure the performance of bids, trade and commercial contracts, leases, statutory obligations, surety and appeal bonds, performance bonds and other obligations of a like nature, in each case in the ordinary course of business and (ii) in respect of letters of credit, bank guarantees or similar instruments issued for the account of Parent or any Subsidiary in the ordinary course of business supporting obligations of the type set forth in clause (d)(i) above;</w:t>
      </w:r>
    </w:p>
    <w:p>
      <w:pPr>
        <w:spacing w:after="0" w:line="135" w:lineRule="exact"/>
        <w:rPr>
          <w:rFonts w:ascii="Arial" w:cs="Arial" w:eastAsia="Arial" w:hAnsi="Arial"/>
          <w:sz w:val="19"/>
          <w:szCs w:val="19"/>
          <w:color w:val="auto"/>
        </w:rPr>
      </w:pPr>
    </w:p>
    <w:p>
      <w:pPr>
        <w:ind w:left="660" w:right="20" w:firstLine="645"/>
        <w:spacing w:after="0" w:line="289" w:lineRule="auto"/>
        <w:tabs>
          <w:tab w:leader="none" w:pos="2176"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judgment Liens in respect of judgments that do not constitute an Event of Default under clause (k) of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or securing appeal or surety bonds related to such judgments;</w:t>
      </w:r>
    </w:p>
    <w:p>
      <w:pPr>
        <w:spacing w:after="0" w:line="134" w:lineRule="exact"/>
        <w:rPr>
          <w:rFonts w:ascii="Arial" w:cs="Arial" w:eastAsia="Arial" w:hAnsi="Arial"/>
          <w:sz w:val="20"/>
          <w:szCs w:val="20"/>
          <w:color w:val="auto"/>
        </w:rPr>
      </w:pPr>
    </w:p>
    <w:p>
      <w:pPr>
        <w:ind w:left="660" w:right="160" w:firstLine="645"/>
        <w:spacing w:after="0" w:line="299" w:lineRule="auto"/>
        <w:tabs>
          <w:tab w:leader="none" w:pos="2154" w:val="left"/>
        </w:tabs>
        <w:numPr>
          <w:ilvl w:val="0"/>
          <w:numId w:val="155"/>
        </w:numPr>
        <w:rPr>
          <w:rFonts w:ascii="Arial" w:cs="Arial" w:eastAsia="Arial" w:hAnsi="Arial"/>
          <w:sz w:val="19"/>
          <w:szCs w:val="19"/>
          <w:color w:val="auto"/>
        </w:rPr>
      </w:pPr>
      <w:r>
        <w:rPr>
          <w:rFonts w:ascii="Arial" w:cs="Arial" w:eastAsia="Arial" w:hAnsi="Arial"/>
          <w:sz w:val="19"/>
          <w:szCs w:val="19"/>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Parent or any Restricted Subsidiary; and</w:t>
      </w:r>
    </w:p>
    <w:p>
      <w:pPr>
        <w:spacing w:after="0" w:line="128" w:lineRule="exact"/>
        <w:rPr>
          <w:rFonts w:ascii="Arial" w:cs="Arial" w:eastAsia="Arial" w:hAnsi="Arial"/>
          <w:sz w:val="19"/>
          <w:szCs w:val="19"/>
          <w:color w:val="auto"/>
        </w:rPr>
      </w:pPr>
    </w:p>
    <w:p>
      <w:pPr>
        <w:ind w:left="660" w:right="180" w:firstLine="645"/>
        <w:spacing w:after="0" w:line="278" w:lineRule="auto"/>
        <w:tabs>
          <w:tab w:leader="none" w:pos="2187"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banker’s liens, rights of setoff or similar rights and remedies as to deposit accounts or other funds maintained with depository institutions and payment processors;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deposit accounts or funds are not established or deposited for the purpose of providing collateral for any Indebtedness.</w:t>
      </w:r>
    </w:p>
    <w:p>
      <w:pPr>
        <w:spacing w:after="0" w:line="133" w:lineRule="exact"/>
        <w:rPr>
          <w:sz w:val="20"/>
          <w:szCs w:val="20"/>
          <w:color w:val="auto"/>
        </w:rPr>
      </w:pPr>
    </w:p>
    <w:p>
      <w:pPr>
        <w:ind w:right="2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Exchange</w:t>
      </w:r>
      <w:r>
        <w:rPr>
          <w:rFonts w:ascii="Arial" w:cs="Arial" w:eastAsia="Arial" w:hAnsi="Arial"/>
          <w:sz w:val="20"/>
          <w:szCs w:val="20"/>
          <w:color w:val="auto"/>
        </w:rPr>
        <w:t>” means an exchange of real property of Parent or any Restricted Subsidiary that qualifies as a like-kind exchange pursuant to and in compliance with Section 1031 of the Code.</w:t>
      </w:r>
    </w:p>
    <w:p>
      <w:pPr>
        <w:spacing w:after="0" w:line="177" w:lineRule="exact"/>
        <w:rPr>
          <w:sz w:val="20"/>
          <w:szCs w:val="20"/>
          <w:color w:val="auto"/>
        </w:rPr>
      </w:pPr>
    </w:p>
    <w:p>
      <w:pPr>
        <w:ind w:right="20"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External Credit Agreement Refinancing Indebtedness</w:t>
      </w:r>
      <w:r>
        <w:rPr>
          <w:rFonts w:ascii="Arial" w:cs="Arial" w:eastAsia="Arial" w:hAnsi="Arial"/>
          <w:sz w:val="20"/>
          <w:szCs w:val="20"/>
          <w:color w:val="auto"/>
        </w:rPr>
        <w:t xml:space="preserve">” means Credit Agreement Refinancing Indebtedness incurred by the applicable Borrower in the form of one or more series of senior lien secured, junior lien secured or unsecured notes or loans (other than pursuant to a Refinancing Amendment);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Indebtedness is not secured by any property or assets of Parent, the applicable Borrower or any Subsidiary other than the Collateral and (ii) the security agreements, if any, relating to such Indebtedness are substantially the same as the Collateral Documents (as determined in good faith by the Lead Borrower) (with such differences as are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40" w:name="page241"/>
    <w:bookmarkEnd w:id="240"/>
    <w:p>
      <w:pPr>
        <w:ind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Foreign Loan</w:t>
      </w:r>
      <w:r>
        <w:rPr>
          <w:rFonts w:ascii="Arial" w:cs="Arial" w:eastAsia="Arial" w:hAnsi="Arial"/>
          <w:sz w:val="20"/>
          <w:szCs w:val="20"/>
          <w:color w:val="auto"/>
        </w:rPr>
        <w:t xml:space="preserve">” means a loan made by any Loan Party to any Wholly Owned Restricted Subsidiary that is not a Loan Party after the </w:t>
      </w:r>
      <w:r>
        <w:rPr>
          <w:rFonts w:ascii="Arial" w:cs="Arial" w:eastAsia="Arial" w:hAnsi="Arial"/>
          <w:sz w:val="20"/>
          <w:szCs w:val="20"/>
          <w:color w:val="FF0000"/>
          <w:strike w:val="1"/>
        </w:rPr>
        <w:t>date hereof</w:t>
      </w:r>
      <w:r>
        <w:rPr>
          <w:rFonts w:ascii="Arial" w:cs="Arial" w:eastAsia="Arial" w:hAnsi="Arial"/>
          <w:sz w:val="20"/>
          <w:szCs w:val="20"/>
          <w:u w:val="single" w:color="auto"/>
          <w:color w:val="0000FF"/>
        </w:rPr>
        <w:t>Closing Date</w:t>
      </w:r>
      <w:r>
        <w:rPr>
          <w:rFonts w:ascii="Arial" w:cs="Arial" w:eastAsia="Arial" w:hAnsi="Arial"/>
          <w:sz w:val="20"/>
          <w:szCs w:val="20"/>
          <w:color w:val="auto"/>
        </w:rPr>
        <w:t xml:space="preserve"> that satisfies the following requirements: (a) the proceeds of such loan are used, directly or indirectly, to finance an acquisition or other Investment permitted under clause (b), (q), (u) or (w) of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(b) </w:t>
      </w:r>
      <w:r>
        <w:rPr>
          <w:rFonts w:ascii="Arial" w:cs="Arial" w:eastAsia="Arial" w:hAnsi="Arial"/>
          <w:sz w:val="20"/>
          <w:szCs w:val="20"/>
          <w:u w:val="single" w:color="auto"/>
          <w:color w:val="0000FF"/>
        </w:rPr>
        <w:t>to the extent such loan is in an</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aggregate principal amount exceeding $10,000,000,</w:t>
      </w:r>
      <w:r>
        <w:rPr>
          <w:rFonts w:ascii="Arial" w:cs="Arial" w:eastAsia="Arial" w:hAnsi="Arial"/>
          <w:sz w:val="20"/>
          <w:szCs w:val="20"/>
          <w:color w:val="0000FF"/>
        </w:rPr>
        <w:t xml:space="preserve"> </w:t>
      </w:r>
      <w:r>
        <w:rPr>
          <w:rFonts w:ascii="Arial" w:cs="Arial" w:eastAsia="Arial" w:hAnsi="Arial"/>
          <w:sz w:val="20"/>
          <w:szCs w:val="20"/>
          <w:color w:val="000000"/>
        </w:rPr>
        <w:t>such loan is evidenced by a promissory note</w:t>
      </w:r>
      <w:r>
        <w:rPr>
          <w:rFonts w:ascii="Arial" w:cs="Arial" w:eastAsia="Arial" w:hAnsi="Arial"/>
          <w:sz w:val="20"/>
          <w:szCs w:val="20"/>
          <w:color w:val="0000FF"/>
        </w:rPr>
        <w:t xml:space="preserve"> </w:t>
      </w:r>
      <w:r>
        <w:rPr>
          <w:rFonts w:ascii="Arial" w:cs="Arial" w:eastAsia="Arial" w:hAnsi="Arial"/>
          <w:sz w:val="20"/>
          <w:szCs w:val="20"/>
          <w:color w:val="FF0000"/>
          <w:strike w:val="1"/>
        </w:rPr>
        <w:t>of such Foreign Subsidiary</w:t>
      </w:r>
      <w:r>
        <w:rPr>
          <w:rFonts w:ascii="Arial" w:cs="Arial" w:eastAsia="Arial" w:hAnsi="Arial"/>
          <w:sz w:val="20"/>
          <w:szCs w:val="20"/>
          <w:color w:val="000000"/>
        </w:rPr>
        <w:t>; and (c)</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if such</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loan is evidenced by a promissory note,</w:t>
      </w:r>
      <w:r>
        <w:rPr>
          <w:rFonts w:ascii="Arial" w:cs="Arial" w:eastAsia="Arial" w:hAnsi="Arial"/>
          <w:sz w:val="20"/>
          <w:szCs w:val="20"/>
          <w:color w:val="0000FF"/>
        </w:rPr>
        <w:t xml:space="preserve"> </w:t>
      </w:r>
      <w:r>
        <w:rPr>
          <w:rFonts w:ascii="Arial" w:cs="Arial" w:eastAsia="Arial" w:hAnsi="Arial"/>
          <w:sz w:val="20"/>
          <w:szCs w:val="20"/>
          <w:color w:val="000000"/>
        </w:rPr>
        <w:t>such promissory note is delivered and pledged to the Administrative Agent pursuant to the applicable</w:t>
      </w:r>
      <w:r>
        <w:rPr>
          <w:rFonts w:ascii="Arial" w:cs="Arial" w:eastAsia="Arial" w:hAnsi="Arial"/>
          <w:sz w:val="20"/>
          <w:szCs w:val="20"/>
          <w:color w:val="0000FF"/>
        </w:rPr>
        <w:t xml:space="preserve"> </w:t>
      </w:r>
      <w:r>
        <w:rPr>
          <w:rFonts w:ascii="Arial" w:cs="Arial" w:eastAsia="Arial" w:hAnsi="Arial"/>
          <w:sz w:val="20"/>
          <w:szCs w:val="20"/>
          <w:color w:val="000000"/>
        </w:rPr>
        <w:t>Collateral Documents.</w:t>
      </w:r>
    </w:p>
    <w:p>
      <w:pPr>
        <w:spacing w:after="0" w:line="197" w:lineRule="exact"/>
        <w:rPr>
          <w:sz w:val="20"/>
          <w:szCs w:val="20"/>
          <w:color w:val="auto"/>
        </w:rPr>
      </w:pPr>
    </w:p>
    <w:p>
      <w:pPr>
        <w:ind w:right="20" w:firstLine="1297"/>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Indebtedness</w:t>
      </w:r>
      <w:r>
        <w:rPr>
          <w:rFonts w:ascii="Arial" w:cs="Arial" w:eastAsia="Arial" w:hAnsi="Arial"/>
          <w:sz w:val="19"/>
          <w:szCs w:val="19"/>
          <w:color w:val="auto"/>
        </w:rPr>
        <w:t xml:space="preserve">” means unsecured Indebtedness (including Subordinated Indebtedness) of any Loan Party and any Permitted Refinancing Indebtedness in respect of any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both immediately prior to and after giving effect thereto, no Default or Event of Default shall exist or result therefrom, (ii) such Indebtedness matures on or after, and does not require any scheduled amortization or other scheduled payments of principal prior to, the date that is 91 days after the Latest Maturity Date (it being understood that any provision requiring an offer to purchase such Indebtedness as a result of a change of control or asset sale and any cash settled or net share settled conversion obligations shall not violate the foregoing restriction), (iii) such Indebtedness is not guaranteed by any Restricted Subsidiary of Parent other than the Subsidiary Guarantors (which guarantees, if such Indebtedness is subordinated, shall be expressly subordinated to the Finance Obligations on terms not less favorable to the Lenders than the subordination terms of such Subordinated Indebtedness) and (iv) both immediately prior to and after giving effect to the increase of such Indebtedness (on a pro forma basis in accordance with </w:t>
      </w:r>
      <w:r>
        <w:rPr>
          <w:rFonts w:ascii="Arial" w:cs="Arial" w:eastAsia="Arial" w:hAnsi="Arial"/>
          <w:sz w:val="19"/>
          <w:szCs w:val="19"/>
          <w:u w:val="single" w:color="auto"/>
          <w:color w:val="auto"/>
        </w:rPr>
        <w:t>Section 1.03(c)</w:t>
      </w:r>
      <w:r>
        <w:rPr>
          <w:rFonts w:ascii="Arial" w:cs="Arial" w:eastAsia="Arial" w:hAnsi="Arial"/>
          <w:sz w:val="19"/>
          <w:szCs w:val="19"/>
          <w:color w:val="auto"/>
        </w:rPr>
        <w:t xml:space="preserve"> and, if applicable, </w:t>
      </w:r>
      <w:r>
        <w:rPr>
          <w:rFonts w:ascii="Arial" w:cs="Arial" w:eastAsia="Arial" w:hAnsi="Arial"/>
          <w:sz w:val="19"/>
          <w:szCs w:val="19"/>
          <w:u w:val="single" w:color="auto"/>
          <w:color w:val="auto"/>
        </w:rPr>
        <w:t>Section 1.03(e)</w:t>
      </w:r>
      <w:r>
        <w:rPr>
          <w:rFonts w:ascii="Arial" w:cs="Arial" w:eastAsia="Arial" w:hAnsi="Arial"/>
          <w:sz w:val="19"/>
          <w:szCs w:val="19"/>
          <w:color w:val="auto"/>
        </w:rPr>
        <w:t>), the Total Leverage Ratio as the end of the most recently completed Test Period shall not exceed 4.75 to 1.00.</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means:</w:t>
      </w:r>
    </w:p>
    <w:p>
      <w:pPr>
        <w:spacing w:after="0" w:line="229" w:lineRule="exact"/>
        <w:rPr>
          <w:sz w:val="20"/>
          <w:szCs w:val="20"/>
          <w:color w:val="auto"/>
        </w:rPr>
      </w:pPr>
    </w:p>
    <w:p>
      <w:pPr>
        <w:ind w:left="660" w:right="200" w:firstLine="645"/>
        <w:spacing w:after="0" w:line="299" w:lineRule="auto"/>
        <w:tabs>
          <w:tab w:leader="none" w:pos="2176" w:val="left"/>
        </w:tabs>
        <w:numPr>
          <w:ilvl w:val="0"/>
          <w:numId w:val="156"/>
        </w:numPr>
        <w:rPr>
          <w:rFonts w:ascii="Arial" w:cs="Arial" w:eastAsia="Arial" w:hAnsi="Arial"/>
          <w:sz w:val="19"/>
          <w:szCs w:val="19"/>
          <w:color w:val="auto"/>
        </w:rPr>
      </w:pPr>
      <w:r>
        <w:rPr>
          <w:rFonts w:ascii="Arial" w:cs="Arial" w:eastAsia="Arial" w:hAnsi="Arial"/>
          <w:sz w:val="19"/>
          <w:szCs w:val="19"/>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28" w:lineRule="exact"/>
        <w:rPr>
          <w:rFonts w:ascii="Arial" w:cs="Arial" w:eastAsia="Arial" w:hAnsi="Arial"/>
          <w:sz w:val="19"/>
          <w:szCs w:val="19"/>
          <w:color w:val="auto"/>
        </w:rPr>
      </w:pPr>
    </w:p>
    <w:p>
      <w:pPr>
        <w:ind w:left="660" w:right="120" w:firstLine="645"/>
        <w:spacing w:after="0" w:line="289" w:lineRule="auto"/>
        <w:tabs>
          <w:tab w:leader="none" w:pos="2187" w:val="left"/>
        </w:tabs>
        <w:numPr>
          <w:ilvl w:val="0"/>
          <w:numId w:val="156"/>
        </w:numPr>
        <w:rPr>
          <w:rFonts w:ascii="Arial" w:cs="Arial" w:eastAsia="Arial" w:hAnsi="Arial"/>
          <w:sz w:val="20"/>
          <w:szCs w:val="20"/>
          <w:color w:val="auto"/>
        </w:rPr>
      </w:pPr>
      <w:r>
        <w:rPr>
          <w:rFonts w:ascii="Arial" w:cs="Arial" w:eastAsia="Arial" w:hAnsi="Arial"/>
          <w:sz w:val="20"/>
          <w:szCs w:val="20"/>
          <w:color w:val="auto"/>
        </w:rPr>
        <w:t>investments in commercial paper maturing within 270 days from the date of acquisition thereof and having, at such date of acquisition, the highest credit rating obtainable from S&amp;P or from Moody’s;</w:t>
      </w:r>
    </w:p>
    <w:p>
      <w:pPr>
        <w:spacing w:after="0" w:line="134" w:lineRule="exact"/>
        <w:rPr>
          <w:rFonts w:ascii="Arial" w:cs="Arial" w:eastAsia="Arial" w:hAnsi="Arial"/>
          <w:sz w:val="20"/>
          <w:szCs w:val="20"/>
          <w:color w:val="auto"/>
        </w:rPr>
      </w:pPr>
    </w:p>
    <w:p>
      <w:pPr>
        <w:ind w:left="660" w:right="40" w:firstLine="645"/>
        <w:spacing w:after="0" w:line="314" w:lineRule="auto"/>
        <w:tabs>
          <w:tab w:leader="none" w:pos="217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one year or less from the date of acquisition, demand deposits, bankers’ acceptances with maturities not exceeding one year and overnight bank deposits, in each case with any domestic or foreign commercial bank having capital and surplus of not less than $500,000,000 in the case of U.S. banks and $250,000,000 (or the Dollar equivalent as of the date of determination) in the case of non-U.S. banks;</w:t>
      </w:r>
    </w:p>
    <w:p>
      <w:pPr>
        <w:spacing w:after="0" w:line="118" w:lineRule="exact"/>
        <w:rPr>
          <w:rFonts w:ascii="Arial" w:cs="Arial" w:eastAsia="Arial" w:hAnsi="Arial"/>
          <w:sz w:val="18"/>
          <w:szCs w:val="18"/>
          <w:color w:val="auto"/>
        </w:rPr>
      </w:pPr>
    </w:p>
    <w:p>
      <w:pPr>
        <w:ind w:left="660" w:right="220" w:firstLine="645"/>
        <w:spacing w:after="0" w:line="347" w:lineRule="auto"/>
        <w:tabs>
          <w:tab w:leader="none" w:pos="218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thirty (30) days for securities described in clauses (a) and (c) above and entered into with a financial institution satisfying the criteria described in clause (c) above;</w:t>
      </w:r>
    </w:p>
    <w:p>
      <w:pPr>
        <w:spacing w:after="0" w:line="90" w:lineRule="exact"/>
        <w:rPr>
          <w:rFonts w:ascii="Arial" w:cs="Arial" w:eastAsia="Arial" w:hAnsi="Arial"/>
          <w:sz w:val="18"/>
          <w:szCs w:val="18"/>
          <w:color w:val="auto"/>
        </w:rPr>
      </w:pPr>
    </w:p>
    <w:p>
      <w:pPr>
        <w:ind w:left="660" w:right="260" w:firstLine="645"/>
        <w:spacing w:after="0" w:line="278" w:lineRule="auto"/>
        <w:tabs>
          <w:tab w:leader="none" w:pos="2176" w:val="left"/>
        </w:tabs>
        <w:numPr>
          <w:ilvl w:val="0"/>
          <w:numId w:val="156"/>
        </w:numPr>
        <w:rPr>
          <w:rFonts w:ascii="Arial" w:cs="Arial" w:eastAsia="Arial" w:hAnsi="Arial"/>
          <w:sz w:val="20"/>
          <w:szCs w:val="20"/>
          <w:color w:val="auto"/>
        </w:rPr>
      </w:pPr>
      <w:r>
        <w:rPr>
          <w:rFonts w:ascii="Arial" w:cs="Arial" w:eastAsia="Arial" w:hAnsi="Arial"/>
          <w:sz w:val="20"/>
          <w:szCs w:val="20"/>
          <w:color w:val="auto"/>
        </w:rPr>
        <w:t>marketable short-term money market and similar liquid funds having a rating of at least P-2 or A-2 from either Moody’s or S&amp;P, respectively (or, if at any time neither Moody’s nor S&amp;P shall be rating such obligations, an equivalent rating from another nationally recognized statistical rating agency);</w:t>
      </w:r>
    </w:p>
    <w:p>
      <w:pPr>
        <w:spacing w:after="0" w:line="200" w:lineRule="exact"/>
        <w:rPr>
          <w:rFonts w:ascii="Arial" w:cs="Arial" w:eastAsia="Arial" w:hAnsi="Arial"/>
          <w:sz w:val="20"/>
          <w:szCs w:val="20"/>
          <w:color w:val="auto"/>
        </w:rPr>
      </w:pPr>
    </w:p>
    <w:p>
      <w:pPr>
        <w:spacing w:after="0" w:line="391" w:lineRule="exact"/>
        <w:rPr>
          <w:rFonts w:ascii="Arial" w:cs="Arial" w:eastAsia="Arial" w:hAnsi="Arial"/>
          <w:sz w:val="20"/>
          <w:szCs w:val="20"/>
          <w:color w:val="auto"/>
        </w:rPr>
      </w:pPr>
    </w:p>
    <w:p>
      <w:pPr>
        <w:ind w:left="5620" w:hanging="120"/>
        <w:spacing w:after="0"/>
        <w:tabs>
          <w:tab w:leader="none" w:pos="5620" w:val="left"/>
        </w:tabs>
        <w:numPr>
          <w:ilvl w:val="1"/>
          <w:numId w:val="156"/>
        </w:numPr>
        <w:rPr>
          <w:rFonts w:ascii="Arial" w:cs="Arial" w:eastAsia="Arial" w:hAnsi="Arial"/>
          <w:sz w:val="20"/>
          <w:szCs w:val="20"/>
          <w:color w:val="auto"/>
        </w:rPr>
      </w:pPr>
      <w:r>
        <w:rPr>
          <w:rFonts w:ascii="Arial" w:cs="Arial" w:eastAsia="Arial" w:hAnsi="Arial"/>
          <w:sz w:val="20"/>
          <w:szCs w:val="20"/>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41" w:name="page242"/>
    <w:bookmarkEnd w:id="241"/>
    <w:p>
      <w:pPr>
        <w:jc w:val="both"/>
        <w:ind w:left="660" w:right="160" w:firstLine="645"/>
        <w:spacing w:after="0" w:line="322" w:lineRule="auto"/>
        <w:tabs>
          <w:tab w:leader="none" w:pos="2154"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Investments with average maturities of 12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nationally recognized statistical rating agency);</w:t>
      </w:r>
    </w:p>
    <w:p>
      <w:pPr>
        <w:spacing w:after="0" w:line="112" w:lineRule="exact"/>
        <w:rPr>
          <w:rFonts w:ascii="Arial" w:cs="Arial" w:eastAsia="Arial" w:hAnsi="Arial"/>
          <w:sz w:val="18"/>
          <w:szCs w:val="18"/>
          <w:color w:val="auto"/>
        </w:rPr>
      </w:pPr>
    </w:p>
    <w:p>
      <w:pPr>
        <w:ind w:left="2180" w:hanging="875"/>
        <w:spacing w:after="0"/>
        <w:tabs>
          <w:tab w:leader="none" w:pos="21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investment funds investing substantially all of their assets in securities of the types described in clauses (a) through</w:t>
      </w:r>
    </w:p>
    <w:p>
      <w:pPr>
        <w:spacing w:after="0" w:line="49" w:lineRule="exact"/>
        <w:rPr>
          <w:rFonts w:ascii="Arial" w:cs="Arial" w:eastAsia="Arial" w:hAnsi="Arial"/>
          <w:sz w:val="18"/>
          <w:szCs w:val="18"/>
          <w:color w:val="auto"/>
        </w:rPr>
      </w:pPr>
    </w:p>
    <w:p>
      <w:pPr>
        <w:ind w:left="900" w:hanging="244"/>
        <w:spacing w:after="0"/>
        <w:tabs>
          <w:tab w:leader="none" w:pos="9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above;</w:t>
      </w:r>
    </w:p>
    <w:p>
      <w:pPr>
        <w:spacing w:after="0" w:line="202" w:lineRule="exact"/>
        <w:rPr>
          <w:rFonts w:ascii="Arial" w:cs="Arial" w:eastAsia="Arial" w:hAnsi="Arial"/>
          <w:sz w:val="20"/>
          <w:szCs w:val="20"/>
          <w:color w:val="auto"/>
        </w:rPr>
      </w:pPr>
    </w:p>
    <w:p>
      <w:pPr>
        <w:ind w:left="660" w:firstLine="645"/>
        <w:spacing w:after="0" w:line="278" w:lineRule="auto"/>
        <w:tabs>
          <w:tab w:leader="none" w:pos="2187" w:val="left"/>
        </w:tabs>
        <w:numPr>
          <w:ilvl w:val="1"/>
          <w:numId w:val="158"/>
        </w:numPr>
        <w:rPr>
          <w:rFonts w:ascii="Arial" w:cs="Arial" w:eastAsia="Arial" w:hAnsi="Arial"/>
          <w:sz w:val="20"/>
          <w:szCs w:val="20"/>
          <w:color w:val="auto"/>
        </w:rPr>
      </w:pPr>
      <w:r>
        <w:rPr>
          <w:rFonts w:ascii="Arial" w:cs="Arial" w:eastAsia="Arial" w:hAnsi="Arial"/>
          <w:sz w:val="20"/>
          <w:szCs w:val="20"/>
          <w:color w:val="auto"/>
        </w:rPr>
        <w:t>in the case of any Parent or Foreign Subsidiary, other short-term investments that are analogous to the foregoing, are of comparable credit quality and are customarily used by companies in the jurisdiction of such Parent or Foreign Subsidiary for cash management purposes; and</w:t>
      </w:r>
    </w:p>
    <w:p>
      <w:pPr>
        <w:spacing w:after="0" w:line="146" w:lineRule="exact"/>
        <w:rPr>
          <w:rFonts w:ascii="Arial" w:cs="Arial" w:eastAsia="Arial" w:hAnsi="Arial"/>
          <w:sz w:val="20"/>
          <w:szCs w:val="20"/>
          <w:color w:val="auto"/>
        </w:rPr>
      </w:pPr>
    </w:p>
    <w:p>
      <w:pPr>
        <w:ind w:left="660" w:right="180" w:firstLine="645"/>
        <w:spacing w:after="0" w:line="289" w:lineRule="auto"/>
        <w:tabs>
          <w:tab w:leader="none" w:pos="2143" w:val="left"/>
        </w:tabs>
        <w:numPr>
          <w:ilvl w:val="1"/>
          <w:numId w:val="158"/>
        </w:numPr>
        <w:rPr>
          <w:rFonts w:ascii="Arial" w:cs="Arial" w:eastAsia="Arial" w:hAnsi="Arial"/>
          <w:sz w:val="20"/>
          <w:szCs w:val="20"/>
          <w:color w:val="auto"/>
        </w:rPr>
      </w:pPr>
      <w:r>
        <w:rPr>
          <w:rFonts w:ascii="Arial" w:cs="Arial" w:eastAsia="Arial" w:hAnsi="Arial"/>
          <w:sz w:val="20"/>
          <w:szCs w:val="20"/>
          <w:color w:val="auto"/>
        </w:rPr>
        <w:t>investments permitted pursuant to Parent’s investment policy as approved by the Board of Directors (or committee thereof) of the Parent from time to time.</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216" w:lineRule="exact"/>
        <w:rPr>
          <w:sz w:val="20"/>
          <w:szCs w:val="20"/>
          <w:color w:val="auto"/>
        </w:rPr>
      </w:pPr>
    </w:p>
    <w:p>
      <w:pPr>
        <w:ind w:firstLine="129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 Indebtedness</w:t>
      </w:r>
      <w:r>
        <w:rPr>
          <w:rFonts w:ascii="Arial" w:cs="Arial" w:eastAsia="Arial" w:hAnsi="Arial"/>
          <w:sz w:val="18"/>
          <w:szCs w:val="18"/>
          <w:color w:val="auto"/>
        </w:rPr>
        <w:t>” means any Indebtedness issued in exchange for, or the net proceeds of which are used to extend, refinance, renew, replace, defease or refund (collectively, to “</w:t>
      </w:r>
      <w:r>
        <w:rPr>
          <w:rFonts w:ascii="Arial" w:cs="Arial" w:eastAsia="Arial" w:hAnsi="Arial"/>
          <w:sz w:val="18"/>
          <w:szCs w:val="18"/>
          <w:u w:val="single" w:color="auto"/>
          <w:color w:val="auto"/>
        </w:rPr>
        <w:t>Refinance</w:t>
      </w:r>
      <w:r>
        <w:rPr>
          <w:rFonts w:ascii="Arial" w:cs="Arial" w:eastAsia="Arial" w:hAnsi="Arial"/>
          <w:sz w:val="18"/>
          <w:szCs w:val="18"/>
          <w:color w:val="auto"/>
        </w:rPr>
        <w:t xml:space="preserve">”) other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principal amount (or accreted value, if applicable) of such Permitted Refinancing Indebtedness does not exceed the principal amount (or accreted value, if applicable) of the Indebtedness so refinanced (plus unpaid accrued interest and premium (including tender premium) thereon, any committed or undrawn amounts and underwriting and original issue discounts, fees, commissions and expenses, associated with such Permitted Refinancing Indebtedness), (b) the final maturity date of such Permitted Refinancing Indebtedness is no earlier than the maturity date of the Indebtedness being Refinanced (it being understood that, in each case, any provision requiring an offer to purchase such Indebtedness as a result of a change of control or asset sale shall not violate the foregoing restriction), (c) if the Indebtedness (including any Guarantee thereof) being Refinanced is by its terms subordinated in right of payment to the Finance Obligations, such Permitted Refinancing Indebtedness (including any Guarantee thereof) shall be subordinated in right of payment to the Finance Obligations on terms at least as favorable to the Lenders as those contained in the documentation governing the Indebtedness being Refinanced, taken as a whole (as determined in good faith by the Board of Directors of Parent), (d) no Permitted Refinancing Indebtedness shall have obligors or contingent obligors that were not obligors or contingent obligors (or that would not have been required to become obligors or contingent obligors) in respect of the Indebtedness being Refinanced and (e) if the Indebtedness being Refinanced is secured, such Permitted Refinancing Indebtedness may be secured on terms no less favorable, taken as a whole, to the Loan Parties than those contained in the documentation (including any intercreditor agreement) governing the Indebtedness being Refinanced (reasonably determined in good faith by the Board of Directors of Parent).</w:t>
      </w:r>
    </w:p>
    <w:p>
      <w:pPr>
        <w:spacing w:after="0" w:line="178" w:lineRule="exact"/>
        <w:rPr>
          <w:sz w:val="20"/>
          <w:szCs w:val="20"/>
          <w:color w:val="auto"/>
        </w:rPr>
      </w:pPr>
    </w:p>
    <w:p>
      <w:pPr>
        <w:ind w:firstLine="1297"/>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Reorganization</w:t>
      </w:r>
      <w:r>
        <w:rPr>
          <w:rFonts w:ascii="Arial" w:cs="Arial" w:eastAsia="Arial" w:hAnsi="Arial"/>
          <w:sz w:val="19"/>
          <w:szCs w:val="19"/>
          <w:color w:val="auto"/>
        </w:rPr>
        <w:t xml:space="preserve">” means the consummation of one or more transactions undertaken in good faith for the purpose of improving the consolidated Tax efficiency of Parent and the Restricted Subsidiaries, pursuant to which (i) certain Foreign Subsidiaries of the U.S. Borrower shall become Subsidiaries of Parent and not the U.S. Borrower, (ii) intellectual property assets held by one or more Foreign Subsidiaries of Parent shall be Disposed to one or more other Subsidiaries of Parent;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clause (i), no Loan Party shall become an Excluded Subsidiary as a result of such transaction and, with respect to clause (ii), any such Subsidiary of Parent to which such intellectual property assets (in each case other than Excluded Assets) are Disposed, shall be a Guarantor or shall become a Guarantor within the time periods specified under </w:t>
      </w:r>
      <w:r>
        <w:rPr>
          <w:rFonts w:ascii="Arial" w:cs="Arial" w:eastAsia="Arial" w:hAnsi="Arial"/>
          <w:sz w:val="19"/>
          <w:szCs w:val="19"/>
          <w:u w:val="single" w:color="auto"/>
          <w:color w:val="auto"/>
        </w:rPr>
        <w:t>Section 6.09</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79" w:right="259" w:bottom="1440" w:gutter="0" w:footer="0" w:header="0"/>
        </w:sectPr>
      </w:pPr>
    </w:p>
    <w:bookmarkStart w:id="242" w:name="page243"/>
    <w:bookmarkEnd w:id="242"/>
    <w:p>
      <w:pPr>
        <w:ind w:right="8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ind w:right="4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 employee pension benefit plan which is covered by Title IV of ERISA or subject to the minimum funding standards under Section 412 of the Code maintained by or contributed to by Parent or any of its Restricted Subsidiaries or any ERISA Affiliate, including a Multiemployer Plan.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10.02(e)</w:t>
      </w:r>
      <w:r>
        <w:rPr>
          <w:rFonts w:ascii="Arial" w:cs="Arial" w:eastAsia="Arial" w:hAnsi="Arial"/>
          <w:sz w:val="20"/>
          <w:szCs w:val="20"/>
          <w:color w:val="auto"/>
        </w:rPr>
        <w:t>.</w:t>
      </w:r>
    </w:p>
    <w:p>
      <w:pPr>
        <w:spacing w:after="0" w:line="216" w:lineRule="exact"/>
        <w:rPr>
          <w:sz w:val="20"/>
          <w:szCs w:val="20"/>
          <w:color w:val="auto"/>
        </w:rPr>
      </w:pPr>
    </w:p>
    <w:p>
      <w:pPr>
        <w:ind w:right="2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Collateral</w:t>
      </w:r>
      <w:r>
        <w:rPr>
          <w:rFonts w:ascii="Arial" w:cs="Arial" w:eastAsia="Arial" w:hAnsi="Arial"/>
          <w:sz w:val="20"/>
          <w:szCs w:val="20"/>
          <w:color w:val="auto"/>
        </w:rPr>
        <w:t>” means collectively the “Pledged Collateral” as defined in the U.S. Security Agreement and the Foreign Collateral Documents.</w:t>
      </w:r>
    </w:p>
    <w:p>
      <w:pPr>
        <w:spacing w:after="0" w:line="177" w:lineRule="exact"/>
        <w:rPr>
          <w:sz w:val="20"/>
          <w:szCs w:val="20"/>
          <w:color w:val="auto"/>
        </w:rPr>
      </w:pPr>
    </w:p>
    <w:p>
      <w:pPr>
        <w:ind w:right="2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Pre-Commitment Information</w:t>
      </w:r>
      <w:r>
        <w:rPr>
          <w:rFonts w:ascii="Arial" w:cs="Arial" w:eastAsia="Arial" w:hAnsi="Arial"/>
          <w:sz w:val="20"/>
          <w:szCs w:val="20"/>
          <w:color w:val="auto"/>
        </w:rPr>
        <w:t>” means, taken as an entirety, any written information in respect of Parent and its Subsidiaries provided to any Agent or Lender by or on behalf of any Borrower prior to the Closing Date.</w:t>
      </w:r>
    </w:p>
    <w:p>
      <w:pPr>
        <w:spacing w:after="0" w:line="177" w:lineRule="exact"/>
        <w:rPr>
          <w:sz w:val="20"/>
          <w:szCs w:val="20"/>
          <w:color w:val="auto"/>
        </w:rPr>
      </w:pPr>
    </w:p>
    <w:p>
      <w:pPr>
        <w:ind w:right="6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Principal Amortization Payment</w:t>
      </w:r>
      <w:r>
        <w:rPr>
          <w:rFonts w:ascii="Arial" w:cs="Arial" w:eastAsia="Arial" w:hAnsi="Arial"/>
          <w:sz w:val="20"/>
          <w:szCs w:val="20"/>
          <w:color w:val="auto"/>
        </w:rPr>
        <w:t xml:space="preserve">” means a scheduled principal payment on the Term Loans pursuant to </w:t>
      </w:r>
      <w:r>
        <w:rPr>
          <w:rFonts w:ascii="Arial" w:cs="Arial" w:eastAsia="Arial" w:hAnsi="Arial"/>
          <w:sz w:val="20"/>
          <w:szCs w:val="20"/>
          <w:u w:val="single" w:color="auto"/>
          <w:color w:val="auto"/>
        </w:rPr>
        <w:t>Section 2.08(b)</w:t>
      </w:r>
      <w:r>
        <w:rPr>
          <w:rFonts w:ascii="Arial" w:cs="Arial" w:eastAsia="Arial" w:hAnsi="Arial"/>
          <w:sz w:val="20"/>
          <w:szCs w:val="20"/>
          <w:color w:val="auto"/>
        </w:rPr>
        <w:t xml:space="preserve"> (including the remaining payment due on the Term Loan Maturity Date).</w:t>
      </w:r>
    </w:p>
    <w:p>
      <w:pPr>
        <w:spacing w:after="0" w:line="177" w:lineRule="exact"/>
        <w:rPr>
          <w:sz w:val="20"/>
          <w:szCs w:val="20"/>
          <w:color w:val="auto"/>
        </w:rPr>
      </w:pPr>
    </w:p>
    <w:p>
      <w:pPr>
        <w:ind w:right="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Principal Amortization Payment Date</w:t>
      </w:r>
      <w:r>
        <w:rPr>
          <w:rFonts w:ascii="Arial" w:cs="Arial" w:eastAsia="Arial" w:hAnsi="Arial"/>
          <w:sz w:val="20"/>
          <w:szCs w:val="20"/>
          <w:color w:val="auto"/>
        </w:rPr>
        <w:t>” means (i) the last Business Day of each calendar quarter, commencing with December 31, 2015 and (ii) the Term Loan Maturity Date.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rata Share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8.03(b)</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Process Agent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10.13(d)</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10.02(e)</w:t>
      </w:r>
      <w:r>
        <w:rPr>
          <w:rFonts w:ascii="Arial" w:cs="Arial" w:eastAsia="Arial" w:hAnsi="Arial"/>
          <w:sz w:val="20"/>
          <w:szCs w:val="20"/>
          <w:color w:val="auto"/>
        </w:rPr>
        <w:t>.</w:t>
      </w:r>
    </w:p>
    <w:p>
      <w:pPr>
        <w:spacing w:after="0" w:line="216" w:lineRule="exact"/>
        <w:rPr>
          <w:sz w:val="20"/>
          <w:szCs w:val="20"/>
          <w:color w:val="auto"/>
        </w:rPr>
      </w:pPr>
    </w:p>
    <w:p>
      <w:pPr>
        <w:ind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Capital Stock</w:t>
      </w:r>
      <w:r>
        <w:rPr>
          <w:rFonts w:ascii="Arial" w:cs="Arial" w:eastAsia="Arial" w:hAnsi="Arial"/>
          <w:sz w:val="19"/>
          <w:szCs w:val="19"/>
          <w:color w:val="auto"/>
        </w:rPr>
        <w:t xml:space="preserve">” means Equity Interests of Parent that do not include a cash dividend (other than dividends that are solely payable as and when declared by the Board of Directors of Parent) and are not mandatorily redeemable by Parent or any of its Restricted Subsidiaries or redeemable at the option of the holder of such Equity Interests, in each case prior to the 91st day following the Term Loan Maturity Date (other than redemptions solely for Qualified Capital Stock in such Person and cash in lieu of fractional shares of such Equity Interests and redemptions upon the occurrence of an “asset sale” or a “change in control” (or similar event, however denominated) so long as any such redemption requirement becomes operative only after repayment in full (or waiver thereof) of all the Senior Credit Obligations (other than contingent indemnification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 Equity Interest in any Person that is issued to any employee or to any plan for the benefit of employees or by any such plan to such employees shall constitute Qualified Capital Stock notwithstanding any obligation of Parent or any Subsidiary to repurchase such Equity Interest in order to satisfy applicable statutory or regulatory obligations or as a result of such employee’s termination, death or disability).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Qualifying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2.19(d)(iii)</w:t>
      </w:r>
      <w:r>
        <w:rPr>
          <w:rFonts w:ascii="Arial" w:cs="Arial" w:eastAsia="Arial" w:hAnsi="Arial"/>
          <w:sz w:val="20"/>
          <w:szCs w:val="20"/>
          <w:color w:val="auto"/>
        </w:rPr>
        <w:t>.</w:t>
      </w:r>
    </w:p>
    <w:p>
      <w:pPr>
        <w:spacing w:after="0" w:line="216" w:lineRule="exact"/>
        <w:rPr>
          <w:sz w:val="20"/>
          <w:szCs w:val="20"/>
          <w:color w:val="auto"/>
        </w:rPr>
      </w:pPr>
    </w:p>
    <w:p>
      <w:pPr>
        <w:ind w:right="11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w:t>
      </w:r>
      <w:r>
        <w:rPr>
          <w:rFonts w:ascii="Arial" w:cs="Arial" w:eastAsia="Arial" w:hAnsi="Arial"/>
          <w:sz w:val="20"/>
          <w:szCs w:val="20"/>
          <w:color w:val="auto"/>
        </w:rPr>
        <w:t>” has the meaning set forth in the definition of Permitted Refinancing Indebtedness. “</w:t>
      </w:r>
      <w:r>
        <w:rPr>
          <w:rFonts w:ascii="Arial" w:cs="Arial" w:eastAsia="Arial" w:hAnsi="Arial"/>
          <w:sz w:val="20"/>
          <w:szCs w:val="20"/>
          <w:u w:val="single" w:color="auto"/>
          <w:color w:val="auto"/>
        </w:rPr>
        <w:t>Refinanced</w:t>
      </w:r>
      <w:r>
        <w:rPr>
          <w:rFonts w:ascii="Arial" w:cs="Arial" w:eastAsia="Arial" w:hAnsi="Arial"/>
          <w:sz w:val="20"/>
          <w:szCs w:val="20"/>
          <w:color w:val="auto"/>
        </w:rPr>
        <w:t>” and “</w:t>
      </w:r>
      <w:r>
        <w:rPr>
          <w:rFonts w:ascii="Arial" w:cs="Arial" w:eastAsia="Arial" w:hAnsi="Arial"/>
          <w:sz w:val="20"/>
          <w:szCs w:val="20"/>
          <w:u w:val="single" w:color="auto"/>
          <w:color w:val="auto"/>
        </w:rPr>
        <w:t>Refinancing</w:t>
      </w:r>
      <w:r>
        <w:rPr>
          <w:rFonts w:ascii="Arial" w:cs="Arial" w:eastAsia="Arial" w:hAnsi="Arial"/>
          <w:sz w:val="20"/>
          <w:szCs w:val="20"/>
          <w:color w:val="auto"/>
        </w:rPr>
        <w:t>” shall have the corresponding meanings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Refinanced Debt</w:t>
      </w:r>
      <w:r>
        <w:rPr>
          <w:rFonts w:ascii="Arial" w:cs="Arial" w:eastAsia="Arial" w:hAnsi="Arial"/>
          <w:sz w:val="20"/>
          <w:szCs w:val="20"/>
          <w:color w:val="auto"/>
        </w:rPr>
        <w:t>” has the meaning set forth in the definition of “Credit Agreement Refinancing Indebtedness.”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43" w:name="page244"/>
    <w:bookmarkEnd w:id="243"/>
    <w:p>
      <w:pPr>
        <w:ind w:right="16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Amendment</w:t>
      </w:r>
      <w:r>
        <w:rPr>
          <w:rFonts w:ascii="Arial" w:cs="Arial" w:eastAsia="Arial" w:hAnsi="Arial"/>
          <w:sz w:val="20"/>
          <w:szCs w:val="20"/>
          <w:color w:val="auto"/>
        </w:rPr>
        <w:t xml:space="preserve">” means an amendment to this Agreement in form and substance reasonably satisfactory to the Administrative Agent, the Lead Borrower and Parent executed by each of (a) each applicable Borrower, (b) Parent, (c) the Administrative Agent and (d) each Eligible Assignee and Lender that agrees to provide any portion of the Credit Agreement Refinancing Indebtedness being incurred pursuant thereto, in accordance with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Refunded Swing Line Loans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2.01(c)(iii)</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10.06(c)</w:t>
      </w:r>
      <w:r>
        <w:rPr>
          <w:rFonts w:ascii="Arial" w:cs="Arial" w:eastAsia="Arial" w:hAnsi="Arial"/>
          <w:sz w:val="20"/>
          <w:szCs w:val="20"/>
          <w:color w:val="auto"/>
        </w:rPr>
        <w:t>.</w:t>
      </w:r>
    </w:p>
    <w:p>
      <w:pPr>
        <w:spacing w:after="0" w:line="216" w:lineRule="exact"/>
        <w:rPr>
          <w:sz w:val="20"/>
          <w:szCs w:val="20"/>
          <w:color w:val="auto"/>
        </w:rPr>
      </w:pPr>
    </w:p>
    <w:p>
      <w:pPr>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T, U or X</w:t>
      </w:r>
      <w:r>
        <w:rPr>
          <w:rFonts w:ascii="Arial" w:cs="Arial" w:eastAsia="Arial" w:hAnsi="Arial"/>
          <w:sz w:val="20"/>
          <w:szCs w:val="20"/>
          <w:color w:val="auto"/>
        </w:rPr>
        <w:t>” means Regulation T, U or X, respectively, of the Board of Governors of the Federal Reserve System as amended, or any successor regulation.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Obligations</w:t>
      </w:r>
      <w:r>
        <w:rPr>
          <w:rFonts w:ascii="Arial" w:cs="Arial" w:eastAsia="Arial" w:hAnsi="Arial"/>
          <w:sz w:val="18"/>
          <w:szCs w:val="18"/>
          <w:color w:val="auto"/>
        </w:rPr>
        <w:t xml:space="preserve">” means each Borrower’s obligation under </w:t>
      </w:r>
      <w:r>
        <w:rPr>
          <w:rFonts w:ascii="Arial" w:cs="Arial" w:eastAsia="Arial" w:hAnsi="Arial"/>
          <w:sz w:val="18"/>
          <w:szCs w:val="18"/>
          <w:u w:val="single" w:color="auto"/>
          <w:color w:val="auto"/>
        </w:rPr>
        <w:t>Section 2.05(e)</w:t>
      </w:r>
      <w:r>
        <w:rPr>
          <w:rFonts w:ascii="Arial" w:cs="Arial" w:eastAsia="Arial" w:hAnsi="Arial"/>
          <w:sz w:val="18"/>
          <w:szCs w:val="18"/>
          <w:color w:val="auto"/>
        </w:rPr>
        <w:t xml:space="preserve"> to reimburse L/C Disbursements.</w:t>
      </w:r>
    </w:p>
    <w:p>
      <w:pPr>
        <w:spacing w:after="0" w:line="239" w:lineRule="exact"/>
        <w:rPr>
          <w:sz w:val="20"/>
          <w:szCs w:val="20"/>
          <w:color w:val="auto"/>
        </w:rPr>
      </w:pPr>
    </w:p>
    <w:p>
      <w:pPr>
        <w:ind w:firstLine="129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 Funds</w:t>
      </w:r>
      <w:r>
        <w:rPr>
          <w:rFonts w:ascii="Arial" w:cs="Arial" w:eastAsia="Arial" w:hAnsi="Arial"/>
          <w:sz w:val="18"/>
          <w:szCs w:val="18"/>
          <w:color w:val="auto"/>
        </w:rPr>
        <w:t xml:space="preserve">” means, with respect to any Net Cash Proceeds of Insurance Proceeds, any Condemnation Award or any Asset Disposition in respect of the single event or series of related events giving rise thereto, that portion of such funds as, according to a certificate of a Responsible Officer of the Lead Borrower delivered to the Administrative Agent within five Business Days after the occurrence of the Casualty, Condemnation or Asset Disposition giving rise thereto (or such later date as the Administrative Agent may agree in its reasonable discretion), are expected to be reinvested (or to which the Parent or any Restricted Subsidiary expects to enter into a binding commitment for any such reinvestment) within twelve months after the occurrence of the Casualty, Condemnation or Asset Disposition giving rise thereto (or if some or all of such Net Cash Proceeds are scheduled to be received at a later date than the date of such occurrence, within 12 months following the receipt of such Net Cash Proceeds) in long-term assets useful in the business of Parent and its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Net Cash Proceeds are not actually so reinvested within 18 months of such Casualty, Condemnation or Asset Disposition (or twelve months of such Casualty, Condemnation or Asset Disposition if not so committed on or prior to the last day of such twelve-month period), such unreinvested portion shall no longer constitute Reinvestment Funds and shall be applied on the last day of such period as a mandatory prepayment as provided in </w:t>
      </w:r>
      <w:r>
        <w:rPr>
          <w:rFonts w:ascii="Arial" w:cs="Arial" w:eastAsia="Arial" w:hAnsi="Arial"/>
          <w:sz w:val="18"/>
          <w:szCs w:val="18"/>
          <w:u w:val="single" w:color="auto"/>
          <w:color w:val="auto"/>
        </w:rPr>
        <w:t>Section 2.09(c)(iii)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certificate may only be delivered (and any related Net Cash Proceeds may only be deemed Reinvestment Funds) if (x) no Event of Default shall have occurred and be continuing on the date of such certificate or (y) if Parent or one or more of its Restricted Subsidiaries shall have then entered into one or more continuing agreements with a Person not an Affiliate of any of them for the reinvestment in long-term assets useful in the business of Parent and its Restricted Subsidiaries, none of the Administrative Agent or the Collateral Agent shall have commenced any action or proceeding to exercise or seek to exercise any right or remedy with respect to any Collateral (including any action of foreclosure, enforcement, collection or execution or by and proceeding under any Insolvency or Liquidation Proceeding).</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Rejected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2.09(f)</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Rejection Deadline</w:t>
      </w:r>
      <w:r>
        <w:rPr>
          <w:rFonts w:ascii="Arial" w:cs="Arial" w:eastAsia="Arial" w:hAnsi="Arial"/>
          <w:sz w:val="20"/>
          <w:szCs w:val="20"/>
          <w:color w:val="auto"/>
        </w:rPr>
        <w:t xml:space="preserve">” has the meaning set forth in the </w:t>
      </w:r>
      <w:r>
        <w:rPr>
          <w:rFonts w:ascii="Arial" w:cs="Arial" w:eastAsia="Arial" w:hAnsi="Arial"/>
          <w:sz w:val="20"/>
          <w:szCs w:val="20"/>
          <w:u w:val="single" w:color="auto"/>
          <w:color w:val="auto"/>
        </w:rPr>
        <w:t>Section 2.09(f)</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Rejection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2.09(f)</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Obligations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9.12</w:t>
      </w:r>
      <w:r>
        <w:rPr>
          <w:rFonts w:ascii="Arial" w:cs="Arial" w:eastAsia="Arial" w:hAnsi="Arial"/>
          <w:sz w:val="20"/>
          <w:szCs w:val="20"/>
          <w:color w:val="auto"/>
        </w:rPr>
        <w:t>.</w:t>
      </w:r>
    </w:p>
    <w:p>
      <w:pPr>
        <w:spacing w:after="0" w:line="216" w:lineRule="exact"/>
        <w:rPr>
          <w:sz w:val="20"/>
          <w:szCs w:val="20"/>
          <w:color w:val="auto"/>
        </w:rPr>
      </w:pPr>
    </w:p>
    <w:p>
      <w:pPr>
        <w:ind w:right="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xml:space="preserve">” means, with respect to any Person, such Person’s Affiliates and the directors, officers, employees and agents of such Person and of such Person’s Affiliates;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66" w:right="299" w:bottom="1440" w:gutter="0" w:footer="0" w:header="0"/>
        </w:sectPr>
      </w:pPr>
    </w:p>
    <w:bookmarkStart w:id="244" w:name="page245"/>
    <w:bookmarkEnd w:id="244"/>
    <w:p>
      <w:pPr>
        <w:ind w:right="80"/>
        <w:spacing w:after="0" w:line="243" w:lineRule="auto"/>
        <w:rPr>
          <w:sz w:val="20"/>
          <w:szCs w:val="20"/>
          <w:color w:val="auto"/>
        </w:rPr>
      </w:pPr>
      <w:r>
        <w:rPr>
          <w:rFonts w:ascii="Arial" w:cs="Arial" w:eastAsia="Arial" w:hAnsi="Arial"/>
          <w:sz w:val="20"/>
          <w:szCs w:val="20"/>
          <w:color w:val="auto"/>
        </w:rPr>
        <w:t xml:space="preserve">agents of such Person and of such Person’s Affiliates shall only be included in this definition of “Related Parties” to the extent they act on behalf of, or at the express instructions of, such Person or such Person’s Affiliates;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each reference to a Person, such Person’s Affiliate, director, officer or employee in this definition pertains to a Person, such Person’s Affiliate, director, officer or employee involved in the preparation, execution, delivery, administration, modification, amendment or enforcement (whether through negotiations, legal proceedings or otherwise) of, or legal advice in respect of rights and responsibilities under, this Agreement, any other Loan Document, or any document contemplated by or referred to herein.</w:t>
      </w:r>
    </w:p>
    <w:p>
      <w:pPr>
        <w:spacing w:after="0" w:line="196" w:lineRule="exact"/>
        <w:rPr>
          <w:sz w:val="20"/>
          <w:szCs w:val="20"/>
          <w:color w:val="auto"/>
        </w:rPr>
      </w:pPr>
    </w:p>
    <w:p>
      <w:pPr>
        <w:ind w:right="16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means any spill, emission, leaking, dumping, injection, pouring, deposit, disposal, discharge, dispersal, leaching or migration into or through the Environment or within, upon, or from or into any building, structure, facility or fixture.</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Acquisition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7.10(a)</w:t>
      </w:r>
      <w:r>
        <w:rPr>
          <w:rFonts w:ascii="Arial" w:cs="Arial" w:eastAsia="Arial" w:hAnsi="Arial"/>
          <w:sz w:val="20"/>
          <w:szCs w:val="20"/>
          <w:color w:val="auto"/>
        </w:rPr>
        <w:t>.</w:t>
      </w:r>
    </w:p>
    <w:p>
      <w:pPr>
        <w:spacing w:after="0" w:line="216" w:lineRule="exact"/>
        <w:rPr>
          <w:sz w:val="20"/>
          <w:szCs w:val="20"/>
          <w:color w:val="auto"/>
        </w:rPr>
      </w:pPr>
    </w:p>
    <w:p>
      <w:pPr>
        <w:ind w:right="8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Territory</w:t>
      </w:r>
      <w:r>
        <w:rPr>
          <w:rFonts w:ascii="Arial" w:cs="Arial" w:eastAsia="Arial" w:hAnsi="Arial"/>
          <w:sz w:val="20"/>
          <w:szCs w:val="20"/>
          <w:color w:val="auto"/>
        </w:rPr>
        <w:t>” means (i) a member state of the European Communities (other than Ireland); or (ii) to the extent not a member state of the European Communities, a jurisdiction with which Ireland has entered into a double taxation treaty that either has the force of law by virtue of section 826(1) of the TCA or which will have the force of law on completion of the procedures set out in section 826(1) of the TCA.</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w:t>
      </w:r>
      <w:r>
        <w:rPr>
          <w:rFonts w:ascii="Arial" w:cs="Arial" w:eastAsia="Arial" w:hAnsi="Arial"/>
          <w:sz w:val="20"/>
          <w:szCs w:val="20"/>
          <w:color w:val="auto"/>
        </w:rPr>
        <w:t>.</w:t>
      </w:r>
    </w:p>
    <w:p>
      <w:pPr>
        <w:spacing w:after="0" w:line="216" w:lineRule="exact"/>
        <w:rPr>
          <w:sz w:val="20"/>
          <w:szCs w:val="20"/>
          <w:color w:val="auto"/>
        </w:rPr>
      </w:pPr>
    </w:p>
    <w:p>
      <w:pPr>
        <w:ind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means, at any date of determination, Lenders whose aggregate Credit Exposure constitutes more than 50% of the Credit Exposure of all Lenders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 if any Lender shall be a Defaulting Lender at such time then there shall be excluded from the determination of Required Lenders such Lender and its Credit Exposure at such time and (ii) the amount of any participation in any Swing Line Loan and Unreimbursed Amounts that a Defaulting Lender has failed to fund that have not been reallocated to and funded by another Lender shall be deemed to be held by the Lender that is the Swing Line Lender or L/C Issuer, as the case may be, in making such determination.</w:t>
      </w:r>
    </w:p>
    <w:p>
      <w:pPr>
        <w:spacing w:after="0" w:line="197" w:lineRule="exact"/>
        <w:rPr>
          <w:sz w:val="20"/>
          <w:szCs w:val="20"/>
          <w:color w:val="auto"/>
        </w:rPr>
      </w:pPr>
    </w:p>
    <w:p>
      <w:pPr>
        <w:ind w:firstLine="1297"/>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xml:space="preserve">” means Lenders whose aggregate Revolving Credit Exposure constitutes more than 50% of the Revolving Credit Exposure of all Lenders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if any Lender shall be a Defaulting Lender at such time then there shall be excluded from the determination of Required Revolving Lenders such Lender and the aggregate principal amount of Revolving Credit Exposure of such Lender at such time and (ii) the amount of any participation in any Swing Line Loan and Unreimbursed Amounts that a Defaulting Lender has failed to fund that have not been reallocated to and funded by another Lender shall be deemed to be held by the Lender that is the Swing Line Lender or L/C Issuer, as the case may be, in making such determination.</w:t>
      </w:r>
    </w:p>
    <w:p>
      <w:pPr>
        <w:spacing w:after="0" w:line="165" w:lineRule="exact"/>
        <w:rPr>
          <w:sz w:val="20"/>
          <w:szCs w:val="20"/>
          <w:color w:val="auto"/>
        </w:rPr>
      </w:pPr>
    </w:p>
    <w:p>
      <w:pPr>
        <w:ind w:right="10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Term Lenders</w:t>
      </w:r>
      <w:r>
        <w:rPr>
          <w:rFonts w:ascii="Arial" w:cs="Arial" w:eastAsia="Arial" w:hAnsi="Arial"/>
          <w:sz w:val="20"/>
          <w:szCs w:val="20"/>
          <w:color w:val="auto"/>
        </w:rPr>
        <w:t xml:space="preserve">” means, at any date of determination, Lenders whose aggregate Term Credit Exposure constitutes more than 50% of the Term Credit Exposure of all Lenders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any Lender shall be a Defaulting Lender at such time then there shall be excluded from the determination of Required Term Lenders such Lender and its Term Credit Exposure at such time.</w:t>
      </w:r>
    </w:p>
    <w:p>
      <w:pPr>
        <w:spacing w:after="0" w:line="192" w:lineRule="exact"/>
        <w:rPr>
          <w:sz w:val="20"/>
          <w:szCs w:val="20"/>
          <w:color w:val="auto"/>
        </w:rPr>
      </w:pPr>
    </w:p>
    <w:p>
      <w:pPr>
        <w:ind w:right="40"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senior vice president, vice president, chief financial officer, treasurer or controller of a Loan Party or, in the case of a Foreign Guarantor, any duly appointed authorized signatory or any director or managing member of such Person that has been designated in writing by Parent as being so authorized, and solely for purposes of notices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6" w:right="279" w:bottom="1440" w:gutter="0" w:footer="0" w:header="0"/>
        </w:sectPr>
      </w:pPr>
    </w:p>
    <w:bookmarkStart w:id="245" w:name="page246"/>
    <w:bookmarkEnd w:id="245"/>
    <w:p>
      <w:pPr>
        <w:spacing w:after="0" w:line="278" w:lineRule="auto"/>
        <w:rPr>
          <w:sz w:val="20"/>
          <w:szCs w:val="20"/>
          <w:color w:val="auto"/>
        </w:rPr>
      </w:pPr>
      <w:r>
        <w:rPr>
          <w:rFonts w:ascii="Arial" w:cs="Arial" w:eastAsia="Arial" w:hAnsi="Arial"/>
          <w:sz w:val="18"/>
          <w:szCs w:val="18"/>
          <w:color w:val="auto"/>
        </w:rPr>
        <w:t xml:space="preserve">given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any other officer or employees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65" w:lineRule="exact"/>
        <w:rPr>
          <w:sz w:val="20"/>
          <w:szCs w:val="20"/>
          <w:color w:val="auto"/>
        </w:rPr>
      </w:pPr>
    </w:p>
    <w:p>
      <w:pPr>
        <w:ind w:right="4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Margin Stock</w:t>
      </w:r>
      <w:r>
        <w:rPr>
          <w:rFonts w:ascii="Arial" w:cs="Arial" w:eastAsia="Arial" w:hAnsi="Arial"/>
          <w:sz w:val="20"/>
          <w:szCs w:val="20"/>
          <w:color w:val="auto"/>
        </w:rPr>
        <w:t>” shall mean Margin Stock owned by the Parent or any Restricted Subsidiary of Parent the value of which (determined in accordance with clause (2)(i) of the definition of “indirectly secured” set forth in Regulation U) represents not more than 25% of the value of the assets of the Parent and its Restricted Subsidiaries (determined in accordance with clause (2)(i) of the definition of “indirectly secured” set forth in Regulation U).</w:t>
      </w:r>
    </w:p>
    <w:p>
      <w:pPr>
        <w:spacing w:after="0" w:line="192" w:lineRule="exact"/>
        <w:rPr>
          <w:sz w:val="20"/>
          <w:szCs w:val="20"/>
          <w:color w:val="auto"/>
        </w:rPr>
      </w:pPr>
    </w:p>
    <w:p>
      <w:pPr>
        <w:ind w:right="40" w:firstLine="129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(i) any dividend or other distribution (whether in cash, securities or other property), direct or indirect, on account of any class of Equity Interests or Equity Equivalents of Parent or any Restricted Subsidiary, now or hereafter outstanding, and (ii) any payment (whether in cash, securities or other property), including any sinking fund or similar deposit, on account of the purchase, redemption, retirement, acquisition, cancellation, termination or similar payment, purchase or other acquisition for value, direct or indirect, of any class of Equity Interests or Equity Equivalents of Parent or any Restricted Subsidiary, now or hereafter outstanding (other than purchases</w:t>
      </w:r>
    </w:p>
    <w:p>
      <w:pPr>
        <w:spacing w:after="0" w:line="4" w:lineRule="exact"/>
        <w:rPr>
          <w:sz w:val="20"/>
          <w:szCs w:val="20"/>
          <w:color w:val="auto"/>
        </w:rPr>
      </w:pPr>
    </w:p>
    <w:p>
      <w:pPr>
        <w:ind w:right="60" w:firstLine="8"/>
        <w:spacing w:after="0" w:line="276" w:lineRule="auto"/>
        <w:tabs>
          <w:tab w:leader="none" w:pos="23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by Parent of Equity Interests or Equity Equivalents of any Restricted Subsidiary from such Restricted Subsidiary or another Restricted Subsidiary, (ii) by any Restricted Subsidiary of Equity Interests or Equity Equivalents of any other Restricted Subsidiary from such Restricted Subsidiary, Parent or another Restricted Subsidiary, in each case to the extent such purchase constitutes an Investment permitted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7.04</w:t>
      </w:r>
      <w:r>
        <w:rPr>
          <w:rFonts w:ascii="Arial" w:cs="Arial" w:eastAsia="Arial" w:hAnsi="Arial"/>
          <w:sz w:val="18"/>
          <w:szCs w:val="18"/>
          <w:color w:val="auto"/>
        </w:rPr>
        <w:t xml:space="preserve"> or (iii) by any Restricted Subsidiary of its Equity Interests or Equity Equivalents from Parent or other Restricted Subsidiary).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Parent (including each Borrower) that is not an Unrestricted Subsidiary.</w:t>
      </w:r>
    </w:p>
    <w:p>
      <w:pPr>
        <w:spacing w:after="0" w:line="239" w:lineRule="exact"/>
        <w:rPr>
          <w:sz w:val="20"/>
          <w:szCs w:val="20"/>
          <w:color w:val="auto"/>
        </w:rPr>
      </w:pPr>
    </w:p>
    <w:p>
      <w:pPr>
        <w:ind w:right="300"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Availability Period</w:t>
      </w:r>
      <w:r>
        <w:rPr>
          <w:rFonts w:ascii="Arial" w:cs="Arial" w:eastAsia="Arial" w:hAnsi="Arial"/>
          <w:sz w:val="18"/>
          <w:szCs w:val="18"/>
          <w:color w:val="auto"/>
        </w:rPr>
        <w:t xml:space="preserve">” means the period from and including the Closing Date to the earliest of (i) the Revolving Termination Date, (ii) the date of the termination of the Commitments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and (iii) the date of termination of the commitment of each Lender to make Loans and of the obligation of the L/C Issuer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52" w:lineRule="exact"/>
        <w:rPr>
          <w:sz w:val="20"/>
          <w:szCs w:val="20"/>
          <w:color w:val="auto"/>
        </w:rPr>
      </w:pPr>
    </w:p>
    <w:p>
      <w:pPr>
        <w:ind w:right="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Borrowing</w:t>
      </w:r>
      <w:r>
        <w:rPr>
          <w:rFonts w:ascii="Arial" w:cs="Arial" w:eastAsia="Arial" w:hAnsi="Arial"/>
          <w:sz w:val="20"/>
          <w:szCs w:val="20"/>
          <w:color w:val="auto"/>
        </w:rPr>
        <w:t>” means a Borrowing comprised of Revolving Loans and identified as such in the Notice of Borrowing with respect thereto.</w:t>
      </w:r>
    </w:p>
    <w:p>
      <w:pPr>
        <w:spacing w:after="0" w:line="177" w:lineRule="exact"/>
        <w:rPr>
          <w:sz w:val="20"/>
          <w:szCs w:val="20"/>
          <w:color w:val="auto"/>
        </w:rPr>
      </w:pPr>
    </w:p>
    <w:p>
      <w:pPr>
        <w:ind w:right="160"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w:t>
      </w:r>
      <w:r>
        <w:rPr>
          <w:rFonts w:ascii="Arial" w:cs="Arial" w:eastAsia="Arial" w:hAnsi="Arial"/>
          <w:sz w:val="20"/>
          <w:szCs w:val="20"/>
          <w:color w:val="auto"/>
        </w:rPr>
        <w:t xml:space="preserve">” means, with respect to any Lender, the commitment of such Lender, in an aggregate principal amount at any time outstanding of up to such Lender’s Revolving Commitment Percentage of the Revolving Committed Amount, (i) to make Revolving Loans in accordance with the provisions of </w:t>
      </w:r>
      <w:r>
        <w:rPr>
          <w:rFonts w:ascii="Arial" w:cs="Arial" w:eastAsia="Arial" w:hAnsi="Arial"/>
          <w:sz w:val="20"/>
          <w:szCs w:val="20"/>
          <w:u w:val="single" w:color="auto"/>
          <w:color w:val="auto"/>
        </w:rPr>
        <w:t>Section 2.01(a)</w:t>
      </w:r>
      <w:r>
        <w:rPr>
          <w:rFonts w:ascii="Arial" w:cs="Arial" w:eastAsia="Arial" w:hAnsi="Arial"/>
          <w:sz w:val="20"/>
          <w:szCs w:val="20"/>
          <w:color w:val="auto"/>
        </w:rPr>
        <w:t xml:space="preserve">, (ii) to purchase Participation Interests in Swing Line Loans in accordance with the provisions of </w:t>
      </w:r>
      <w:r>
        <w:rPr>
          <w:rFonts w:ascii="Arial" w:cs="Arial" w:eastAsia="Arial" w:hAnsi="Arial"/>
          <w:sz w:val="20"/>
          <w:szCs w:val="20"/>
          <w:u w:val="single" w:color="auto"/>
          <w:color w:val="auto"/>
        </w:rPr>
        <w:t>Section 2.01(c)(iv)</w:t>
      </w:r>
      <w:r>
        <w:rPr>
          <w:rFonts w:ascii="Arial" w:cs="Arial" w:eastAsia="Arial" w:hAnsi="Arial"/>
          <w:sz w:val="20"/>
          <w:szCs w:val="20"/>
          <w:color w:val="auto"/>
        </w:rPr>
        <w:t xml:space="preserve"> and (iii) to purchase Participation Interests in Letters of Credit in accordance with the provisions of </w:t>
      </w:r>
      <w:r>
        <w:rPr>
          <w:rFonts w:ascii="Arial" w:cs="Arial" w:eastAsia="Arial" w:hAnsi="Arial"/>
          <w:sz w:val="20"/>
          <w:szCs w:val="20"/>
          <w:u w:val="single" w:color="auto"/>
          <w:color w:val="auto"/>
        </w:rPr>
        <w:t>Section 2.05(d)</w:t>
      </w:r>
      <w:r>
        <w:rPr>
          <w:rFonts w:ascii="Arial" w:cs="Arial" w:eastAsia="Arial" w:hAnsi="Arial"/>
          <w:sz w:val="20"/>
          <w:szCs w:val="20"/>
          <w:color w:val="auto"/>
        </w:rPr>
        <w:t>.</w:t>
      </w:r>
    </w:p>
    <w:p>
      <w:pPr>
        <w:spacing w:after="0" w:line="195" w:lineRule="exact"/>
        <w:rPr>
          <w:sz w:val="20"/>
          <w:szCs w:val="20"/>
          <w:color w:val="auto"/>
        </w:rPr>
      </w:pPr>
    </w:p>
    <w:p>
      <w:pPr>
        <w:ind w:right="160"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Commitment Percentage</w:t>
      </w:r>
      <w:r>
        <w:rPr>
          <w:rFonts w:ascii="Arial" w:cs="Arial" w:eastAsia="Arial" w:hAnsi="Arial"/>
          <w:sz w:val="19"/>
          <w:szCs w:val="19"/>
          <w:color w:val="auto"/>
        </w:rPr>
        <w:t xml:space="preserve">” means, for each Lender, the percentage of the aggregate Revolving Commitments represented by such Lender’s Revolving Commitment at such time and identified as its Revolving Commitment Percentage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hereto, as such percentage may be (i) increased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reduced pursuant to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and (ii) modified in connection with any assignment made in accordance with the provisions of </w:t>
      </w:r>
      <w:r>
        <w:rPr>
          <w:rFonts w:ascii="Arial" w:cs="Arial" w:eastAsia="Arial" w:hAnsi="Arial"/>
          <w:sz w:val="19"/>
          <w:szCs w:val="19"/>
          <w:u w:val="single" w:color="auto"/>
          <w:color w:val="auto"/>
        </w:rPr>
        <w:t>Section 10.06(b)</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66" w:right="299" w:bottom="1440" w:gutter="0" w:footer="0" w:header="0"/>
        </w:sectPr>
      </w:pPr>
    </w:p>
    <w:bookmarkStart w:id="246" w:name="page247"/>
    <w:bookmarkEnd w:id="246"/>
    <w:p>
      <w:pPr>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Committed Amount</w:t>
      </w:r>
      <w:r>
        <w:rPr>
          <w:rFonts w:ascii="Arial" w:cs="Arial" w:eastAsia="Arial" w:hAnsi="Arial"/>
          <w:sz w:val="20"/>
          <w:szCs w:val="20"/>
          <w:color w:val="auto"/>
        </w:rPr>
        <w:t>” means $</w:t>
      </w:r>
      <w:r>
        <w:rPr>
          <w:rFonts w:ascii="Arial" w:cs="Arial" w:eastAsia="Arial" w:hAnsi="Arial"/>
          <w:sz w:val="20"/>
          <w:szCs w:val="20"/>
          <w:color w:val="FF0000"/>
          <w:strike w:val="1"/>
        </w:rPr>
        <w:t>750,000,000</w:t>
      </w:r>
      <w:r>
        <w:rPr>
          <w:rFonts w:ascii="Arial" w:cs="Arial" w:eastAsia="Arial" w:hAnsi="Arial"/>
          <w:sz w:val="20"/>
          <w:szCs w:val="20"/>
          <w:u w:val="single" w:color="auto"/>
          <w:color w:val="0000FF"/>
        </w:rPr>
        <w:t>1,250,000,000</w:t>
      </w:r>
      <w:r>
        <w:rPr>
          <w:rFonts w:ascii="Arial" w:cs="Arial" w:eastAsia="Arial" w:hAnsi="Arial"/>
          <w:sz w:val="20"/>
          <w:szCs w:val="20"/>
          <w:color w:val="auto"/>
        </w:rPr>
        <w:t xml:space="preserve"> or such lesser amount to which the Revolving Committed Amount may be reduced pursuant to </w:t>
      </w:r>
      <w:r>
        <w:rPr>
          <w:rFonts w:ascii="Arial" w:cs="Arial" w:eastAsia="Arial" w:hAnsi="Arial"/>
          <w:sz w:val="20"/>
          <w:szCs w:val="20"/>
          <w:u w:val="single" w:color="auto"/>
          <w:color w:val="auto"/>
        </w:rPr>
        <w:t>Section 2.10</w:t>
      </w:r>
      <w:r>
        <w:rPr>
          <w:rFonts w:ascii="Arial" w:cs="Arial" w:eastAsia="Arial" w:hAnsi="Arial"/>
          <w:sz w:val="20"/>
          <w:szCs w:val="20"/>
          <w:color w:val="auto"/>
        </w:rPr>
        <w: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as applied to each Lender and with respect to each Class of its Commitments and/or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Loans:</w:t>
      </w:r>
    </w:p>
    <w:p>
      <w:pPr>
        <w:spacing w:after="0" w:line="213" w:lineRule="exact"/>
        <w:rPr>
          <w:sz w:val="20"/>
          <w:szCs w:val="20"/>
          <w:color w:val="auto"/>
        </w:rPr>
      </w:pPr>
    </w:p>
    <w:p>
      <w:pPr>
        <w:ind w:left="660" w:firstLine="645"/>
        <w:spacing w:after="0" w:line="273" w:lineRule="auto"/>
        <w:tabs>
          <w:tab w:leader="none" w:pos="2143" w:val="left"/>
        </w:tabs>
        <w:numPr>
          <w:ilvl w:val="0"/>
          <w:numId w:val="160"/>
        </w:numPr>
        <w:rPr>
          <w:rFonts w:ascii="Arial" w:cs="Arial" w:eastAsia="Arial" w:hAnsi="Arial"/>
          <w:sz w:val="20"/>
          <w:szCs w:val="20"/>
          <w:color w:val="auto"/>
        </w:rPr>
      </w:pPr>
      <w:r>
        <w:rPr>
          <w:rFonts w:ascii="Arial" w:cs="Arial" w:eastAsia="Arial" w:hAnsi="Arial"/>
          <w:sz w:val="20"/>
          <w:szCs w:val="20"/>
          <w:color w:val="auto"/>
        </w:rPr>
        <w:t>at any time prior to the termination of the Commitments of the Lenders in respect of such Class, the sum, as applicable, of (A) the Revolving Commitment Percentage of such Lender multiplied by the Revolving Committed Amount plus (B) the Incremental Revolving Commitment Percentage of the relevant Class of such Lender multiplied by the total Incremental Revolving Commitments of such Class plus (C) the Other Revolving Commitment Percentage of the relevant Class of such Lender multiplied by the total Other Revolving Commitments of such Class; and</w:t>
      </w:r>
    </w:p>
    <w:p>
      <w:pPr>
        <w:spacing w:after="0" w:line="150" w:lineRule="exact"/>
        <w:rPr>
          <w:rFonts w:ascii="Arial" w:cs="Arial" w:eastAsia="Arial" w:hAnsi="Arial"/>
          <w:sz w:val="20"/>
          <w:szCs w:val="20"/>
          <w:color w:val="auto"/>
        </w:rPr>
      </w:pPr>
    </w:p>
    <w:p>
      <w:pPr>
        <w:ind w:left="660" w:right="20" w:firstLine="645"/>
        <w:spacing w:after="0" w:line="273" w:lineRule="auto"/>
        <w:tabs>
          <w:tab w:leader="none" w:pos="2198" w:val="left"/>
        </w:tabs>
        <w:numPr>
          <w:ilvl w:val="0"/>
          <w:numId w:val="160"/>
        </w:numPr>
        <w:rPr>
          <w:rFonts w:ascii="Arial" w:cs="Arial" w:eastAsia="Arial" w:hAnsi="Arial"/>
          <w:sz w:val="20"/>
          <w:szCs w:val="20"/>
          <w:color w:val="auto"/>
        </w:rPr>
      </w:pPr>
      <w:r>
        <w:rPr>
          <w:rFonts w:ascii="Arial" w:cs="Arial" w:eastAsia="Arial" w:hAnsi="Arial"/>
          <w:sz w:val="20"/>
          <w:szCs w:val="20"/>
          <w:color w:val="auto"/>
        </w:rPr>
        <w:t>at any time after the termination of the Commitments of the Lenders in respect of such Class, the sum, as applicable, of (A) the principal balance of the outstanding Loans of such Lender of such Class plus (B) in the case of the termination of the Revolving Commitments, any Class of Incremental Revolving Commitments or any Class of Other Revolving Commitments, in each case, such Lender’s Participation Interests in all L/C Obligations and Swing Line Loans issued under the relevant terminated Class.</w:t>
      </w:r>
    </w:p>
    <w:p>
      <w:pPr>
        <w:spacing w:after="0" w:line="137" w:lineRule="exact"/>
        <w:rPr>
          <w:sz w:val="20"/>
          <w:szCs w:val="20"/>
          <w:color w:val="auto"/>
        </w:rPr>
      </w:pPr>
    </w:p>
    <w:p>
      <w:pPr>
        <w:ind w:right="100" w:firstLine="1297"/>
        <w:spacing w:after="0" w:line="3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Lender</w:t>
      </w:r>
      <w:r>
        <w:rPr>
          <w:rFonts w:ascii="Arial" w:cs="Arial" w:eastAsia="Arial" w:hAnsi="Arial"/>
          <w:sz w:val="16"/>
          <w:szCs w:val="16"/>
          <w:color w:val="auto"/>
        </w:rPr>
        <w:t xml:space="preserve">” means each Lender identified in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as having a Revolving Commitment and each Eligible Assignee which acquires a Revolving Commitment or Revolving Loan pursuant to </w:t>
      </w: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and their respective permitted successors.</w:t>
      </w:r>
    </w:p>
    <w:p>
      <w:pPr>
        <w:spacing w:after="0" w:line="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means the revolving loans made by the Revolving Lenders to any Borrower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39" w:lineRule="exact"/>
        <w:rPr>
          <w:sz w:val="20"/>
          <w:szCs w:val="20"/>
          <w:color w:val="auto"/>
        </w:rPr>
      </w:pPr>
    </w:p>
    <w:p>
      <w:pPr>
        <w:ind w:right="16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Note</w:t>
      </w:r>
      <w:r>
        <w:rPr>
          <w:rFonts w:ascii="Arial" w:cs="Arial" w:eastAsia="Arial" w:hAnsi="Arial"/>
          <w:sz w:val="20"/>
          <w:szCs w:val="20"/>
          <w:color w:val="auto"/>
        </w:rPr>
        <w:t xml:space="preserve">” means a promissory note, substantially in the form of </w:t>
      </w:r>
      <w:r>
        <w:rPr>
          <w:rFonts w:ascii="Arial" w:cs="Arial" w:eastAsia="Arial" w:hAnsi="Arial"/>
          <w:sz w:val="20"/>
          <w:szCs w:val="20"/>
          <w:u w:val="single" w:color="auto"/>
          <w:color w:val="auto"/>
        </w:rPr>
        <w:t>Exhibit B-1</w:t>
      </w:r>
      <w:r>
        <w:rPr>
          <w:rFonts w:ascii="Arial" w:cs="Arial" w:eastAsia="Arial" w:hAnsi="Arial"/>
          <w:sz w:val="20"/>
          <w:szCs w:val="20"/>
          <w:color w:val="auto"/>
        </w:rPr>
        <w:t xml:space="preserve"> hereto, evidencing the obligations of the applicable Borrower to repay outstanding Revolving Loans, as such note may be amended, modified, supplemented, extended, renewed or replaced from time to time.</w:t>
      </w:r>
    </w:p>
    <w:p>
      <w:pPr>
        <w:spacing w:after="0" w:line="186" w:lineRule="exact"/>
        <w:rPr>
          <w:sz w:val="20"/>
          <w:szCs w:val="20"/>
          <w:color w:val="auto"/>
        </w:rPr>
      </w:pPr>
    </w:p>
    <w:p>
      <w:pPr>
        <w:ind w:right="2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Outstandings</w:t>
      </w:r>
      <w:r>
        <w:rPr>
          <w:rFonts w:ascii="Arial" w:cs="Arial" w:eastAsia="Arial" w:hAnsi="Arial"/>
          <w:sz w:val="20"/>
          <w:szCs w:val="20"/>
          <w:color w:val="auto"/>
        </w:rPr>
        <w:t>” means at any date the aggregate outstanding principal amount of all Revolving Loans and Swing Line Loans plus the aggregate Outstanding Amount of all L/C Obligations.</w:t>
      </w:r>
    </w:p>
    <w:p>
      <w:pPr>
        <w:spacing w:after="0" w:line="177" w:lineRule="exact"/>
        <w:rPr>
          <w:sz w:val="20"/>
          <w:szCs w:val="20"/>
          <w:color w:val="auto"/>
        </w:rPr>
      </w:pPr>
    </w:p>
    <w:p>
      <w:pPr>
        <w:ind w:right="2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Termination Date</w:t>
      </w:r>
      <w:r>
        <w:rPr>
          <w:rFonts w:ascii="Arial" w:cs="Arial" w:eastAsia="Arial" w:hAnsi="Arial"/>
          <w:sz w:val="20"/>
          <w:szCs w:val="20"/>
          <w:color w:val="auto"/>
        </w:rPr>
        <w:t xml:space="preserve">” means the date which is the fifth anniversary of the </w:t>
      </w:r>
      <w:r>
        <w:rPr>
          <w:rFonts w:ascii="Arial" w:cs="Arial" w:eastAsia="Arial" w:hAnsi="Arial"/>
          <w:sz w:val="20"/>
          <w:szCs w:val="20"/>
          <w:color w:val="FF0000"/>
          <w:strike w:val="1"/>
        </w:rPr>
        <w:t>Closing</w:t>
      </w:r>
      <w:r>
        <w:rPr>
          <w:rFonts w:ascii="Arial" w:cs="Arial" w:eastAsia="Arial" w:hAnsi="Arial"/>
          <w:sz w:val="20"/>
          <w:szCs w:val="20"/>
          <w:u w:val="single" w:color="auto"/>
          <w:color w:val="0000FF"/>
        </w:rPr>
        <w:t>Amendment No. 1 Effective</w:t>
      </w:r>
      <w:r>
        <w:rPr>
          <w:rFonts w:ascii="Arial" w:cs="Arial" w:eastAsia="Arial" w:hAnsi="Arial"/>
          <w:sz w:val="20"/>
          <w:szCs w:val="20"/>
          <w:color w:val="auto"/>
        </w:rPr>
        <w:t xml:space="preserve"> Date (or, if such day is not a Business Day, the next preceding Business Day) or such earlier date upon which the Revolving Commitments shall have been terminated in their entirety in accordance with this Agreement.</w:t>
      </w:r>
    </w:p>
    <w:p>
      <w:pPr>
        <w:spacing w:after="0" w:line="186" w:lineRule="exact"/>
        <w:rPr>
          <w:sz w:val="20"/>
          <w:szCs w:val="20"/>
          <w:color w:val="auto"/>
        </w:rPr>
      </w:pPr>
    </w:p>
    <w:p>
      <w:pPr>
        <w:ind w:right="1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Ratings Group, a division of McGraw Hill, Inc., a New York corporation, and its successors or, absent any such successor, such nationally recognized statistical rating organization as the Lead Borrower and the Administrative Agent may select.</w:t>
      </w:r>
    </w:p>
    <w:p>
      <w:pPr>
        <w:spacing w:after="0" w:line="186" w:lineRule="exact"/>
        <w:rPr>
          <w:sz w:val="20"/>
          <w:szCs w:val="20"/>
          <w:color w:val="auto"/>
        </w:rPr>
      </w:pPr>
    </w:p>
    <w:p>
      <w:pPr>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Sale/Leaseback Transaction</w:t>
      </w:r>
      <w:r>
        <w:rPr>
          <w:rFonts w:ascii="Arial" w:cs="Arial" w:eastAsia="Arial" w:hAnsi="Arial"/>
          <w:sz w:val="20"/>
          <w:szCs w:val="20"/>
          <w:color w:val="auto"/>
        </w:rPr>
        <w:t>” means any direct or indirect arrangement with any Person or to which any such Person is a party providing for the leasing to Parent or any of its Restricted Subsidiaries of any property, whether owned by Parent or any of its Restricted Subsidiaries as of the Closing Date or later acquired, which has been or is to be sold or transferred by Parent or any of its Restricted Subsidiaries to such Person or to any other Person from whom funds have been, or are to be, advanced by such Person on the security of such property.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6" w:right="279" w:bottom="1440" w:gutter="0" w:footer="0" w:header="0"/>
        </w:sectPr>
      </w:pPr>
    </w:p>
    <w:bookmarkStart w:id="247" w:name="page248"/>
    <w:bookmarkEnd w:id="247"/>
    <w:p>
      <w:pPr>
        <w:jc w:val="both"/>
        <w:ind w:right="3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xml:space="preserve">” means any </w:t>
      </w:r>
      <w:r>
        <w:rPr>
          <w:rFonts w:ascii="Arial" w:cs="Arial" w:eastAsia="Arial" w:hAnsi="Arial"/>
          <w:sz w:val="20"/>
          <w:szCs w:val="20"/>
          <w:u w:val="single" w:color="auto"/>
          <w:color w:val="0000FF"/>
        </w:rPr>
        <w:t>applicable</w:t>
      </w:r>
      <w:r>
        <w:rPr>
          <w:rFonts w:ascii="Arial" w:cs="Arial" w:eastAsia="Arial" w:hAnsi="Arial"/>
          <w:sz w:val="20"/>
          <w:szCs w:val="20"/>
          <w:color w:val="auto"/>
        </w:rPr>
        <w:t xml:space="preserve"> sanction administered or enforced by the United States Government (including without limitation, OFAC), the United Nations Security Council, the European Union, Her Majesty’s Treasury (“</w:t>
      </w:r>
      <w:r>
        <w:rPr>
          <w:rFonts w:ascii="Arial" w:cs="Arial" w:eastAsia="Arial" w:hAnsi="Arial"/>
          <w:sz w:val="20"/>
          <w:szCs w:val="20"/>
          <w:u w:val="single" w:color="auto"/>
          <w:color w:val="auto"/>
        </w:rPr>
        <w:t>HMT</w:t>
      </w:r>
      <w:r>
        <w:rPr>
          <w:rFonts w:ascii="Arial" w:cs="Arial" w:eastAsia="Arial" w:hAnsi="Arial"/>
          <w:sz w:val="20"/>
          <w:szCs w:val="20"/>
          <w:color w:val="auto"/>
        </w:rPr>
        <w:t>”) or other relevant sanctions authority.</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functions.</w:t>
      </w:r>
    </w:p>
    <w:p>
      <w:pPr>
        <w:spacing w:after="0" w:line="200" w:lineRule="exact"/>
        <w:rPr>
          <w:sz w:val="20"/>
          <w:szCs w:val="20"/>
          <w:color w:val="auto"/>
        </w:rPr>
      </w:pPr>
    </w:p>
    <w:p>
      <w:pPr>
        <w:jc w:val="both"/>
        <w:ind w:right="240"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Intercreditor Agreement</w:t>
      </w:r>
      <w:r>
        <w:rPr>
          <w:rFonts w:ascii="Arial" w:cs="Arial" w:eastAsia="Arial" w:hAnsi="Arial"/>
          <w:sz w:val="18"/>
          <w:szCs w:val="18"/>
          <w:color w:val="auto"/>
        </w:rPr>
        <w:t>” means a Second Lien Intercreditor Agreement among the Administrative Agent, the Collateral Agent and one or more Senior Representatives for holders of Indebtedness secured by Liens on the Collateral that are junior to the Liens on the Collateral securing the Finance Obligations, in form and substance reasonably satisfactory to the Administrative Agent.</w:t>
      </w:r>
    </w:p>
    <w:p>
      <w:pPr>
        <w:spacing w:after="0" w:line="152" w:lineRule="exact"/>
        <w:rPr>
          <w:sz w:val="20"/>
          <w:szCs w:val="20"/>
          <w:color w:val="auto"/>
        </w:rPr>
      </w:pPr>
    </w:p>
    <w:p>
      <w:pPr>
        <w:ind w:right="3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Cash Management Agreement</w:t>
      </w:r>
      <w:r>
        <w:rPr>
          <w:rFonts w:ascii="Arial" w:cs="Arial" w:eastAsia="Arial" w:hAnsi="Arial"/>
          <w:sz w:val="20"/>
          <w:szCs w:val="20"/>
          <w:color w:val="auto"/>
        </w:rPr>
        <w:t>” means any Cash Management Agreement that is entered into by and between any Loan Party and any Cash Management Bank.</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Leverage Holiday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7.10(a).</w:t>
      </w:r>
    </w:p>
    <w:p>
      <w:pPr>
        <w:spacing w:after="0" w:line="216" w:lineRule="exact"/>
        <w:rPr>
          <w:sz w:val="20"/>
          <w:szCs w:val="20"/>
          <w:color w:val="auto"/>
        </w:rPr>
      </w:pPr>
    </w:p>
    <w:p>
      <w:pPr>
        <w:ind w:right="4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Leverage Ratio</w:t>
      </w:r>
      <w:r>
        <w:rPr>
          <w:rFonts w:ascii="Arial" w:cs="Arial" w:eastAsia="Arial" w:hAnsi="Arial"/>
          <w:sz w:val="20"/>
          <w:szCs w:val="20"/>
          <w:color w:val="auto"/>
        </w:rPr>
        <w:t>” means, as of any date of determination, the ratio of (a)(i) Consolidated Secured Debt as of such date less (ii) the aggregate amount of Unrestricted Cash (not to exceed $250,000,000) at such time, which aggregate amount of Unrestricted Cash shall be determined without giving pro forma effect to the proceeds of Indebtedness incurred on such date to (b) Consolidated EBITDA for the most recently ended Test Period.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Credit Obligations</w:t>
      </w:r>
      <w:r>
        <w:rPr>
          <w:rFonts w:ascii="Arial" w:cs="Arial" w:eastAsia="Arial" w:hAnsi="Arial"/>
          <w:sz w:val="20"/>
          <w:szCs w:val="20"/>
          <w:color w:val="auto"/>
        </w:rPr>
        <w:t>” means, with respect to each Loan Party, without duplication:</w:t>
      </w:r>
    </w:p>
    <w:p>
      <w:pPr>
        <w:spacing w:after="0" w:line="229" w:lineRule="exact"/>
        <w:rPr>
          <w:sz w:val="20"/>
          <w:szCs w:val="20"/>
          <w:color w:val="auto"/>
        </w:rPr>
      </w:pPr>
    </w:p>
    <w:p>
      <w:pPr>
        <w:ind w:left="660" w:right="60" w:firstLine="645"/>
        <w:spacing w:after="0" w:line="274" w:lineRule="auto"/>
        <w:tabs>
          <w:tab w:leader="none" w:pos="2143" w:val="left"/>
        </w:tabs>
        <w:numPr>
          <w:ilvl w:val="0"/>
          <w:numId w:val="161"/>
        </w:numPr>
        <w:rPr>
          <w:rFonts w:ascii="Arial" w:cs="Arial" w:eastAsia="Arial" w:hAnsi="Arial"/>
          <w:sz w:val="20"/>
          <w:szCs w:val="20"/>
          <w:color w:val="auto"/>
        </w:rPr>
      </w:pPr>
      <w:r>
        <w:rPr>
          <w:rFonts w:ascii="Arial" w:cs="Arial" w:eastAsia="Arial" w:hAnsi="Arial"/>
          <w:sz w:val="20"/>
          <w:szCs w:val="20"/>
          <w:color w:val="auto"/>
        </w:rPr>
        <w:t>in the case of each Borrower, all principal of and interest (including, without limitation, any interest which accrues after the commencement of any proceeding under any Insolvency or Liquidation Proceeding with respect to such Borrower, whether or not allowed or allowable as a claim in any such proceeding) on any Loan or L/C Obligation under, or any Note issued pursuant to, this Agreement or any other Loan Document;</w:t>
      </w:r>
    </w:p>
    <w:p>
      <w:pPr>
        <w:spacing w:after="0" w:line="151" w:lineRule="exact"/>
        <w:rPr>
          <w:rFonts w:ascii="Arial" w:cs="Arial" w:eastAsia="Arial" w:hAnsi="Arial"/>
          <w:sz w:val="20"/>
          <w:szCs w:val="20"/>
          <w:color w:val="auto"/>
        </w:rPr>
      </w:pPr>
    </w:p>
    <w:p>
      <w:pPr>
        <w:ind w:left="660" w:right="240" w:firstLine="645"/>
        <w:spacing w:after="0" w:line="293" w:lineRule="auto"/>
        <w:tabs>
          <w:tab w:leader="none" w:pos="2198"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all fees, expenses, indemnification obligations and other amounts of whatever nature now or hereafter payable by such Loan Party (including, without limitation, any amounts which accrue after the commencement of any proceeding under any Insolvency or Liquidation Proceeding with respect to such Loan Party, whether or not allowed or allowable as a claim in any such proceeding) pursuant to this Agreement or any other Loan Document;</w:t>
      </w:r>
    </w:p>
    <w:p>
      <w:pPr>
        <w:spacing w:after="0" w:line="135" w:lineRule="exact"/>
        <w:rPr>
          <w:rFonts w:ascii="Arial" w:cs="Arial" w:eastAsia="Arial" w:hAnsi="Arial"/>
          <w:sz w:val="19"/>
          <w:szCs w:val="19"/>
          <w:color w:val="auto"/>
        </w:rPr>
      </w:pPr>
    </w:p>
    <w:p>
      <w:pPr>
        <w:ind w:left="660" w:firstLine="645"/>
        <w:spacing w:after="0" w:line="274" w:lineRule="auto"/>
        <w:tabs>
          <w:tab w:leader="none" w:pos="2253"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all expenses of the Agents as to which one or more of the Agents have a right to reimbursement by such Loan Party under </w:t>
      </w:r>
      <w:r>
        <w:rPr>
          <w:rFonts w:ascii="Arial" w:cs="Arial" w:eastAsia="Arial" w:hAnsi="Arial"/>
          <w:sz w:val="20"/>
          <w:szCs w:val="20"/>
          <w:u w:val="single" w:color="auto"/>
          <w:color w:val="auto"/>
        </w:rPr>
        <w:t>Section 10.04(a)</w:t>
      </w:r>
      <w:r>
        <w:rPr>
          <w:rFonts w:ascii="Arial" w:cs="Arial" w:eastAsia="Arial" w:hAnsi="Arial"/>
          <w:sz w:val="20"/>
          <w:szCs w:val="20"/>
          <w:color w:val="auto"/>
        </w:rPr>
        <w:t xml:space="preserve"> of this Agreement or under any other similar provision of any other Loan Document, including, without limitation, any and all sums advanced by the Collateral Agent to preserve the Collateral or preserve its security interests in the Collateral to the extent permitted under any Loan Document or applicable Law;</w:t>
      </w:r>
    </w:p>
    <w:p>
      <w:pPr>
        <w:spacing w:after="0" w:line="151" w:lineRule="exact"/>
        <w:rPr>
          <w:rFonts w:ascii="Arial" w:cs="Arial" w:eastAsia="Arial" w:hAnsi="Arial"/>
          <w:sz w:val="20"/>
          <w:szCs w:val="20"/>
          <w:color w:val="auto"/>
        </w:rPr>
      </w:pPr>
    </w:p>
    <w:p>
      <w:pPr>
        <w:ind w:left="660" w:right="440" w:firstLine="645"/>
        <w:spacing w:after="0" w:line="347" w:lineRule="auto"/>
        <w:tabs>
          <w:tab w:leader="none" w:pos="224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all amounts paid by any Indemnitee as to which such Indemnitee has the right to reimbursement by such Loan Party under </w:t>
      </w:r>
      <w:r>
        <w:rPr>
          <w:rFonts w:ascii="Arial" w:cs="Arial" w:eastAsia="Arial" w:hAnsi="Arial"/>
          <w:sz w:val="18"/>
          <w:szCs w:val="18"/>
          <w:u w:val="single" w:color="auto"/>
          <w:color w:val="auto"/>
        </w:rPr>
        <w:t>Section 10.04(b)</w:t>
      </w:r>
      <w:r>
        <w:rPr>
          <w:rFonts w:ascii="Arial" w:cs="Arial" w:eastAsia="Arial" w:hAnsi="Arial"/>
          <w:sz w:val="18"/>
          <w:szCs w:val="18"/>
          <w:color w:val="auto"/>
        </w:rPr>
        <w:t xml:space="preserve"> of this Agreement or under any other similar provision of any other Loan Document; and</w:t>
      </w:r>
    </w:p>
    <w:p>
      <w:pPr>
        <w:spacing w:after="0" w:line="90" w:lineRule="exact"/>
        <w:rPr>
          <w:rFonts w:ascii="Arial" w:cs="Arial" w:eastAsia="Arial" w:hAnsi="Arial"/>
          <w:sz w:val="18"/>
          <w:szCs w:val="18"/>
          <w:color w:val="auto"/>
        </w:rPr>
      </w:pPr>
    </w:p>
    <w:p>
      <w:pPr>
        <w:ind w:left="660" w:right="220" w:firstLine="645"/>
        <w:spacing w:after="0" w:line="278" w:lineRule="auto"/>
        <w:tabs>
          <w:tab w:leader="none" w:pos="2187" w:val="left"/>
        </w:tabs>
        <w:numPr>
          <w:ilvl w:val="0"/>
          <w:numId w:val="161"/>
        </w:numPr>
        <w:rPr>
          <w:rFonts w:ascii="Arial" w:cs="Arial" w:eastAsia="Arial" w:hAnsi="Arial"/>
          <w:sz w:val="20"/>
          <w:szCs w:val="20"/>
          <w:color w:val="auto"/>
        </w:rPr>
      </w:pPr>
      <w:r>
        <w:rPr>
          <w:rFonts w:ascii="Arial" w:cs="Arial" w:eastAsia="Arial" w:hAnsi="Arial"/>
          <w:sz w:val="20"/>
          <w:szCs w:val="20"/>
          <w:color w:val="auto"/>
        </w:rPr>
        <w:t>in the case of each Borrower and each Guarantor, all amounts now or hereafter payable by such Borrower or such Guarantor and all other obligations or liabilities now existing or hereafter arising or incurred (including, without limitation, any amounts which accrue after the</w:t>
      </w:r>
    </w:p>
    <w:p>
      <w:pPr>
        <w:spacing w:after="0" w:line="200" w:lineRule="exact"/>
        <w:rPr>
          <w:rFonts w:ascii="Arial" w:cs="Arial" w:eastAsia="Arial" w:hAnsi="Arial"/>
          <w:sz w:val="20"/>
          <w:szCs w:val="20"/>
          <w:color w:val="auto"/>
        </w:rPr>
      </w:pPr>
    </w:p>
    <w:p>
      <w:pPr>
        <w:spacing w:after="0" w:line="391" w:lineRule="exact"/>
        <w:rPr>
          <w:rFonts w:ascii="Arial" w:cs="Arial" w:eastAsia="Arial" w:hAnsi="Arial"/>
          <w:sz w:val="20"/>
          <w:szCs w:val="20"/>
          <w:color w:val="auto"/>
        </w:rPr>
      </w:pPr>
    </w:p>
    <w:p>
      <w:pPr>
        <w:ind w:left="5620" w:hanging="120"/>
        <w:spacing w:after="0"/>
        <w:tabs>
          <w:tab w:leader="none" w:pos="5620" w:val="left"/>
        </w:tabs>
        <w:numPr>
          <w:ilvl w:val="1"/>
          <w:numId w:val="161"/>
        </w:numPr>
        <w:rPr>
          <w:rFonts w:ascii="Arial" w:cs="Arial" w:eastAsia="Arial" w:hAnsi="Arial"/>
          <w:sz w:val="20"/>
          <w:szCs w:val="20"/>
          <w:color w:val="auto"/>
        </w:rPr>
      </w:pPr>
      <w:r>
        <w:rPr>
          <w:rFonts w:ascii="Arial" w:cs="Arial" w:eastAsia="Arial" w:hAnsi="Arial"/>
          <w:sz w:val="20"/>
          <w:szCs w:val="20"/>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48" w:name="page249"/>
    <w:bookmarkEnd w:id="248"/>
    <w:p>
      <w:pPr>
        <w:jc w:val="both"/>
        <w:ind w:left="660" w:right="200"/>
        <w:spacing w:after="0" w:line="250" w:lineRule="auto"/>
        <w:rPr>
          <w:sz w:val="20"/>
          <w:szCs w:val="20"/>
          <w:color w:val="auto"/>
        </w:rPr>
      </w:pPr>
      <w:r>
        <w:rPr>
          <w:rFonts w:ascii="Arial" w:cs="Arial" w:eastAsia="Arial" w:hAnsi="Arial"/>
          <w:sz w:val="20"/>
          <w:szCs w:val="20"/>
          <w:color w:val="auto"/>
        </w:rPr>
        <w:t>commencement of any proceeding under any Insolvency or Liquidation Proceeding with respect to such Borrower or such Guarantor, whether or not allowed or allowable as a claim in any such proceeding) on the part of such Guarantor pursuant to this Agreement, the Guaranty Agreement or any other Loan Document;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together in each case with all renewals, modifications, consolidations or extensions thereof.</w:t>
      </w:r>
    </w:p>
    <w:p>
      <w:pPr>
        <w:spacing w:after="0" w:line="175"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Credit Party</w:t>
      </w:r>
      <w:r>
        <w:rPr>
          <w:rFonts w:ascii="Arial" w:cs="Arial" w:eastAsia="Arial" w:hAnsi="Arial"/>
          <w:sz w:val="19"/>
          <w:szCs w:val="19"/>
          <w:color w:val="auto"/>
        </w:rPr>
        <w:t>” means each Lender, each L/C Issuer, the Administrative Agent, the Collateral Agent and each Indemnitee and their respective successors and assigns, and “</w:t>
      </w:r>
      <w:r>
        <w:rPr>
          <w:rFonts w:ascii="Arial" w:cs="Arial" w:eastAsia="Arial" w:hAnsi="Arial"/>
          <w:sz w:val="19"/>
          <w:szCs w:val="19"/>
          <w:u w:val="single" w:color="auto"/>
          <w:color w:val="auto"/>
        </w:rPr>
        <w:t>Senior Credit Parties</w:t>
      </w:r>
      <w:r>
        <w:rPr>
          <w:rFonts w:ascii="Arial" w:cs="Arial" w:eastAsia="Arial" w:hAnsi="Arial"/>
          <w:sz w:val="19"/>
          <w:szCs w:val="19"/>
          <w:color w:val="auto"/>
        </w:rPr>
        <w:t>” means any two or more of them, collectively.</w:t>
      </w:r>
    </w:p>
    <w:p>
      <w:pPr>
        <w:spacing w:after="0" w:line="153" w:lineRule="exact"/>
        <w:rPr>
          <w:sz w:val="20"/>
          <w:szCs w:val="20"/>
          <w:color w:val="auto"/>
        </w:rPr>
      </w:pPr>
    </w:p>
    <w:p>
      <w:pPr>
        <w:ind w:right="8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Representative</w:t>
      </w:r>
      <w:r>
        <w:rPr>
          <w:rFonts w:ascii="Arial" w:cs="Arial" w:eastAsia="Arial" w:hAnsi="Arial"/>
          <w:sz w:val="20"/>
          <w:szCs w:val="20"/>
          <w:color w:val="auto"/>
        </w:rPr>
        <w:t>” means, with respect to any series of Indebtedness,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86" w:lineRule="exact"/>
        <w:rPr>
          <w:sz w:val="20"/>
          <w:szCs w:val="20"/>
          <w:color w:val="auto"/>
        </w:rPr>
      </w:pPr>
    </w:p>
    <w:p>
      <w:pPr>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Solicitation of Discount Range Prepayment Offers</w:t>
      </w:r>
      <w:r>
        <w:rPr>
          <w:rFonts w:ascii="Arial" w:cs="Arial" w:eastAsia="Arial" w:hAnsi="Arial"/>
          <w:sz w:val="20"/>
          <w:szCs w:val="20"/>
          <w:color w:val="auto"/>
        </w:rPr>
        <w:t xml:space="preserve">” means the solicitation by Parent or any of its Subsidiaries of offers for, and the corresponding acceptance by a Term Lender of, a voluntary prepayment of Term Loans at a specified range at a discount to par pursuant to </w:t>
      </w:r>
      <w:r>
        <w:rPr>
          <w:rFonts w:ascii="Arial" w:cs="Arial" w:eastAsia="Arial" w:hAnsi="Arial"/>
          <w:sz w:val="20"/>
          <w:szCs w:val="20"/>
          <w:u w:val="single" w:color="auto"/>
          <w:color w:val="auto"/>
        </w:rPr>
        <w:t>Section 2.19(c)</w:t>
      </w:r>
      <w:r>
        <w:rPr>
          <w:rFonts w:ascii="Arial" w:cs="Arial" w:eastAsia="Arial" w:hAnsi="Arial"/>
          <w:sz w:val="20"/>
          <w:szCs w:val="20"/>
          <w:color w:val="auto"/>
        </w:rPr>
        <w:t>.</w:t>
      </w:r>
    </w:p>
    <w:p>
      <w:pPr>
        <w:spacing w:after="0" w:line="186" w:lineRule="exact"/>
        <w:rPr>
          <w:sz w:val="20"/>
          <w:szCs w:val="20"/>
          <w:color w:val="auto"/>
        </w:rPr>
      </w:pPr>
    </w:p>
    <w:p>
      <w:pPr>
        <w:jc w:val="both"/>
        <w:ind w:right="40" w:firstLine="1297"/>
        <w:spacing w:after="0" w:line="3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Solicitation of Discounted Prepayment Offers</w:t>
      </w:r>
      <w:r>
        <w:rPr>
          <w:rFonts w:ascii="Arial" w:cs="Arial" w:eastAsia="Arial" w:hAnsi="Arial"/>
          <w:sz w:val="16"/>
          <w:szCs w:val="16"/>
          <w:color w:val="auto"/>
        </w:rPr>
        <w:t xml:space="preserve">” means the solicitation by Parent or any of its Subsidiaries of offers for, and the corresponding acceptance, if any, by a Term Lender of, a voluntary prepayment of Term Loans at a discount to par pursuant to </w:t>
      </w:r>
      <w:r>
        <w:rPr>
          <w:rFonts w:ascii="Arial" w:cs="Arial" w:eastAsia="Arial" w:hAnsi="Arial"/>
          <w:sz w:val="16"/>
          <w:szCs w:val="16"/>
          <w:u w:val="single" w:color="auto"/>
          <w:color w:val="auto"/>
        </w:rPr>
        <w:t>Section 2.19(d)</w:t>
      </w:r>
      <w:r>
        <w:rPr>
          <w:rFonts w:ascii="Arial" w:cs="Arial" w:eastAsia="Arial" w:hAnsi="Arial"/>
          <w:sz w:val="16"/>
          <w:szCs w:val="16"/>
          <w:color w:val="auto"/>
        </w:rPr>
        <w:t>.</w:t>
      </w:r>
    </w:p>
    <w:p>
      <w:pPr>
        <w:spacing w:after="0" w:line="8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Solicited Discount Proration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2.19(d)(iii)</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Solicited Discounted Prepayment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2.19(d)(i)</w:t>
      </w:r>
      <w:r>
        <w:rPr>
          <w:rFonts w:ascii="Arial" w:cs="Arial" w:eastAsia="Arial" w:hAnsi="Arial"/>
          <w:sz w:val="20"/>
          <w:szCs w:val="20"/>
          <w:color w:val="auto"/>
        </w:rPr>
        <w:t>.</w:t>
      </w:r>
    </w:p>
    <w:p>
      <w:pPr>
        <w:spacing w:after="0" w:line="216" w:lineRule="exact"/>
        <w:rPr>
          <w:sz w:val="20"/>
          <w:szCs w:val="20"/>
          <w:color w:val="auto"/>
        </w:rPr>
      </w:pPr>
    </w:p>
    <w:p>
      <w:pPr>
        <w:ind w:right="3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Solicited Discounted Prepayment Notice</w:t>
      </w:r>
      <w:r>
        <w:rPr>
          <w:rFonts w:ascii="Arial" w:cs="Arial" w:eastAsia="Arial" w:hAnsi="Arial"/>
          <w:sz w:val="20"/>
          <w:szCs w:val="20"/>
          <w:color w:val="auto"/>
        </w:rPr>
        <w:t xml:space="preserve">” means an irrevocable written notice of a Solicitation of Discounted Prepayment Offers made pursuant to </w:t>
      </w:r>
      <w:r>
        <w:rPr>
          <w:rFonts w:ascii="Arial" w:cs="Arial" w:eastAsia="Arial" w:hAnsi="Arial"/>
          <w:sz w:val="20"/>
          <w:szCs w:val="20"/>
          <w:u w:val="single" w:color="auto"/>
          <w:color w:val="auto"/>
        </w:rPr>
        <w:t>Section 2.19(d)(i)</w:t>
      </w:r>
      <w:r>
        <w:rPr>
          <w:rFonts w:ascii="Arial" w:cs="Arial" w:eastAsia="Arial" w:hAnsi="Arial"/>
          <w:sz w:val="20"/>
          <w:szCs w:val="20"/>
          <w:color w:val="auto"/>
        </w:rPr>
        <w:t xml:space="preserve"> substantially in the form of </w:t>
      </w:r>
      <w:r>
        <w:rPr>
          <w:rFonts w:ascii="Arial" w:cs="Arial" w:eastAsia="Arial" w:hAnsi="Arial"/>
          <w:sz w:val="20"/>
          <w:szCs w:val="20"/>
          <w:u w:val="single" w:color="auto"/>
          <w:color w:val="auto"/>
        </w:rPr>
        <w:t>Exhibit P</w:t>
      </w:r>
      <w:r>
        <w:rPr>
          <w:rFonts w:ascii="Arial" w:cs="Arial" w:eastAsia="Arial" w:hAnsi="Arial"/>
          <w:sz w:val="20"/>
          <w:szCs w:val="20"/>
          <w:color w:val="auto"/>
        </w:rPr>
        <w:t xml:space="preserve"> hereto.</w:t>
      </w:r>
    </w:p>
    <w:p>
      <w:pPr>
        <w:spacing w:after="0" w:line="177" w:lineRule="exact"/>
        <w:rPr>
          <w:sz w:val="20"/>
          <w:szCs w:val="20"/>
          <w:color w:val="auto"/>
        </w:rPr>
      </w:pPr>
    </w:p>
    <w:p>
      <w:pPr>
        <w:ind w:right="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Solicited Discounted Prepayment Offer</w:t>
      </w:r>
      <w:r>
        <w:rPr>
          <w:rFonts w:ascii="Arial" w:cs="Arial" w:eastAsia="Arial" w:hAnsi="Arial"/>
          <w:sz w:val="20"/>
          <w:szCs w:val="20"/>
          <w:color w:val="auto"/>
        </w:rPr>
        <w:t xml:space="preserve">” means an irrevocable written offer by each Term Lender, substantially in the form of </w:t>
      </w:r>
      <w:r>
        <w:rPr>
          <w:rFonts w:ascii="Arial" w:cs="Arial" w:eastAsia="Arial" w:hAnsi="Arial"/>
          <w:sz w:val="20"/>
          <w:szCs w:val="20"/>
          <w:u w:val="single" w:color="auto"/>
          <w:color w:val="auto"/>
        </w:rPr>
        <w:t>Exhibit Q</w:t>
      </w:r>
      <w:r>
        <w:rPr>
          <w:rFonts w:ascii="Arial" w:cs="Arial" w:eastAsia="Arial" w:hAnsi="Arial"/>
          <w:sz w:val="20"/>
          <w:szCs w:val="20"/>
          <w:color w:val="auto"/>
        </w:rPr>
        <w:t xml:space="preserve"> hereto, submitted following the Auction Agent’s receipt of a Solicited Discounted Prepayment Notice.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Solicited Discounted Prepayment Response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2.19(d)(i)</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means, with respect to Parent and its Subsidiaries (on a consolidated basis) as of a particular date, that on such date</w:t>
      </w:r>
    </w:p>
    <w:p>
      <w:pPr>
        <w:spacing w:after="0" w:line="39" w:lineRule="exact"/>
        <w:rPr>
          <w:sz w:val="20"/>
          <w:szCs w:val="20"/>
          <w:color w:val="auto"/>
        </w:rPr>
      </w:pPr>
    </w:p>
    <w:p>
      <w:pPr>
        <w:ind w:right="80" w:firstLine="8"/>
        <w:spacing w:after="0" w:line="255" w:lineRule="auto"/>
        <w:tabs>
          <w:tab w:leader="none" w:pos="236"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the fair value of the assets of Parent and its Subsidiaries, on a consolidated basis, exceeds, on a consolidated basis, their debts and liabilities, subordinated, contingent or otherwise, (ii) the present fair saleable value of the property of Parent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(iii) Parent and its Subsidiaries, on a consolidated basis, will be able to pay their debts and liabilities, subordinated, contingent or otherwise, as such liabilities become absolute and matured; and (iv) Parent and its Subsidiaries, on a consolidated basis, are not engaged in, and are not about to engage in, business for which they have unreasonably small capital.</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left="5620" w:hanging="120"/>
        <w:spacing w:after="0"/>
        <w:tabs>
          <w:tab w:leader="none" w:pos="562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49" w:name="page250"/>
    <w:bookmarkEnd w:id="249"/>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Discount Prepayment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2.19(b)(i)</w:t>
      </w:r>
      <w:r>
        <w:rPr>
          <w:rFonts w:ascii="Arial" w:cs="Arial" w:eastAsia="Arial" w:hAnsi="Arial"/>
          <w:sz w:val="20"/>
          <w:szCs w:val="20"/>
          <w:color w:val="auto"/>
        </w:rPr>
        <w:t>.</w:t>
      </w:r>
    </w:p>
    <w:p>
      <w:pPr>
        <w:spacing w:after="0" w:line="216" w:lineRule="exact"/>
        <w:rPr>
          <w:sz w:val="20"/>
          <w:szCs w:val="20"/>
          <w:color w:val="auto"/>
        </w:rPr>
      </w:pPr>
    </w:p>
    <w:p>
      <w:pPr>
        <w:ind w:right="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Discount Prepayment Notice</w:t>
      </w:r>
      <w:r>
        <w:rPr>
          <w:rFonts w:ascii="Arial" w:cs="Arial" w:eastAsia="Arial" w:hAnsi="Arial"/>
          <w:sz w:val="20"/>
          <w:szCs w:val="20"/>
          <w:color w:val="auto"/>
        </w:rPr>
        <w:t xml:space="preserve">” means an irrevocable written notice of Parent or any of its Subsidiaries of an Offer of Specified Discount Prepayment made pursuant to </w:t>
      </w:r>
      <w:r>
        <w:rPr>
          <w:rFonts w:ascii="Arial" w:cs="Arial" w:eastAsia="Arial" w:hAnsi="Arial"/>
          <w:sz w:val="20"/>
          <w:szCs w:val="20"/>
          <w:u w:val="single" w:color="auto"/>
          <w:color w:val="auto"/>
        </w:rPr>
        <w:t>Section 2.19(b)(i)</w:t>
      </w:r>
      <w:r>
        <w:rPr>
          <w:rFonts w:ascii="Arial" w:cs="Arial" w:eastAsia="Arial" w:hAnsi="Arial"/>
          <w:sz w:val="20"/>
          <w:szCs w:val="20"/>
          <w:color w:val="auto"/>
        </w:rPr>
        <w:t xml:space="preserve"> substantially in the form of </w:t>
      </w:r>
      <w:r>
        <w:rPr>
          <w:rFonts w:ascii="Arial" w:cs="Arial" w:eastAsia="Arial" w:hAnsi="Arial"/>
          <w:sz w:val="20"/>
          <w:szCs w:val="20"/>
          <w:u w:val="single" w:color="auto"/>
          <w:color w:val="auto"/>
        </w:rPr>
        <w:t>Exhibit L</w:t>
      </w:r>
      <w:r>
        <w:rPr>
          <w:rFonts w:ascii="Arial" w:cs="Arial" w:eastAsia="Arial" w:hAnsi="Arial"/>
          <w:sz w:val="20"/>
          <w:szCs w:val="20"/>
          <w:color w:val="auto"/>
        </w:rPr>
        <w:t xml:space="preserve"> hereto.</w:t>
      </w:r>
    </w:p>
    <w:p>
      <w:pPr>
        <w:spacing w:after="0" w:line="177" w:lineRule="exact"/>
        <w:rPr>
          <w:sz w:val="20"/>
          <w:szCs w:val="20"/>
          <w:color w:val="auto"/>
        </w:rPr>
      </w:pPr>
    </w:p>
    <w:p>
      <w:pPr>
        <w:ind w:right="1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Discount Prepayment Response</w:t>
      </w:r>
      <w:r>
        <w:rPr>
          <w:rFonts w:ascii="Arial" w:cs="Arial" w:eastAsia="Arial" w:hAnsi="Arial"/>
          <w:sz w:val="20"/>
          <w:szCs w:val="20"/>
          <w:color w:val="auto"/>
        </w:rPr>
        <w:t xml:space="preserve">” means the irrevocable written response by each Term Lender, substantially in the form of </w:t>
      </w:r>
      <w:r>
        <w:rPr>
          <w:rFonts w:ascii="Arial" w:cs="Arial" w:eastAsia="Arial" w:hAnsi="Arial"/>
          <w:sz w:val="20"/>
          <w:szCs w:val="20"/>
          <w:u w:val="single" w:color="auto"/>
          <w:color w:val="auto"/>
        </w:rPr>
        <w:t>Exhibit M</w:t>
      </w:r>
      <w:r>
        <w:rPr>
          <w:rFonts w:ascii="Arial" w:cs="Arial" w:eastAsia="Arial" w:hAnsi="Arial"/>
          <w:sz w:val="20"/>
          <w:szCs w:val="20"/>
          <w:color w:val="auto"/>
        </w:rPr>
        <w:t xml:space="preserve"> hereto, to a Specified Discount Prepayment Notice.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Discount Prepayment Response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2.19(b)(i)</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Discount Proration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2.19(b)(iii)</w:t>
      </w:r>
      <w:r>
        <w:rPr>
          <w:rFonts w:ascii="Arial" w:cs="Arial" w:eastAsia="Arial" w:hAnsi="Arial"/>
          <w:sz w:val="20"/>
          <w:szCs w:val="20"/>
          <w:color w:val="auto"/>
        </w:rPr>
        <w:t>.</w:t>
      </w:r>
    </w:p>
    <w:p>
      <w:pPr>
        <w:spacing w:after="0" w:line="216" w:lineRule="exact"/>
        <w:rPr>
          <w:sz w:val="20"/>
          <w:szCs w:val="20"/>
          <w:color w:val="auto"/>
        </w:rPr>
      </w:pPr>
    </w:p>
    <w:p>
      <w:pPr>
        <w:ind w:right="4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Subordinated Indebtedness</w:t>
      </w:r>
      <w:r>
        <w:rPr>
          <w:rFonts w:ascii="Arial" w:cs="Arial" w:eastAsia="Arial" w:hAnsi="Arial"/>
          <w:sz w:val="20"/>
          <w:szCs w:val="20"/>
          <w:color w:val="auto"/>
        </w:rPr>
        <w:t>” means Subordinated Indebtedness (i) the principal of which by its terms is not required to be repaid, in whole or in part, before six months after the Term Loan Maturity Date and (ii) which is subordinated in right of payment to the Finance Obligations pursuant to payment and subordination provisions reasonably satisfactory in form and substance to the Administrative Agent.</w:t>
      </w:r>
    </w:p>
    <w:p>
      <w:pPr>
        <w:spacing w:after="0" w:line="192" w:lineRule="exact"/>
        <w:rPr>
          <w:sz w:val="20"/>
          <w:szCs w:val="20"/>
          <w:color w:val="auto"/>
        </w:rPr>
      </w:pPr>
    </w:p>
    <w:p>
      <w:pPr>
        <w:ind w:right="7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SSM Regulation</w:t>
      </w:r>
      <w:r>
        <w:rPr>
          <w:rFonts w:ascii="Arial" w:cs="Arial" w:eastAsia="Arial" w:hAnsi="Arial"/>
          <w:sz w:val="20"/>
          <w:szCs w:val="20"/>
          <w:color w:val="auto"/>
        </w:rPr>
        <w:t>” means Council Regulation (EU) No 1024/2013 of 15 October 2013 conferring specific tasks on the European Central Bank concerning policies relating to the prudential supervision of credit institutions.</w:t>
      </w:r>
    </w:p>
    <w:p>
      <w:pPr>
        <w:spacing w:after="0" w:line="177" w:lineRule="exact"/>
        <w:rPr>
          <w:sz w:val="20"/>
          <w:szCs w:val="20"/>
          <w:color w:val="auto"/>
        </w:rPr>
      </w:pPr>
    </w:p>
    <w:p>
      <w:pPr>
        <w:ind w:right="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Stanford Lease</w:t>
      </w:r>
      <w:r>
        <w:rPr>
          <w:rFonts w:ascii="Arial" w:cs="Arial" w:eastAsia="Arial" w:hAnsi="Arial"/>
          <w:sz w:val="20"/>
          <w:szCs w:val="20"/>
          <w:color w:val="auto"/>
        </w:rPr>
        <w:t>” means that certain Commercial Lease, dated as of January 7, 2015, by and between The Board of Trustees of the Leland Stanford Junior University and the U.S. Borrower.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Submitted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2.19(c)(i)</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Submitted Discount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2.19(c)(i)</w:t>
      </w:r>
      <w:r>
        <w:rPr>
          <w:rFonts w:ascii="Arial" w:cs="Arial" w:eastAsia="Arial" w:hAnsi="Arial"/>
          <w:sz w:val="20"/>
          <w:szCs w:val="20"/>
          <w:color w:val="auto"/>
        </w:rPr>
        <w:t>.</w:t>
      </w:r>
    </w:p>
    <w:p>
      <w:pPr>
        <w:spacing w:after="0" w:line="216" w:lineRule="exact"/>
        <w:rPr>
          <w:sz w:val="20"/>
          <w:szCs w:val="20"/>
          <w:color w:val="auto"/>
        </w:rPr>
      </w:pPr>
    </w:p>
    <w:p>
      <w:pPr>
        <w:ind w:right="8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Indebtedness</w:t>
      </w:r>
      <w:r>
        <w:rPr>
          <w:rFonts w:ascii="Arial" w:cs="Arial" w:eastAsia="Arial" w:hAnsi="Arial"/>
          <w:sz w:val="20"/>
          <w:szCs w:val="20"/>
          <w:color w:val="auto"/>
        </w:rPr>
        <w:t>” means Indebtedness of the Parent or any Restricted Subsidiary, the payment of which is contractually subordinated in right of payment to the Finance Obligations.</w:t>
      </w:r>
    </w:p>
    <w:p>
      <w:pPr>
        <w:spacing w:after="0" w:line="177" w:lineRule="exact"/>
        <w:rPr>
          <w:sz w:val="20"/>
          <w:szCs w:val="20"/>
          <w:color w:val="auto"/>
        </w:rPr>
      </w:pPr>
    </w:p>
    <w:p>
      <w:pPr>
        <w:ind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any corporation, partnership, limited liability company, association or other business entity of which (i) if a corporation, more than 50% of the total voting power of stock entitled (other than stock or such other ownership interest having such power only by reason of the happening of a contingency) to vote in the election of directors, managers or trustees thereof is at the time owned or controlled, directly or indirectly, by that Person or one or more of the other Subsidiaries of that Person or a combination thereof, or (ii) if a partnership, limited liability company, association or business entity other than a corporation, more than 50% of the partnership or other similar ownership interests thereof (other than stock or such other ownership interest having such power only by reason of the happening of a contingency) is at the time owned or controlled, directly or indirectly, by that Person or one or more Subsidiaries of that Person or a combination thereof. Unless otherwise specified, all references herein to a “Subsidiary” or to “Subsidiaries” shall refer to a Subsidiary or Subsidiaries of Parent.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50" w:name="page251"/>
    <w:bookmarkEnd w:id="250"/>
    <w:p>
      <w:pPr>
        <w:jc w:val="both"/>
        <w:ind w:right="16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Guarantor</w:t>
      </w:r>
      <w:r>
        <w:rPr>
          <w:rFonts w:ascii="Arial" w:cs="Arial" w:eastAsia="Arial" w:hAnsi="Arial"/>
          <w:sz w:val="20"/>
          <w:szCs w:val="20"/>
          <w:color w:val="auto"/>
        </w:rPr>
        <w:t>” means each Restricted Subsidiary that is party to the Guaranty Agreement (including each Borrower with respect to Guaranteed Obligations of each other Borrower) or any other guaranty agreement pursuant to which it Guarantees the Finance Obligations.</w:t>
      </w:r>
    </w:p>
    <w:p>
      <w:pPr>
        <w:spacing w:after="0" w:line="186" w:lineRule="exact"/>
        <w:rPr>
          <w:sz w:val="20"/>
          <w:szCs w:val="20"/>
          <w:color w:val="auto"/>
        </w:rPr>
      </w:pPr>
    </w:p>
    <w:p>
      <w:pPr>
        <w:ind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Agreement</w:t>
      </w:r>
      <w:r>
        <w:rPr>
          <w:rFonts w:ascii="Arial" w:cs="Arial" w:eastAsia="Arial" w:hAnsi="Arial"/>
          <w:sz w:val="19"/>
          <w:szCs w:val="19"/>
          <w:color w:val="auto"/>
        </w:rPr>
        <w:t>” means (i)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(ii)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181" w:lineRule="exact"/>
        <w:rPr>
          <w:sz w:val="20"/>
          <w:szCs w:val="20"/>
          <w:color w:val="auto"/>
        </w:rPr>
      </w:pPr>
    </w:p>
    <w:p>
      <w:pPr>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Creditor</w:t>
      </w:r>
      <w:r>
        <w:rPr>
          <w:rFonts w:ascii="Arial" w:cs="Arial" w:eastAsia="Arial" w:hAnsi="Arial"/>
          <w:sz w:val="20"/>
          <w:szCs w:val="20"/>
          <w:color w:val="auto"/>
        </w:rPr>
        <w:t>” means any Agent, Lender or any Affiliate of any Lender or Agent from time to time party to one or more Swap Agreements (even if entered into prior to the Closing Date) with a Loan Party and any party to a Swap Agreement with a Loan Party that was an Agent, a Lender or an Affiliate of any Agent or Lender at the time it entered into such agreement (even if any such Lender for any reason ceases after the execution of such agreement to be a Lender hereunder), and its successors and assigns, and “Swap Creditors” means any two or more of them, collectively.</w:t>
      </w:r>
    </w:p>
    <w:p>
      <w:pPr>
        <w:spacing w:after="0" w:line="195" w:lineRule="exact"/>
        <w:rPr>
          <w:sz w:val="20"/>
          <w:szCs w:val="20"/>
          <w:color w:val="auto"/>
        </w:rPr>
      </w:pPr>
    </w:p>
    <w:p>
      <w:pPr>
        <w:ind w:right="60" w:firstLine="129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xml:space="preserve">” of any Person means all obligations (including, without limitation, any amounts which accrue after the commencement of any bankruptcy or insolvency proceeding with respect to such Person, whether or not allowed or allowable as a claim under any proceeding under any Insolvency or Liquidation Proceeding) of such Person in respect of any Swap Agreement, excluding any amounts which such Person is entitled to set-off against its obligations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“Swap Obligations” with respect to any Guarantor, at any time, shall exclude all Excluded Swap Obligations with respect to such Guarantor at such time.</w:t>
      </w:r>
    </w:p>
    <w:p>
      <w:pPr>
        <w:spacing w:after="0" w:line="165" w:lineRule="exact"/>
        <w:rPr>
          <w:sz w:val="20"/>
          <w:szCs w:val="20"/>
          <w:color w:val="auto"/>
        </w:rPr>
      </w:pPr>
    </w:p>
    <w:p>
      <w:pPr>
        <w:ind w:right="8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Borrowing</w:t>
      </w:r>
      <w:r>
        <w:rPr>
          <w:rFonts w:ascii="Arial" w:cs="Arial" w:eastAsia="Arial" w:hAnsi="Arial"/>
          <w:sz w:val="20"/>
          <w:szCs w:val="20"/>
          <w:color w:val="auto"/>
        </w:rPr>
        <w:t>” means a Borrowing comprised of Swing Line Loans and identified as such in the Notice of Borrowing with respect thereto.</w:t>
      </w:r>
    </w:p>
    <w:p>
      <w:pPr>
        <w:spacing w:after="0" w:line="177" w:lineRule="exact"/>
        <w:rPr>
          <w:sz w:val="20"/>
          <w:szCs w:val="20"/>
          <w:color w:val="auto"/>
        </w:rPr>
      </w:pPr>
    </w:p>
    <w:p>
      <w:pPr>
        <w:ind w:right="2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Commitment</w:t>
      </w:r>
      <w:r>
        <w:rPr>
          <w:rFonts w:ascii="Arial" w:cs="Arial" w:eastAsia="Arial" w:hAnsi="Arial"/>
          <w:sz w:val="20"/>
          <w:szCs w:val="20"/>
          <w:color w:val="auto"/>
        </w:rPr>
        <w:t xml:space="preserve">” means the agreement of the Swing Line Lender to make Loans pursuant to </w:t>
      </w:r>
      <w:r>
        <w:rPr>
          <w:rFonts w:ascii="Arial" w:cs="Arial" w:eastAsia="Arial" w:hAnsi="Arial"/>
          <w:sz w:val="20"/>
          <w:szCs w:val="20"/>
          <w:u w:val="single" w:color="auto"/>
          <w:color w:val="auto"/>
        </w:rPr>
        <w:t>Section 2.01(c)</w:t>
      </w:r>
      <w:r>
        <w:rPr>
          <w:rFonts w:ascii="Arial" w:cs="Arial" w:eastAsia="Arial" w:hAnsi="Arial"/>
          <w:sz w:val="20"/>
          <w:szCs w:val="20"/>
          <w:color w:val="auto"/>
        </w:rPr>
        <w:t>. The Swing Line Commitment is a part of, and not in addition to, the Revolving Committed Amount.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Committed Amount</w:t>
      </w:r>
      <w:r>
        <w:rPr>
          <w:rFonts w:ascii="Arial" w:cs="Arial" w:eastAsia="Arial" w:hAnsi="Arial"/>
          <w:sz w:val="18"/>
          <w:szCs w:val="18"/>
          <w:color w:val="auto"/>
        </w:rPr>
        <w:t>” means $25,000,000 as such Swing Line Committed Amount may be reduced pursuant to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Section 2.10</w:t>
      </w:r>
      <w:r>
        <w:rPr>
          <w:rFonts w:ascii="Arial" w:cs="Arial" w:eastAsia="Arial" w:hAnsi="Arial"/>
          <w:sz w:val="20"/>
          <w:szCs w:val="20"/>
          <w:color w:val="auto"/>
        </w:rPr>
        <w:t>.</w:t>
      </w:r>
    </w:p>
    <w:p>
      <w:pPr>
        <w:spacing w:after="0" w:line="200" w:lineRule="exact"/>
        <w:rPr>
          <w:sz w:val="20"/>
          <w:szCs w:val="20"/>
          <w:color w:val="auto"/>
        </w:rPr>
      </w:pPr>
    </w:p>
    <w:p>
      <w:pPr>
        <w:ind w:right="60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Lender</w:t>
      </w:r>
      <w:r>
        <w:rPr>
          <w:rFonts w:ascii="Arial" w:cs="Arial" w:eastAsia="Arial" w:hAnsi="Arial"/>
          <w:sz w:val="19"/>
          <w:szCs w:val="19"/>
          <w:color w:val="auto"/>
        </w:rPr>
        <w:t xml:space="preserve">” means Bank of America (through itself or one of its designated Affiliates or branch offices), in its capacity as the Swing Line Lender under </w:t>
      </w:r>
      <w:r>
        <w:rPr>
          <w:rFonts w:ascii="Arial" w:cs="Arial" w:eastAsia="Arial" w:hAnsi="Arial"/>
          <w:sz w:val="19"/>
          <w:szCs w:val="19"/>
          <w:u w:val="single" w:color="auto"/>
          <w:color w:val="auto"/>
        </w:rPr>
        <w:t>Section 2.01(c)</w:t>
      </w:r>
      <w:r>
        <w:rPr>
          <w:rFonts w:ascii="Arial" w:cs="Arial" w:eastAsia="Arial" w:hAnsi="Arial"/>
          <w:sz w:val="19"/>
          <w:szCs w:val="19"/>
          <w:color w:val="auto"/>
        </w:rPr>
        <w:t>, and its permitted successor or successors in such capacity.</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2.01(c)</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 Request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2.02(b)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6" w:right="279" w:bottom="1440" w:gutter="0" w:footer="0" w:header="0"/>
        </w:sectPr>
      </w:pPr>
    </w:p>
    <w:bookmarkStart w:id="251" w:name="page252"/>
    <w:bookmarkEnd w:id="251"/>
    <w:p>
      <w:pPr>
        <w:ind w:right="1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Note</w:t>
      </w:r>
      <w:r>
        <w:rPr>
          <w:rFonts w:ascii="Arial" w:cs="Arial" w:eastAsia="Arial" w:hAnsi="Arial"/>
          <w:sz w:val="20"/>
          <w:szCs w:val="20"/>
          <w:color w:val="auto"/>
        </w:rPr>
        <w:t xml:space="preserve">” means a promissory note, substantially in the form of </w:t>
      </w:r>
      <w:r>
        <w:rPr>
          <w:rFonts w:ascii="Arial" w:cs="Arial" w:eastAsia="Arial" w:hAnsi="Arial"/>
          <w:sz w:val="20"/>
          <w:szCs w:val="20"/>
          <w:u w:val="single" w:color="auto"/>
          <w:color w:val="auto"/>
        </w:rPr>
        <w:t>Exhibit B-3</w:t>
      </w:r>
      <w:r>
        <w:rPr>
          <w:rFonts w:ascii="Arial" w:cs="Arial" w:eastAsia="Arial" w:hAnsi="Arial"/>
          <w:sz w:val="20"/>
          <w:szCs w:val="20"/>
          <w:color w:val="auto"/>
        </w:rPr>
        <w:t>, hereto, evidencing the obligation of the applicable Borrower to repay outstanding Swing Line Loans, as such note may be amended, modified, supplemented, extended, renewed or replaced from time to time.</w:t>
      </w:r>
    </w:p>
    <w:p>
      <w:pPr>
        <w:spacing w:after="0" w:line="186" w:lineRule="exact"/>
        <w:rPr>
          <w:sz w:val="20"/>
          <w:szCs w:val="20"/>
          <w:color w:val="auto"/>
        </w:rPr>
      </w:pPr>
    </w:p>
    <w:p>
      <w:pPr>
        <w:ind w:right="32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Termination Date</w:t>
      </w:r>
      <w:r>
        <w:rPr>
          <w:rFonts w:ascii="Arial" w:cs="Arial" w:eastAsia="Arial" w:hAnsi="Arial"/>
          <w:sz w:val="20"/>
          <w:szCs w:val="20"/>
          <w:color w:val="auto"/>
        </w:rPr>
        <w:t>” means the earlier of (i) the fifth anniversary of the Closing Date (or, if such day is not a Business Day, the next preceding Business Day) or such earlier date upon which the Revolving Commitments shall have been terminated in their entirety in accordance with this Agreement and (ii) the date on which the Swing Line Commitment is terminated in its entirety in accordance with this Agreement.</w:t>
      </w:r>
    </w:p>
    <w:p>
      <w:pPr>
        <w:spacing w:after="0" w:line="192"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w:t>
      </w:r>
      <w:r>
        <w:rPr>
          <w:rFonts w:ascii="Arial" w:cs="Arial" w:eastAsia="Arial" w:hAnsi="Arial"/>
          <w:sz w:val="16"/>
          <w:szCs w:val="16"/>
          <w:color w:val="auto"/>
        </w:rPr>
        <w:t>” means, as to any Person, any lease (including leases that may be terminated by the lessee at any time) of real or personal property, or a combination thereof, (a) that is accounted for as an operating lease under GAAP and (b) in respect of which the lessee is deemed to own the property so leased for U.S. federal income tax purposes, other than any such lease under which such Person is the lessor.</w:t>
      </w:r>
    </w:p>
    <w:p>
      <w:pPr>
        <w:spacing w:after="0" w:line="118" w:lineRule="exact"/>
        <w:rPr>
          <w:sz w:val="20"/>
          <w:szCs w:val="20"/>
          <w:color w:val="auto"/>
        </w:rPr>
      </w:pPr>
    </w:p>
    <w:p>
      <w:pPr>
        <w:ind w:right="60" w:firstLine="1297"/>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Obligations</w:t>
      </w:r>
      <w:r>
        <w:rPr>
          <w:rFonts w:ascii="Arial" w:cs="Arial" w:eastAsia="Arial" w:hAnsi="Arial"/>
          <w:sz w:val="16"/>
          <w:szCs w:val="16"/>
          <w:color w:val="auto"/>
        </w:rPr>
        <w:t xml:space="preserve">” means, as to any Person, an amount equal to the capitalized amount of the remaining lease payments under any Synthetic Lease (determined, in the case of a Synthetic Lease providing for an option to purchase the leased property, as if such purchase were required at the end of the term thereof) that would appear on a balance sheet of such Person prepared in accordance with GAAP if such payment obligations were accounted for as Capital Lease Obligations. For purposes of </w:t>
      </w:r>
      <w:r>
        <w:rPr>
          <w:rFonts w:ascii="Arial" w:cs="Arial" w:eastAsia="Arial" w:hAnsi="Arial"/>
          <w:sz w:val="16"/>
          <w:szCs w:val="16"/>
          <w:u w:val="single" w:color="auto"/>
          <w:color w:val="auto"/>
        </w:rPr>
        <w:t>Section 7.02</w:t>
      </w:r>
      <w:r>
        <w:rPr>
          <w:rFonts w:ascii="Arial" w:cs="Arial" w:eastAsia="Arial" w:hAnsi="Arial"/>
          <w:sz w:val="16"/>
          <w:szCs w:val="16"/>
          <w:color w:val="auto"/>
        </w:rPr>
        <w:t>, a Synthetic Lease Obligation shall be deemed to be secured by a Lien on the property being leased and such property shall be deemed to be owned by the lessee.</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Deduction</w:t>
      </w:r>
      <w:r>
        <w:rPr>
          <w:rFonts w:ascii="Arial" w:cs="Arial" w:eastAsia="Arial" w:hAnsi="Arial"/>
          <w:sz w:val="18"/>
          <w:szCs w:val="18"/>
          <w:color w:val="auto"/>
        </w:rPr>
        <w:t>” means a deduction or withholding for or on account of any Tax from a payment under a Loan Document.</w:t>
      </w:r>
    </w:p>
    <w:p>
      <w:pPr>
        <w:spacing w:after="0" w:line="239" w:lineRule="exact"/>
        <w:rPr>
          <w:sz w:val="20"/>
          <w:szCs w:val="20"/>
          <w:color w:val="auto"/>
        </w:rPr>
      </w:pPr>
    </w:p>
    <w:p>
      <w:pPr>
        <w:ind w:right="18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and any and all liabilities (including any interest, fines, additions to tax or penalties) applicable thereto.</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TCA</w:t>
      </w:r>
      <w:r>
        <w:rPr>
          <w:rFonts w:ascii="Arial" w:cs="Arial" w:eastAsia="Arial" w:hAnsi="Arial"/>
          <w:sz w:val="20"/>
          <w:szCs w:val="20"/>
          <w:color w:val="auto"/>
        </w:rPr>
        <w:t>” means the Taxes Consolidation Act 1997 of Ireland.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Borrowing</w:t>
      </w:r>
      <w:r>
        <w:rPr>
          <w:rFonts w:ascii="Arial" w:cs="Arial" w:eastAsia="Arial" w:hAnsi="Arial"/>
          <w:sz w:val="19"/>
          <w:szCs w:val="19"/>
          <w:color w:val="auto"/>
        </w:rPr>
        <w:t>” means a Borrowing comprised of Term Loans and identified as such in the Notice of Borrowing with</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respect thereto.</w:t>
      </w:r>
    </w:p>
    <w:p>
      <w:pPr>
        <w:spacing w:after="0" w:line="200" w:lineRule="exact"/>
        <w:rPr>
          <w:sz w:val="20"/>
          <w:szCs w:val="20"/>
          <w:color w:val="auto"/>
        </w:rPr>
      </w:pPr>
    </w:p>
    <w:p>
      <w:pPr>
        <w:ind w:right="14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Commitment</w:t>
      </w:r>
      <w:r>
        <w:rPr>
          <w:rFonts w:ascii="Arial" w:cs="Arial" w:eastAsia="Arial" w:hAnsi="Arial"/>
          <w:sz w:val="19"/>
          <w:szCs w:val="19"/>
          <w:color w:val="auto"/>
        </w:rPr>
        <w:t>” means with respect to any Lender, the commitment of such Lender to make a Term Loan on the Closing Date in a principal amount equal to such Lender’s Term Commitment Percentage of the Term Committed Amount.</w:t>
      </w:r>
    </w:p>
    <w:p>
      <w:pPr>
        <w:spacing w:after="0" w:line="153" w:lineRule="exact"/>
        <w:rPr>
          <w:sz w:val="20"/>
          <w:szCs w:val="20"/>
          <w:color w:val="auto"/>
        </w:rPr>
      </w:pPr>
    </w:p>
    <w:p>
      <w:pPr>
        <w:ind w:right="20" w:firstLine="1297"/>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Commitment Percentage</w:t>
      </w:r>
      <w:r>
        <w:rPr>
          <w:rFonts w:ascii="Arial" w:cs="Arial" w:eastAsia="Arial" w:hAnsi="Arial"/>
          <w:sz w:val="16"/>
          <w:szCs w:val="16"/>
          <w:color w:val="auto"/>
        </w:rPr>
        <w:t xml:space="preserve">” means, for each Lender, the percentage of the aggregate Term Commitments represented by such Lender’s Term Commitment at such time and identified as its Term Commitment Percentage on </w:t>
      </w:r>
      <w:r>
        <w:rPr>
          <w:rFonts w:ascii="Arial" w:cs="Arial" w:eastAsia="Arial" w:hAnsi="Arial"/>
          <w:sz w:val="16"/>
          <w:szCs w:val="16"/>
          <w:u w:val="single" w:color="auto"/>
          <w:color w:val="auto"/>
        </w:rPr>
        <w:t>Schedule 2.01</w:t>
      </w:r>
      <w:r>
        <w:rPr>
          <w:rFonts w:ascii="Arial" w:cs="Arial" w:eastAsia="Arial" w:hAnsi="Arial"/>
          <w:sz w:val="16"/>
          <w:szCs w:val="16"/>
          <w:color w:val="auto"/>
        </w:rPr>
        <w:t>, as such percentage may be</w:t>
      </w:r>
    </w:p>
    <w:p>
      <w:pPr>
        <w:spacing w:after="0" w:line="1" w:lineRule="exact"/>
        <w:rPr>
          <w:sz w:val="20"/>
          <w:szCs w:val="20"/>
          <w:color w:val="auto"/>
        </w:rPr>
      </w:pPr>
    </w:p>
    <w:p>
      <w:pPr>
        <w:ind w:right="980" w:firstLine="8"/>
        <w:spacing w:after="0" w:line="244" w:lineRule="auto"/>
        <w:tabs>
          <w:tab w:leader="none" w:pos="269"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increased pursuant to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or reduced pursuant to </w:t>
      </w:r>
      <w:r>
        <w:rPr>
          <w:rFonts w:ascii="Arial" w:cs="Arial" w:eastAsia="Arial" w:hAnsi="Arial"/>
          <w:sz w:val="20"/>
          <w:szCs w:val="20"/>
          <w:u w:val="single" w:color="auto"/>
          <w:color w:val="auto"/>
        </w:rPr>
        <w:t>Section 2.10</w:t>
      </w:r>
      <w:r>
        <w:rPr>
          <w:rFonts w:ascii="Arial" w:cs="Arial" w:eastAsia="Arial" w:hAnsi="Arial"/>
          <w:sz w:val="20"/>
          <w:szCs w:val="20"/>
          <w:color w:val="auto"/>
        </w:rPr>
        <w:t xml:space="preserve"> and (b) modified in connection with any Assignment and Assumption made in accordance with the provisions of </w:t>
      </w:r>
      <w:r>
        <w:rPr>
          <w:rFonts w:ascii="Arial" w:cs="Arial" w:eastAsia="Arial" w:hAnsi="Arial"/>
          <w:sz w:val="20"/>
          <w:szCs w:val="20"/>
          <w:u w:val="single" w:color="auto"/>
          <w:color w:val="auto"/>
        </w:rPr>
        <w:t>Section 10.06(b)</w:t>
      </w:r>
      <w:r>
        <w:rPr>
          <w:rFonts w:ascii="Arial" w:cs="Arial" w:eastAsia="Arial" w:hAnsi="Arial"/>
          <w:sz w:val="20"/>
          <w:szCs w:val="20"/>
          <w:color w:val="auto"/>
        </w:rPr>
        <w: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Committed Amount</w:t>
      </w:r>
      <w:r>
        <w:rPr>
          <w:rFonts w:ascii="Arial" w:cs="Arial" w:eastAsia="Arial" w:hAnsi="Arial"/>
          <w:sz w:val="20"/>
          <w:szCs w:val="20"/>
          <w:color w:val="auto"/>
        </w:rPr>
        <w:t>” means $750,000,000.</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Credit Exposure</w:t>
      </w:r>
      <w:r>
        <w:rPr>
          <w:rFonts w:ascii="Arial" w:cs="Arial" w:eastAsia="Arial" w:hAnsi="Arial"/>
          <w:sz w:val="18"/>
          <w:szCs w:val="18"/>
          <w:color w:val="auto"/>
        </w:rPr>
        <w:t>” means, as applied to each Lender and with respect to each Class of its Commitments and/or Loans: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52" w:name="page253"/>
    <w:bookmarkEnd w:id="252"/>
    <w:p>
      <w:pPr>
        <w:ind w:left="660" w:right="20" w:firstLine="645"/>
        <w:spacing w:after="0" w:line="273" w:lineRule="auto"/>
        <w:tabs>
          <w:tab w:leader="none" w:pos="2143" w:val="left"/>
        </w:tabs>
        <w:numPr>
          <w:ilvl w:val="0"/>
          <w:numId w:val="164"/>
        </w:numPr>
        <w:rPr>
          <w:rFonts w:ascii="Arial" w:cs="Arial" w:eastAsia="Arial" w:hAnsi="Arial"/>
          <w:sz w:val="20"/>
          <w:szCs w:val="20"/>
          <w:color w:val="auto"/>
        </w:rPr>
      </w:pPr>
      <w:r>
        <w:rPr>
          <w:rFonts w:ascii="Arial" w:cs="Arial" w:eastAsia="Arial" w:hAnsi="Arial"/>
          <w:sz w:val="20"/>
          <w:szCs w:val="20"/>
          <w:color w:val="auto"/>
        </w:rPr>
        <w:t>at any time prior to the termination of the Commitments of the Lenders in respect of such Class, the sum, as applicable, of (A) the Term Commitment Percentage of such Lender multiplied by the Term Committed Amount of such Class plus (B) the Other Term Commitment Percentage of the relevant Class of such Lender multiplied by the total Other Term Commitments of such Class plus (C) the Incremental Term Loan Commitment Percentage of the relevant Class of such Lender multiplied by the total Incremental Term Loan Commitments of such Class; and</w:t>
      </w:r>
    </w:p>
    <w:p>
      <w:pPr>
        <w:spacing w:after="0" w:line="150" w:lineRule="exact"/>
        <w:rPr>
          <w:rFonts w:ascii="Arial" w:cs="Arial" w:eastAsia="Arial" w:hAnsi="Arial"/>
          <w:sz w:val="20"/>
          <w:szCs w:val="20"/>
          <w:color w:val="auto"/>
        </w:rPr>
      </w:pPr>
    </w:p>
    <w:p>
      <w:pPr>
        <w:ind w:left="660" w:right="860" w:firstLine="645"/>
        <w:spacing w:after="0" w:line="289" w:lineRule="auto"/>
        <w:tabs>
          <w:tab w:leader="none" w:pos="2198" w:val="left"/>
        </w:tabs>
        <w:numPr>
          <w:ilvl w:val="0"/>
          <w:numId w:val="164"/>
        </w:numPr>
        <w:rPr>
          <w:rFonts w:ascii="Arial" w:cs="Arial" w:eastAsia="Arial" w:hAnsi="Arial"/>
          <w:sz w:val="20"/>
          <w:szCs w:val="20"/>
          <w:color w:val="auto"/>
        </w:rPr>
      </w:pPr>
      <w:r>
        <w:rPr>
          <w:rFonts w:ascii="Arial" w:cs="Arial" w:eastAsia="Arial" w:hAnsi="Arial"/>
          <w:sz w:val="20"/>
          <w:szCs w:val="20"/>
          <w:color w:val="auto"/>
        </w:rPr>
        <w:t>at any time after the termination of the Commitments of the Lenders in respect of such Class, the sum, as applicable, of the principal balance of the outstanding Loans of such Lender of such Class.</w:t>
      </w:r>
    </w:p>
    <w:p>
      <w:pPr>
        <w:spacing w:after="0" w:line="121" w:lineRule="exact"/>
        <w:rPr>
          <w:sz w:val="20"/>
          <w:szCs w:val="20"/>
          <w:color w:val="auto"/>
        </w:rPr>
      </w:pPr>
    </w:p>
    <w:p>
      <w:pPr>
        <w:ind w:right="3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Lender</w:t>
      </w:r>
      <w:r>
        <w:rPr>
          <w:rFonts w:ascii="Arial" w:cs="Arial" w:eastAsia="Arial" w:hAnsi="Arial"/>
          <w:sz w:val="20"/>
          <w:szCs w:val="20"/>
          <w:color w:val="auto"/>
        </w:rPr>
        <w:t xml:space="preserve">” means each Lender identified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as having a Term Commitment and each Eligible Assignee which acquires a Term Loan pursuant to </w:t>
      </w:r>
      <w:r>
        <w:rPr>
          <w:rFonts w:ascii="Arial" w:cs="Arial" w:eastAsia="Arial" w:hAnsi="Arial"/>
          <w:sz w:val="20"/>
          <w:szCs w:val="20"/>
          <w:u w:val="single" w:color="auto"/>
          <w:color w:val="auto"/>
        </w:rPr>
        <w:t>Section 10.06(b)</w:t>
      </w:r>
      <w:r>
        <w:rPr>
          <w:rFonts w:ascii="Arial" w:cs="Arial" w:eastAsia="Arial" w:hAnsi="Arial"/>
          <w:sz w:val="20"/>
          <w:szCs w:val="20"/>
          <w:color w:val="auto"/>
        </w:rPr>
        <w:t xml:space="preserve"> and their respective permitted successors.</w:t>
      </w:r>
    </w:p>
    <w:p>
      <w:pPr>
        <w:spacing w:after="0" w:line="177"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Maturity Date</w:t>
      </w:r>
      <w:r>
        <w:rPr>
          <w:rFonts w:ascii="Arial" w:cs="Arial" w:eastAsia="Arial" w:hAnsi="Arial"/>
          <w:sz w:val="20"/>
          <w:szCs w:val="20"/>
          <w:color w:val="auto"/>
        </w:rPr>
        <w:t xml:space="preserve">” means the fifth anniversary of the </w:t>
      </w:r>
      <w:r>
        <w:rPr>
          <w:rFonts w:ascii="Arial" w:cs="Arial" w:eastAsia="Arial" w:hAnsi="Arial"/>
          <w:sz w:val="20"/>
          <w:szCs w:val="20"/>
          <w:color w:val="FF0000"/>
          <w:strike w:val="1"/>
        </w:rPr>
        <w:t>Closing</w:t>
      </w:r>
      <w:r>
        <w:rPr>
          <w:rFonts w:ascii="Arial" w:cs="Arial" w:eastAsia="Arial" w:hAnsi="Arial"/>
          <w:sz w:val="20"/>
          <w:szCs w:val="20"/>
          <w:u w:val="single" w:color="auto"/>
          <w:color w:val="0000FF"/>
        </w:rPr>
        <w:t>Amendment No. 1 Effective</w:t>
      </w:r>
      <w:r>
        <w:rPr>
          <w:rFonts w:ascii="Arial" w:cs="Arial" w:eastAsia="Arial" w:hAnsi="Arial"/>
          <w:sz w:val="20"/>
          <w:szCs w:val="20"/>
          <w:color w:val="auto"/>
        </w:rPr>
        <w:t xml:space="preserve"> Date (or if such day is not a Business Day, the next preceding Business Day).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Loans</w:t>
      </w:r>
      <w:r>
        <w:rPr>
          <w:rFonts w:ascii="Arial" w:cs="Arial" w:eastAsia="Arial" w:hAnsi="Arial"/>
          <w:sz w:val="19"/>
          <w:szCs w:val="19"/>
          <w:color w:val="auto"/>
        </w:rPr>
        <w:t>” means the term loans made by the Term Lenders to the Lead Borrower pursuant to Section 2.01(b).</w:t>
      </w:r>
    </w:p>
    <w:p>
      <w:pPr>
        <w:spacing w:after="0" w:line="227" w:lineRule="exact"/>
        <w:rPr>
          <w:sz w:val="20"/>
          <w:szCs w:val="20"/>
          <w:color w:val="auto"/>
        </w:rPr>
      </w:pPr>
    </w:p>
    <w:p>
      <w:pPr>
        <w:jc w:val="both"/>
        <w:ind w:right="20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Note</w:t>
      </w:r>
      <w:r>
        <w:rPr>
          <w:rFonts w:ascii="Arial" w:cs="Arial" w:eastAsia="Arial" w:hAnsi="Arial"/>
          <w:sz w:val="19"/>
          <w:szCs w:val="19"/>
          <w:color w:val="auto"/>
        </w:rPr>
        <w:t xml:space="preserve">” means a promissory note, substantially in the form of </w:t>
      </w:r>
      <w:r>
        <w:rPr>
          <w:rFonts w:ascii="Arial" w:cs="Arial" w:eastAsia="Arial" w:hAnsi="Arial"/>
          <w:sz w:val="19"/>
          <w:szCs w:val="19"/>
          <w:u w:val="single" w:color="auto"/>
          <w:color w:val="auto"/>
        </w:rPr>
        <w:t>Exhibit B-2</w:t>
      </w:r>
      <w:r>
        <w:rPr>
          <w:rFonts w:ascii="Arial" w:cs="Arial" w:eastAsia="Arial" w:hAnsi="Arial"/>
          <w:sz w:val="19"/>
          <w:szCs w:val="19"/>
          <w:color w:val="auto"/>
        </w:rPr>
        <w:t xml:space="preserve"> hereto, evidencing the obligation of the Lead Borrower to repay outstanding Term Loans, as such note may be amended, modified or supplemented from time to time.</w:t>
      </w:r>
    </w:p>
    <w:p>
      <w:pPr>
        <w:spacing w:after="0" w:line="153" w:lineRule="exact"/>
        <w:rPr>
          <w:sz w:val="20"/>
          <w:szCs w:val="20"/>
          <w:color w:val="auto"/>
        </w:rPr>
      </w:pPr>
    </w:p>
    <w:p>
      <w:pPr>
        <w:jc w:val="both"/>
        <w:ind w:right="20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Test Period</w:t>
      </w:r>
      <w:r>
        <w:rPr>
          <w:rFonts w:ascii="Arial" w:cs="Arial" w:eastAsia="Arial" w:hAnsi="Arial"/>
          <w:sz w:val="20"/>
          <w:szCs w:val="20"/>
          <w:color w:val="auto"/>
        </w:rPr>
        <w:t xml:space="preserve">” means, at any date of determination, the period of four consecutive fiscal quarters of Parent then last ended for which financial statements have been delivered or were required to have been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6.01(b)</w:t>
      </w:r>
      <w:r>
        <w:rPr>
          <w:rFonts w:ascii="Arial" w:cs="Arial" w:eastAsia="Arial" w:hAnsi="Arial"/>
          <w:sz w:val="20"/>
          <w:szCs w:val="20"/>
          <w:color w:val="auto"/>
        </w:rPr>
        <w:t xml:space="preserve"> or, prior to the first such requirement, the four quarter period ended March 31, 2015.</w:t>
      </w:r>
    </w:p>
    <w:p>
      <w:pPr>
        <w:spacing w:after="0" w:line="186" w:lineRule="exact"/>
        <w:rPr>
          <w:sz w:val="20"/>
          <w:szCs w:val="20"/>
          <w:color w:val="auto"/>
        </w:rPr>
      </w:pPr>
    </w:p>
    <w:p>
      <w:pPr>
        <w:ind w:right="18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Leverage Ratio</w:t>
      </w:r>
      <w:r>
        <w:rPr>
          <w:rFonts w:ascii="Arial" w:cs="Arial" w:eastAsia="Arial" w:hAnsi="Arial"/>
          <w:sz w:val="20"/>
          <w:szCs w:val="20"/>
          <w:color w:val="auto"/>
        </w:rPr>
        <w:t>” means, as of any date of determination, the ratio of (a)(i) Consolidated Total Indebtedness as of such date less (ii) the aggregate amount of Unrestricted Cash (not to exceed $250,000,000) at such time, which aggregate amount of Unrestricted Cash shall be determined without giving pro forma effect to the proceeds of Indebtedness incurred on such date to (b) Consolidated EBITDA for the most recently ended Test Period.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means the events contemplated by the Loan Documents and the Closing Date Refinancing.</w:t>
      </w:r>
    </w:p>
    <w:p>
      <w:pPr>
        <w:spacing w:after="0" w:line="216" w:lineRule="exact"/>
        <w:rPr>
          <w:sz w:val="20"/>
          <w:szCs w:val="20"/>
          <w:color w:val="auto"/>
        </w:rPr>
      </w:pPr>
    </w:p>
    <w:p>
      <w:pPr>
        <w:ind w:right="40"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Treaty Lender</w:t>
      </w:r>
      <w:r>
        <w:rPr>
          <w:rFonts w:ascii="Arial" w:cs="Arial" w:eastAsia="Arial" w:hAnsi="Arial"/>
          <w:sz w:val="19"/>
          <w:szCs w:val="19"/>
          <w:color w:val="auto"/>
        </w:rPr>
        <w:t>” means a Lender Party (other than a Lender falling within paragraph (d), (e), (f) or (g) of the definition of Irish Qualifying Lender) which is on the date any relevant payment is made entitled under a double taxation agreement (a “</w:t>
      </w:r>
      <w:r>
        <w:rPr>
          <w:rFonts w:ascii="Arial" w:cs="Arial" w:eastAsia="Arial" w:hAnsi="Arial"/>
          <w:sz w:val="19"/>
          <w:szCs w:val="19"/>
          <w:u w:val="single" w:color="auto"/>
          <w:color w:val="auto"/>
        </w:rPr>
        <w:t>Treaty</w:t>
      </w:r>
      <w:r>
        <w:rPr>
          <w:rFonts w:ascii="Arial" w:cs="Arial" w:eastAsia="Arial" w:hAnsi="Arial"/>
          <w:sz w:val="19"/>
          <w:szCs w:val="19"/>
          <w:color w:val="auto"/>
        </w:rPr>
        <w:t>”) in force on that date (subject to the completion of any procedural formalities other than any procedural formalities which relate specifically to the business or nature of the Person making the payment) to that payment without any Tax Deduction.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1.07</w:t>
      </w:r>
      <w:r>
        <w:rPr>
          <w:rFonts w:ascii="Arial" w:cs="Arial" w:eastAsia="Arial" w:hAnsi="Arial"/>
          <w:sz w:val="20"/>
          <w:szCs w:val="20"/>
          <w:color w:val="auto"/>
        </w:rPr>
        <w:t>.</w:t>
      </w:r>
    </w:p>
    <w:p>
      <w:pPr>
        <w:spacing w:after="0" w:line="216" w:lineRule="exact"/>
        <w:rPr>
          <w:sz w:val="20"/>
          <w:szCs w:val="20"/>
          <w:color w:val="auto"/>
        </w:rPr>
      </w:pPr>
    </w:p>
    <w:p>
      <w:pPr>
        <w:ind w:right="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of the State of New York or of any other state the Laws of which are required to be applied in connection with the perfection or priority of security interests in any collateral.</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80" w:right="279" w:bottom="1440" w:gutter="0" w:footer="0" w:header="0"/>
        </w:sectPr>
      </w:pPr>
    </w:p>
    <w:bookmarkStart w:id="253" w:name="page254"/>
    <w:bookmarkEnd w:id="253"/>
    <w:p>
      <w:pPr>
        <w:ind w:right="40"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Letter of Credit, the Uniform Customs and Practice for Documentary Credits, International Chamber of Commerce (“ICC”) Publication No. 600 (or such later version thereof as may be in effect at the time of issuance).</w:t>
      </w:r>
    </w:p>
    <w:p>
      <w:pPr>
        <w:spacing w:after="0" w:line="130" w:lineRule="exact"/>
        <w:rPr>
          <w:sz w:val="20"/>
          <w:szCs w:val="20"/>
          <w:color w:val="auto"/>
        </w:rPr>
      </w:pPr>
    </w:p>
    <w:p>
      <w:pPr>
        <w:ind w:right="40" w:firstLine="1297"/>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Liabilities</w:t>
      </w:r>
      <w:r>
        <w:rPr>
          <w:rFonts w:ascii="Arial" w:cs="Arial" w:eastAsia="Arial" w:hAnsi="Arial"/>
          <w:sz w:val="18"/>
          <w:szCs w:val="18"/>
          <w:color w:val="auto"/>
        </w:rPr>
        <w:t xml:space="preserve">” means, except as otherwise provided in </w:t>
      </w:r>
      <w:r>
        <w:rPr>
          <w:rFonts w:ascii="Arial" w:cs="Arial" w:eastAsia="Arial" w:hAnsi="Arial"/>
          <w:sz w:val="18"/>
          <w:szCs w:val="18"/>
          <w:u w:val="single" w:color="auto"/>
          <w:color w:val="auto"/>
        </w:rPr>
        <w:t>Section 5.11(a)(i)(B)</w:t>
      </w:r>
      <w:r>
        <w:rPr>
          <w:rFonts w:ascii="Arial" w:cs="Arial" w:eastAsia="Arial" w:hAnsi="Arial"/>
          <w:sz w:val="18"/>
          <w:szCs w:val="18"/>
          <w:color w:val="auto"/>
        </w:rPr>
        <w:t>, (i) with respect to each Plan, the amount (if any) by which the present value of all nonforfeitable benefits under each Plan exceeds the current value of such Plan’s assets allocable to such benefits, all determined in accordance with the respective most recent valuations for such Plan using applicable PBGC plan termination actuarial assumptions (the terms “present value” and “current value” shall have the same meanings specified in Section 3 of ERISA) and (ii) with respect to each Foreign Pension Plan, the amount (if any) by which the present value of all nonforfeitable benefits under each Foreign Pension Plan exceeds the current value of such Foreign Pension Plan’s assets allocable to such benefits, all determined in accordance with the respective most recent valuations for such Plan using the most recent actuarial assumptions and methods being used by the Foreign Pension Plan’s actuaries for financial reporting under applicable accounting and reporting standards.</w:t>
      </w:r>
    </w:p>
    <w:p>
      <w:pPr>
        <w:spacing w:after="0" w:line="169" w:lineRule="exact"/>
        <w:rPr>
          <w:sz w:val="20"/>
          <w:szCs w:val="20"/>
          <w:color w:val="auto"/>
        </w:rPr>
      </w:pPr>
    </w:p>
    <w:p>
      <w:pPr>
        <w:ind w:right="1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means the United States of America, including each of the States and the District of Columbia, but excluding its territories and possessions.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 Person</w:t>
      </w:r>
      <w:r>
        <w:rPr>
          <w:rFonts w:ascii="Arial" w:cs="Arial" w:eastAsia="Arial" w:hAnsi="Arial"/>
          <w:sz w:val="20"/>
          <w:szCs w:val="20"/>
          <w:color w:val="auto"/>
        </w:rPr>
        <w:t>” means a “United States person” as defined in Section 7701(a)(30) of the Code.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2.05(e)(iv)</w:t>
      </w:r>
      <w:r>
        <w:rPr>
          <w:rFonts w:ascii="Arial" w:cs="Arial" w:eastAsia="Arial" w:hAnsi="Arial"/>
          <w:sz w:val="20"/>
          <w:szCs w:val="20"/>
          <w:color w:val="auto"/>
        </w:rPr>
        <w:t>.</w:t>
      </w:r>
    </w:p>
    <w:p>
      <w:pPr>
        <w:spacing w:after="0" w:line="216" w:lineRule="exact"/>
        <w:rPr>
          <w:sz w:val="20"/>
          <w:szCs w:val="20"/>
          <w:color w:val="auto"/>
        </w:rPr>
      </w:pPr>
    </w:p>
    <w:p>
      <w:pPr>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Cash</w:t>
      </w:r>
      <w:r>
        <w:rPr>
          <w:rFonts w:ascii="Arial" w:cs="Arial" w:eastAsia="Arial" w:hAnsi="Arial"/>
          <w:sz w:val="20"/>
          <w:szCs w:val="20"/>
          <w:color w:val="auto"/>
        </w:rPr>
        <w:t>” means cash or Permitted Investments of Parent or any of its Restricted Subsidiaries that would not appear as “restricted” on a consolidated balance sheet of Parent or any of its Restricted Subsidiaries.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Margin Stock</w:t>
      </w:r>
      <w:r>
        <w:rPr>
          <w:rFonts w:ascii="Arial" w:cs="Arial" w:eastAsia="Arial" w:hAnsi="Arial"/>
          <w:sz w:val="18"/>
          <w:szCs w:val="18"/>
          <w:color w:val="auto"/>
        </w:rPr>
        <w:t>” shall mean any Margin Stock owned by Parent or any Restricted Subsidiary that is not Restricted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Margin Stock.</w:t>
      </w:r>
    </w:p>
    <w:p>
      <w:pPr>
        <w:spacing w:after="0" w:line="200" w:lineRule="exact"/>
        <w:rPr>
          <w:sz w:val="20"/>
          <w:szCs w:val="20"/>
          <w:color w:val="auto"/>
        </w:rPr>
      </w:pPr>
    </w:p>
    <w:p>
      <w:pPr>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Subsidiary</w:t>
      </w:r>
      <w:r>
        <w:rPr>
          <w:rFonts w:ascii="Arial" w:cs="Arial" w:eastAsia="Arial" w:hAnsi="Arial"/>
          <w:sz w:val="20"/>
          <w:szCs w:val="20"/>
          <w:color w:val="auto"/>
        </w:rPr>
        <w:t xml:space="preserve">” means (i) OML and (ii) any Subsidiary designated by Parent as an Unrestricted Subsidiary pursuant to </w:t>
      </w:r>
      <w:r>
        <w:rPr>
          <w:rFonts w:ascii="Arial" w:cs="Arial" w:eastAsia="Arial" w:hAnsi="Arial"/>
          <w:sz w:val="20"/>
          <w:szCs w:val="20"/>
          <w:u w:val="single" w:color="auto"/>
          <w:color w:val="auto"/>
        </w:rPr>
        <w:t>Section 6.10</w:t>
      </w:r>
      <w:r>
        <w:rPr>
          <w:rFonts w:ascii="Arial" w:cs="Arial" w:eastAsia="Arial" w:hAnsi="Arial"/>
          <w:sz w:val="20"/>
          <w:szCs w:val="20"/>
          <w:color w:val="auto"/>
        </w:rPr>
        <w:t xml:space="preserve"> subsequent to the Closing Date.</w:t>
      </w:r>
    </w:p>
    <w:p>
      <w:pPr>
        <w:spacing w:after="0" w:line="177" w:lineRule="exact"/>
        <w:rPr>
          <w:sz w:val="20"/>
          <w:szCs w:val="20"/>
          <w:color w:val="auto"/>
        </w:rPr>
      </w:pPr>
    </w:p>
    <w:p>
      <w:pPr>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Unused Revolving Committed Amount</w:t>
      </w:r>
      <w:r>
        <w:rPr>
          <w:rFonts w:ascii="Arial" w:cs="Arial" w:eastAsia="Arial" w:hAnsi="Arial"/>
          <w:sz w:val="20"/>
          <w:szCs w:val="20"/>
          <w:color w:val="auto"/>
        </w:rPr>
        <w:t>” means, for any period, the amount by which (i) the then applicable Revolving Committed Amount exceeds (ii) the daily average sum for such period of (A) the aggregate principal amount of all outstanding Revolving Loans plus (B) the aggregate amount of all outstanding L/C Obligations. For the avoidance of doubt, no deduction shall be made on account of outstanding Swing Line Loans in calculating the Unused Revolving Committed Amount.</w:t>
      </w:r>
    </w:p>
    <w:p>
      <w:pPr>
        <w:spacing w:after="0" w:line="192" w:lineRule="exact"/>
        <w:rPr>
          <w:sz w:val="20"/>
          <w:szCs w:val="20"/>
          <w:color w:val="auto"/>
        </w:rPr>
      </w:pPr>
    </w:p>
    <w:p>
      <w:pPr>
        <w:jc w:val="both"/>
        <w:ind w:right="14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Upfront Payments</w:t>
      </w:r>
      <w:r>
        <w:rPr>
          <w:rFonts w:ascii="Arial" w:cs="Arial" w:eastAsia="Arial" w:hAnsi="Arial"/>
          <w:sz w:val="20"/>
          <w:szCs w:val="20"/>
          <w:color w:val="auto"/>
        </w:rPr>
        <w:t>” means any upfront or similar payments made during the period of twelve months ending on the Closing Date or arising thereafter in connection with any drug or pharmaceutical product research and development or collaboration arrangements or the closing of any Drug Acquisition.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USAO Settlement Obligations</w:t>
      </w:r>
      <w:r>
        <w:rPr>
          <w:rFonts w:ascii="Arial" w:cs="Arial" w:eastAsia="Arial" w:hAnsi="Arial"/>
          <w:sz w:val="19"/>
          <w:szCs w:val="19"/>
          <w:color w:val="auto"/>
        </w:rPr>
        <w:t>” means obligations of OML and the U.S. Borrower arising under the OML Settlement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Borrower</w:t>
      </w:r>
      <w:r>
        <w:rPr>
          <w:rFonts w:ascii="Arial" w:cs="Arial" w:eastAsia="Arial" w:hAnsi="Arial"/>
          <w:sz w:val="20"/>
          <w:szCs w:val="20"/>
          <w:color w:val="auto"/>
        </w:rPr>
        <w:t>” has the meaning specified in the preamble.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366" w:right="339" w:bottom="1440" w:gutter="0" w:footer="0" w:header="0"/>
        </w:sectPr>
      </w:pPr>
    </w:p>
    <w:bookmarkStart w:id="254" w:name="page255"/>
    <w:bookmarkEnd w:id="254"/>
    <w:p>
      <w:pPr>
        <w:ind w:right="2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Security Agreement</w:t>
      </w:r>
      <w:r>
        <w:rPr>
          <w:rFonts w:ascii="Arial" w:cs="Arial" w:eastAsia="Arial" w:hAnsi="Arial"/>
          <w:sz w:val="20"/>
          <w:szCs w:val="20"/>
          <w:color w:val="auto"/>
        </w:rPr>
        <w:t xml:space="preserve">” means the Security Agreement, substantially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hereto, dated as of the Closing Date among the U.S. Borrower, the Domestic Guarantors, the Foreign Guarantors party thereto and the Collateral Agent, as the same may be amended, modified or supplemented from time to time.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VAT</w:t>
      </w:r>
      <w:r>
        <w:rPr>
          <w:rFonts w:ascii="Arial" w:cs="Arial" w:eastAsia="Arial" w:hAnsi="Arial"/>
          <w:sz w:val="20"/>
          <w:szCs w:val="20"/>
          <w:color w:val="auto"/>
        </w:rPr>
        <w:t>” means:</w:t>
      </w:r>
    </w:p>
    <w:p>
      <w:pPr>
        <w:spacing w:after="0" w:line="229" w:lineRule="exact"/>
        <w:rPr>
          <w:sz w:val="20"/>
          <w:szCs w:val="20"/>
          <w:color w:val="auto"/>
        </w:rPr>
      </w:pPr>
    </w:p>
    <w:p>
      <w:pPr>
        <w:ind w:left="2180" w:hanging="875"/>
        <w:spacing w:after="0"/>
        <w:tabs>
          <w:tab w:leader="none" w:pos="218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value added tax as provided for in the Value-Added Tax Consolidation Act 2010 of Ireland;</w:t>
      </w:r>
    </w:p>
    <w:p>
      <w:pPr>
        <w:spacing w:after="0" w:line="242" w:lineRule="exact"/>
        <w:rPr>
          <w:rFonts w:ascii="Arial" w:cs="Arial" w:eastAsia="Arial" w:hAnsi="Arial"/>
          <w:sz w:val="20"/>
          <w:szCs w:val="20"/>
          <w:color w:val="auto"/>
        </w:rPr>
      </w:pPr>
    </w:p>
    <w:p>
      <w:pPr>
        <w:ind w:left="660" w:right="260" w:firstLine="645"/>
        <w:spacing w:after="0" w:line="289" w:lineRule="auto"/>
        <w:tabs>
          <w:tab w:leader="none" w:pos="2187"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any tax imposed in compliance with the Council Directive of 28 November 2006 on the common system of value added tax (EC Directive 2006/112); and</w:t>
      </w:r>
    </w:p>
    <w:p>
      <w:pPr>
        <w:spacing w:after="0" w:line="175" w:lineRule="exact"/>
        <w:rPr>
          <w:rFonts w:ascii="Arial" w:cs="Arial" w:eastAsia="Arial" w:hAnsi="Arial"/>
          <w:sz w:val="20"/>
          <w:szCs w:val="20"/>
          <w:color w:val="auto"/>
        </w:rPr>
      </w:pPr>
    </w:p>
    <w:p>
      <w:pPr>
        <w:ind w:left="660" w:right="240" w:firstLine="645"/>
        <w:spacing w:after="0" w:line="289" w:lineRule="auto"/>
        <w:tabs>
          <w:tab w:leader="none" w:pos="2176"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any other tax of a similar nature, whether imposed in a member state of the European Union in substitution for, or levied in addition to, such tax referred to in paragraphs (a) and (b) above, or imposed elsewhere.</w:t>
      </w:r>
    </w:p>
    <w:p>
      <w:pPr>
        <w:spacing w:after="0" w:line="162" w:lineRule="exact"/>
        <w:rPr>
          <w:sz w:val="20"/>
          <w:szCs w:val="20"/>
          <w:color w:val="auto"/>
        </w:rPr>
      </w:pPr>
    </w:p>
    <w:p>
      <w:pPr>
        <w:ind w:right="180"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Weighted Average Life to Maturity</w:t>
      </w:r>
      <w:r>
        <w:rPr>
          <w:rFonts w:ascii="Arial" w:cs="Arial" w:eastAsia="Arial" w:hAnsi="Arial"/>
          <w:sz w:val="20"/>
          <w:szCs w:val="20"/>
          <w:color w:val="auto"/>
        </w:rPr>
        <w:t>”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Welfare Plan</w:t>
      </w:r>
      <w:r>
        <w:rPr>
          <w:rFonts w:ascii="Arial" w:cs="Arial" w:eastAsia="Arial" w:hAnsi="Arial"/>
          <w:sz w:val="20"/>
          <w:szCs w:val="20"/>
          <w:color w:val="auto"/>
        </w:rPr>
        <w:t>” means a “welfare plan” as such term is defined in Section 3(1) of ERISA.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WIPO</w:t>
      </w:r>
      <w:r>
        <w:rPr>
          <w:rFonts w:ascii="Arial" w:cs="Arial" w:eastAsia="Arial" w:hAnsi="Arial"/>
          <w:sz w:val="20"/>
          <w:szCs w:val="20"/>
          <w:color w:val="auto"/>
        </w:rPr>
        <w:t>” means the International Bureau of the World Intellectual Property Organization.</w:t>
      </w:r>
    </w:p>
    <w:p>
      <w:pPr>
        <w:spacing w:after="0" w:line="216"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w:t>
      </w:r>
      <w:r>
        <w:rPr>
          <w:rFonts w:ascii="Arial" w:cs="Arial" w:eastAsia="Arial" w:hAnsi="Arial"/>
          <w:sz w:val="19"/>
          <w:szCs w:val="19"/>
          <w:color w:val="auto"/>
        </w:rPr>
        <w:t>” means, with respect to any Subsidiary of any Person at any date, that all of the shares of capital stock or other ownership interests of such Subsidiary (except Nominal Shares) are at the time directly or indirectly owned by such Person.</w:t>
      </w:r>
    </w:p>
    <w:p>
      <w:pPr>
        <w:spacing w:after="0" w:line="153" w:lineRule="exact"/>
        <w:rPr>
          <w:sz w:val="20"/>
          <w:szCs w:val="20"/>
          <w:color w:val="auto"/>
        </w:rPr>
      </w:pPr>
    </w:p>
    <w:p>
      <w:pPr>
        <w:ind w:right="160" w:firstLine="1297"/>
        <w:spacing w:after="0" w:line="250" w:lineRule="auto"/>
        <w:rPr>
          <w:sz w:val="20"/>
          <w:szCs w:val="20"/>
          <w:color w:val="auto"/>
        </w:rPr>
      </w:pPr>
      <w:r>
        <w:rPr>
          <w:rFonts w:ascii="Arial" w:cs="Arial" w:eastAsia="Arial" w:hAnsi="Arial"/>
          <w:sz w:val="20"/>
          <w:szCs w:val="20"/>
          <w:u w:val="single" w:color="auto"/>
          <w:color w:val="0000FF"/>
        </w:rPr>
        <w:t>“Write-Down and Conversion Powers”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34" w:lineRule="exact"/>
        <w:rPr>
          <w:sz w:val="20"/>
          <w:szCs w:val="20"/>
          <w:color w:val="auto"/>
        </w:rPr>
      </w:pPr>
    </w:p>
    <w:p>
      <w:pPr>
        <w:ind w:right="580" w:firstLine="1297"/>
        <w:spacing w:after="0" w:line="267" w:lineRule="auto"/>
        <w:rPr>
          <w:sz w:val="20"/>
          <w:szCs w:val="20"/>
          <w:color w:val="auto"/>
        </w:rPr>
      </w:pPr>
      <w:r>
        <w:rPr>
          <w:rFonts w:ascii="Arial" w:cs="Arial" w:eastAsia="Arial" w:hAnsi="Arial"/>
          <w:sz w:val="20"/>
          <w:szCs w:val="20"/>
          <w:b w:val="1"/>
          <w:bCs w:val="1"/>
          <w:color w:val="auto"/>
        </w:rPr>
        <w:t xml:space="preserve">Section 1.02 </w:t>
      </w:r>
      <w:r>
        <w:rPr>
          <w:rFonts w:ascii="Arial" w:cs="Arial" w:eastAsia="Arial" w:hAnsi="Arial"/>
          <w:sz w:val="20"/>
          <w:szCs w:val="20"/>
          <w:u w:val="single" w:color="auto"/>
          <w:color w:val="auto"/>
        </w:rPr>
        <w:t>Other Interpretative Provisions</w:t>
      </w:r>
      <w:r>
        <w:rPr>
          <w:rFonts w:ascii="Arial" w:cs="Arial" w:eastAsia="Arial" w:hAnsi="Arial"/>
          <w:sz w:val="20"/>
          <w:szCs w:val="20"/>
          <w:color w:val="auto"/>
        </w:rPr>
        <w:t>. With reference to this Agreement and each other Loan Document, unless</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specified herein or in such other Loan Document:</w:t>
      </w:r>
    </w:p>
    <w:p>
      <w:pPr>
        <w:spacing w:after="0" w:line="75" w:lineRule="exact"/>
        <w:rPr>
          <w:sz w:val="20"/>
          <w:szCs w:val="20"/>
          <w:color w:val="auto"/>
        </w:rPr>
      </w:pPr>
    </w:p>
    <w:p>
      <w:pPr>
        <w:ind w:left="660" w:right="160" w:firstLine="645"/>
        <w:spacing w:after="0" w:line="305" w:lineRule="auto"/>
        <w:tabs>
          <w:tab w:leader="none" w:pos="217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includes</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shall be deemed to be followed by the phrase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The word “</w:t>
      </w:r>
      <w:r>
        <w:rPr>
          <w:rFonts w:ascii="Arial" w:cs="Arial" w:eastAsia="Arial" w:hAnsi="Arial"/>
          <w:sz w:val="18"/>
          <w:szCs w:val="18"/>
          <w:u w:val="single" w:color="auto"/>
          <w:color w:val="auto"/>
        </w:rPr>
        <w:t>will</w:t>
      </w:r>
      <w:r>
        <w:rPr>
          <w:rFonts w:ascii="Arial" w:cs="Arial" w:eastAsia="Arial" w:hAnsi="Arial"/>
          <w:sz w:val="18"/>
          <w:szCs w:val="18"/>
          <w:color w:val="auto"/>
        </w:rPr>
        <w:t>” shall be construed to have the same meaning and effect as the word “</w:t>
      </w:r>
      <w:r>
        <w:rPr>
          <w:rFonts w:ascii="Arial" w:cs="Arial" w:eastAsia="Arial" w:hAnsi="Arial"/>
          <w:sz w:val="18"/>
          <w:szCs w:val="18"/>
          <w:u w:val="single" w:color="auto"/>
          <w:color w:val="auto"/>
        </w:rPr>
        <w:t>shall</w:t>
      </w:r>
      <w:r>
        <w:rPr>
          <w:rFonts w:ascii="Arial" w:cs="Arial" w:eastAsia="Arial" w:hAnsi="Arial"/>
          <w:sz w:val="18"/>
          <w:szCs w:val="18"/>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5620" w:hanging="120"/>
        <w:spacing w:after="0"/>
        <w:tabs>
          <w:tab w:leader="none" w:pos="5620" w:val="left"/>
        </w:tabs>
        <w:numPr>
          <w:ilvl w:val="1"/>
          <w:numId w:val="166"/>
        </w:numPr>
        <w:rPr>
          <w:rFonts w:ascii="Arial" w:cs="Arial" w:eastAsia="Arial" w:hAnsi="Arial"/>
          <w:sz w:val="20"/>
          <w:szCs w:val="20"/>
          <w:color w:val="auto"/>
        </w:rPr>
      </w:pPr>
      <w:r>
        <w:rPr>
          <w:rFonts w:ascii="Arial" w:cs="Arial" w:eastAsia="Arial" w:hAnsi="Arial"/>
          <w:sz w:val="20"/>
          <w:szCs w:val="20"/>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55" w:name="page256"/>
    <w:bookmarkEnd w:id="255"/>
    <w:p>
      <w:pPr>
        <w:ind w:right="20"/>
        <w:spacing w:after="0" w:line="273" w:lineRule="auto"/>
        <w:rPr>
          <w:sz w:val="20"/>
          <w:szCs w:val="20"/>
          <w:color w:val="auto"/>
        </w:rPr>
      </w:pPr>
      <w:r>
        <w:rPr>
          <w:rFonts w:ascii="Arial" w:cs="Arial" w:eastAsia="Arial" w:hAnsi="Arial"/>
          <w:sz w:val="18"/>
          <w:szCs w:val="18"/>
          <w:color w:val="auto"/>
        </w:rPr>
        <w:t>Person shall be construed to include such Person’s successors and assigns, (iii) the words “</w:t>
      </w:r>
      <w:r>
        <w:rPr>
          <w:rFonts w:ascii="Arial" w:cs="Arial" w:eastAsia="Arial" w:hAnsi="Arial"/>
          <w:sz w:val="18"/>
          <w:szCs w:val="18"/>
          <w:u w:val="single" w:color="auto"/>
          <w:color w:val="auto"/>
        </w:rPr>
        <w:t>herein</w:t>
      </w:r>
      <w:r>
        <w:rPr>
          <w:rFonts w:ascii="Arial" w:cs="Arial" w:eastAsia="Arial" w:hAnsi="Arial"/>
          <w:sz w:val="18"/>
          <w:szCs w:val="18"/>
          <w:color w:val="auto"/>
        </w:rPr>
        <w:t>,” “</w:t>
      </w:r>
      <w:r>
        <w:rPr>
          <w:rFonts w:ascii="Arial" w:cs="Arial" w:eastAsia="Arial" w:hAnsi="Arial"/>
          <w:sz w:val="18"/>
          <w:szCs w:val="18"/>
          <w:u w:val="single" w:color="auto"/>
          <w:color w:val="auto"/>
        </w:rPr>
        <w:t>hereof</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shall be construed to have the same meaning and effect and to refer to any and all tangible and intangible assets and properties, including cash, securities, accounts and contract rights.</w:t>
      </w:r>
    </w:p>
    <w:p>
      <w:pPr>
        <w:spacing w:after="0" w:line="142" w:lineRule="exact"/>
        <w:rPr>
          <w:sz w:val="20"/>
          <w:szCs w:val="20"/>
          <w:color w:val="auto"/>
        </w:rPr>
      </w:pPr>
    </w:p>
    <w:p>
      <w:pPr>
        <w:ind w:right="200" w:firstLine="645"/>
        <w:spacing w:after="0" w:line="316" w:lineRule="auto"/>
        <w:tabs>
          <w:tab w:leader="none" w:pos="1527" w:val="left"/>
        </w:tabs>
        <w:numPr>
          <w:ilvl w:val="0"/>
          <w:numId w:val="167"/>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w:t>
      </w:r>
      <w:r>
        <w:rPr>
          <w:rFonts w:ascii="Arial" w:cs="Arial" w:eastAsia="Arial" w:hAnsi="Arial"/>
          <w:sz w:val="19"/>
          <w:szCs w:val="19"/>
          <w:u w:val="single" w:color="auto"/>
          <w:color w:val="auto"/>
        </w:rPr>
        <w:t>from</w:t>
      </w:r>
      <w:r>
        <w:rPr>
          <w:rFonts w:ascii="Arial" w:cs="Arial" w:eastAsia="Arial" w:hAnsi="Arial"/>
          <w:sz w:val="19"/>
          <w:szCs w:val="19"/>
          <w:color w:val="auto"/>
        </w:rPr>
        <w:t>” means “</w:t>
      </w:r>
      <w:r>
        <w:rPr>
          <w:rFonts w:ascii="Arial" w:cs="Arial" w:eastAsia="Arial" w:hAnsi="Arial"/>
          <w:sz w:val="19"/>
          <w:szCs w:val="19"/>
          <w:u w:val="single" w:color="auto"/>
          <w:color w:val="auto"/>
        </w:rPr>
        <w:t>from</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 including</w:t>
      </w:r>
      <w:r>
        <w:rPr>
          <w:rFonts w:ascii="Arial" w:cs="Arial" w:eastAsia="Arial" w:hAnsi="Arial"/>
          <w:sz w:val="19"/>
          <w:szCs w:val="19"/>
          <w:color w:val="auto"/>
        </w:rPr>
        <w:t>,” the words “</w:t>
      </w:r>
      <w:r>
        <w:rPr>
          <w:rFonts w:ascii="Arial" w:cs="Arial" w:eastAsia="Arial" w:hAnsi="Arial"/>
          <w:sz w:val="19"/>
          <w:szCs w:val="19"/>
          <w:u w:val="single" w:color="auto"/>
          <w:color w:val="auto"/>
        </w:rPr>
        <w:t>to</w:t>
      </w:r>
      <w:r>
        <w:rPr>
          <w:rFonts w:ascii="Arial" w:cs="Arial" w:eastAsia="Arial" w:hAnsi="Arial"/>
          <w:sz w:val="19"/>
          <w:szCs w:val="19"/>
          <w:color w:val="auto"/>
        </w:rPr>
        <w:t>” and “</w:t>
      </w:r>
      <w:r>
        <w:rPr>
          <w:rFonts w:ascii="Arial" w:cs="Arial" w:eastAsia="Arial" w:hAnsi="Arial"/>
          <w:sz w:val="19"/>
          <w:szCs w:val="19"/>
          <w:u w:val="single" w:color="auto"/>
          <w:color w:val="auto"/>
        </w:rPr>
        <w:t>until</w:t>
      </w:r>
      <w:r>
        <w:rPr>
          <w:rFonts w:ascii="Arial" w:cs="Arial" w:eastAsia="Arial" w:hAnsi="Arial"/>
          <w:sz w:val="19"/>
          <w:szCs w:val="19"/>
          <w:color w:val="auto"/>
        </w:rPr>
        <w:t>” each mean “</w:t>
      </w:r>
      <w:r>
        <w:rPr>
          <w:rFonts w:ascii="Arial" w:cs="Arial" w:eastAsia="Arial" w:hAnsi="Arial"/>
          <w:sz w:val="19"/>
          <w:szCs w:val="19"/>
          <w:u w:val="single" w:color="auto"/>
          <w:color w:val="auto"/>
        </w:rPr>
        <w:t>to but excluding</w:t>
      </w:r>
      <w:r>
        <w:rPr>
          <w:rFonts w:ascii="Arial" w:cs="Arial" w:eastAsia="Arial" w:hAnsi="Arial"/>
          <w:sz w:val="19"/>
          <w:szCs w:val="19"/>
          <w:color w:val="auto"/>
        </w:rPr>
        <w:t>” and the word “</w:t>
      </w:r>
      <w:r>
        <w:rPr>
          <w:rFonts w:ascii="Arial" w:cs="Arial" w:eastAsia="Arial" w:hAnsi="Arial"/>
          <w:sz w:val="19"/>
          <w:szCs w:val="19"/>
          <w:u w:val="single" w:color="auto"/>
          <w:color w:val="auto"/>
        </w:rPr>
        <w:t>through</w:t>
      </w:r>
      <w:r>
        <w:rPr>
          <w:rFonts w:ascii="Arial" w:cs="Arial" w:eastAsia="Arial" w:hAnsi="Arial"/>
          <w:sz w:val="19"/>
          <w:szCs w:val="19"/>
          <w:color w:val="auto"/>
        </w:rPr>
        <w:t>” means “</w:t>
      </w:r>
      <w:r>
        <w:rPr>
          <w:rFonts w:ascii="Arial" w:cs="Arial" w:eastAsia="Arial" w:hAnsi="Arial"/>
          <w:sz w:val="19"/>
          <w:szCs w:val="19"/>
          <w:u w:val="single" w:color="auto"/>
          <w:color w:val="auto"/>
        </w:rPr>
        <w:t>to and including</w:t>
      </w:r>
      <w:r>
        <w:rPr>
          <w:rFonts w:ascii="Arial" w:cs="Arial" w:eastAsia="Arial" w:hAnsi="Arial"/>
          <w:sz w:val="19"/>
          <w:szCs w:val="19"/>
          <w:color w:val="auto"/>
        </w:rPr>
        <w:t>.”</w:t>
      </w:r>
    </w:p>
    <w:p>
      <w:pPr>
        <w:spacing w:after="0" w:line="113" w:lineRule="exact"/>
        <w:rPr>
          <w:rFonts w:ascii="Arial" w:cs="Arial" w:eastAsia="Arial" w:hAnsi="Arial"/>
          <w:sz w:val="19"/>
          <w:szCs w:val="19"/>
          <w:color w:val="auto"/>
        </w:rPr>
      </w:pPr>
    </w:p>
    <w:p>
      <w:pPr>
        <w:ind w:right="160" w:firstLine="645"/>
        <w:spacing w:after="0" w:line="289" w:lineRule="auto"/>
        <w:tabs>
          <w:tab w:leader="none" w:pos="1516" w:val="left"/>
        </w:tabs>
        <w:numPr>
          <w:ilvl w:val="0"/>
          <w:numId w:val="167"/>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331"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20"/>
          <w:szCs w:val="20"/>
          <w:b w:val="1"/>
          <w:bCs w:val="1"/>
          <w:color w:val="auto"/>
        </w:rPr>
        <w:t>Section 1.03</w:t>
      </w:r>
      <w:r>
        <w:rPr>
          <w:sz w:val="20"/>
          <w:szCs w:val="20"/>
          <w:color w:val="auto"/>
        </w:rPr>
        <w:tab/>
      </w:r>
      <w:r>
        <w:rPr>
          <w:rFonts w:ascii="Arial" w:cs="Arial" w:eastAsia="Arial" w:hAnsi="Arial"/>
          <w:sz w:val="18"/>
          <w:szCs w:val="18"/>
          <w:u w:val="single" w:color="auto"/>
          <w:color w:val="auto"/>
        </w:rPr>
        <w:t>Accounting Terms and Determinations</w:t>
      </w:r>
      <w:r>
        <w:rPr>
          <w:rFonts w:ascii="Arial" w:cs="Arial" w:eastAsia="Arial" w:hAnsi="Arial"/>
          <w:sz w:val="18"/>
          <w:szCs w:val="18"/>
          <w:color w:val="auto"/>
        </w:rPr>
        <w:t>.</w:t>
      </w:r>
    </w:p>
    <w:p>
      <w:pPr>
        <w:spacing w:after="0" w:line="195" w:lineRule="exact"/>
        <w:rPr>
          <w:sz w:val="20"/>
          <w:szCs w:val="20"/>
          <w:color w:val="auto"/>
        </w:rPr>
      </w:pPr>
    </w:p>
    <w:p>
      <w:pPr>
        <w:ind w:left="-660" w:right="40" w:firstLine="1305"/>
        <w:spacing w:after="0" w:line="274" w:lineRule="auto"/>
        <w:tabs>
          <w:tab w:leader="none" w:pos="1504" w:val="left"/>
        </w:tabs>
        <w:numPr>
          <w:ilvl w:val="0"/>
          <w:numId w:val="168"/>
        </w:numPr>
        <w:rPr>
          <w:rFonts w:ascii="Arial" w:cs="Arial" w:eastAsia="Arial" w:hAnsi="Arial"/>
          <w:sz w:val="20"/>
          <w:szCs w:val="20"/>
          <w:color w:val="auto"/>
        </w:rPr>
      </w:pPr>
      <w:r>
        <w:rPr>
          <w:rFonts w:ascii="Arial" w:cs="Arial" w:eastAsia="Arial" w:hAnsi="Arial"/>
          <w:sz w:val="20"/>
          <w:szCs w:val="20"/>
          <w:i w:val="1"/>
          <w:iCs w:val="1"/>
          <w:u w:val="single" w:color="auto"/>
          <w:color w:val="auto"/>
        </w:rPr>
        <w:t>Generally</w:t>
      </w:r>
      <w:r>
        <w:rPr>
          <w:rFonts w:ascii="Arial" w:cs="Arial" w:eastAsia="Arial" w:hAnsi="Arial"/>
          <w:sz w:val="20"/>
          <w:szCs w:val="20"/>
          <w:color w:val="auto"/>
        </w:rPr>
        <w:t>. All accounting terms not specifically or completely defined herein shall be construed in conformity with,</w:t>
      </w:r>
      <w:r>
        <w:rPr>
          <w:rFonts w:ascii="Arial" w:cs="Arial" w:eastAsia="Arial" w:hAnsi="Arial"/>
          <w:sz w:val="20"/>
          <w:szCs w:val="20"/>
          <w:i w:val="1"/>
          <w:iCs w:val="1"/>
          <w:color w:val="auto"/>
        </w:rPr>
        <w:t xml:space="preserve"> </w:t>
      </w:r>
      <w:r>
        <w:rPr>
          <w:rFonts w:ascii="Arial" w:cs="Arial" w:eastAsia="Arial" w:hAnsi="Arial"/>
          <w:sz w:val="20"/>
          <w:szCs w:val="20"/>
          <w:color w:val="auto"/>
        </w:rPr>
        <w:t>and all financial data (including financial ratios and other financial calculations) required to be submitted pursuant to this Agreement shall be prepared in conformity with, GAAP applied on a consistent basis, as in effect from time to time, except as otherwise specifically prescribed herein or as disclosed to the Administrative Agent.</w:t>
      </w:r>
    </w:p>
    <w:p>
      <w:pPr>
        <w:spacing w:after="0" w:line="151" w:lineRule="exact"/>
        <w:rPr>
          <w:rFonts w:ascii="Arial" w:cs="Arial" w:eastAsia="Arial" w:hAnsi="Arial"/>
          <w:sz w:val="20"/>
          <w:szCs w:val="20"/>
          <w:color w:val="auto"/>
        </w:rPr>
      </w:pPr>
    </w:p>
    <w:p>
      <w:pPr>
        <w:ind w:left="-660" w:firstLine="1305"/>
        <w:spacing w:after="0" w:line="303" w:lineRule="auto"/>
        <w:tabs>
          <w:tab w:leader="none" w:pos="1515" w:val="left"/>
        </w:tabs>
        <w:numPr>
          <w:ilvl w:val="0"/>
          <w:numId w:val="168"/>
        </w:numPr>
        <w:rPr>
          <w:rFonts w:ascii="Arial" w:cs="Arial" w:eastAsia="Arial" w:hAnsi="Arial"/>
          <w:sz w:val="18"/>
          <w:szCs w:val="18"/>
          <w:color w:val="auto"/>
        </w:rPr>
      </w:pPr>
      <w:r>
        <w:rPr>
          <w:rFonts w:ascii="Arial" w:cs="Arial" w:eastAsia="Arial" w:hAnsi="Arial"/>
          <w:sz w:val="18"/>
          <w:szCs w:val="18"/>
          <w:i w:val="1"/>
          <w:iCs w:val="1"/>
          <w:u w:val="single" w:color="auto"/>
          <w:color w:val="auto"/>
        </w:rPr>
        <w:t>Changes in GAAP</w:t>
      </w:r>
      <w:r>
        <w:rPr>
          <w:rFonts w:ascii="Arial" w:cs="Arial" w:eastAsia="Arial" w:hAnsi="Arial"/>
          <w:sz w:val="18"/>
          <w:szCs w:val="18"/>
          <w:color w:val="auto"/>
        </w:rPr>
        <w:t>. If at any time any change in GAAP would affect the computation of any financial ratio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requirement set forth in any Loan Document, and either (x) the Lead Borrower or (y) within 30 days after delivery of any financial statements reflecting any change in GAAP (or after the Lenders have been informed of the change in GAAP affecting such financial statements, if later), the Administrative Agent or the Required Lenders shall so request, the Administrative Agent, the Lenders and Parent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ratio or requirement shall continue to be computed in accordance with GAAP prior to such change therein and (ii) the Lead Borrower shall provide to the Administrative Agent and the Lenders financial statements and any other documents required under this Agreement or as reasonably requested hereunder setting forth a reconciliation between calculations of such ratio or requirement made before and after giving effect to such change in GAAP.</w:t>
      </w:r>
    </w:p>
    <w:p>
      <w:pPr>
        <w:spacing w:after="0" w:line="133" w:lineRule="exact"/>
        <w:rPr>
          <w:rFonts w:ascii="Arial" w:cs="Arial" w:eastAsia="Arial" w:hAnsi="Arial"/>
          <w:sz w:val="18"/>
          <w:szCs w:val="18"/>
          <w:color w:val="auto"/>
        </w:rPr>
      </w:pPr>
    </w:p>
    <w:p>
      <w:pPr>
        <w:ind w:left="-660" w:right="180" w:firstLine="1305"/>
        <w:spacing w:after="0" w:line="307" w:lineRule="auto"/>
        <w:tabs>
          <w:tab w:leader="none" w:pos="1504" w:val="left"/>
        </w:tabs>
        <w:numPr>
          <w:ilvl w:val="0"/>
          <w:numId w:val="168"/>
        </w:numPr>
        <w:rPr>
          <w:rFonts w:ascii="Arial" w:cs="Arial" w:eastAsia="Arial" w:hAnsi="Arial"/>
          <w:sz w:val="18"/>
          <w:szCs w:val="18"/>
          <w:color w:val="auto"/>
        </w:rPr>
      </w:pPr>
      <w:r>
        <w:rPr>
          <w:rFonts w:ascii="Arial" w:cs="Arial" w:eastAsia="Arial" w:hAnsi="Arial"/>
          <w:sz w:val="18"/>
          <w:szCs w:val="18"/>
          <w:i w:val="1"/>
          <w:iCs w:val="1"/>
          <w:u w:val="single" w:color="auto"/>
          <w:color w:val="auto"/>
        </w:rPr>
        <w:t>Pro forma Calculations</w:t>
      </w:r>
      <w:r>
        <w:rPr>
          <w:rFonts w:ascii="Arial" w:cs="Arial" w:eastAsia="Arial" w:hAnsi="Arial"/>
          <w:sz w:val="18"/>
          <w:szCs w:val="18"/>
          <w:color w:val="auto"/>
        </w:rPr>
        <w:t>. All pro forma computations required to be made hereunder giving effect to any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Material Disposition, Permitted Acquisition, designation of any Subsidiary as an Unrestricted Subsidiary, or issuance, incurrence or assumption of Indebtedness shall be calculated after giving effect to such acquisition, disposition, designation or issuance, incurrence or assumption of Indebtedness (and to any other such transaction consummated since the first day of the period for which such pro forma computation is being made and on or prior to the date of such computation) as if such transaction (and any other such transactions) had occurred on the first day of the applicable Test Period, and, to the extent applicable, the historical earnings and cash</w:t>
      </w:r>
    </w:p>
    <w:p>
      <w:pPr>
        <w:spacing w:after="0" w:line="200" w:lineRule="exact"/>
        <w:rPr>
          <w:rFonts w:ascii="Arial" w:cs="Arial" w:eastAsia="Arial" w:hAnsi="Arial"/>
          <w:sz w:val="18"/>
          <w:szCs w:val="18"/>
          <w:color w:val="auto"/>
        </w:rPr>
      </w:pPr>
    </w:p>
    <w:p>
      <w:pPr>
        <w:spacing w:after="0" w:line="372" w:lineRule="exact"/>
        <w:rPr>
          <w:rFonts w:ascii="Arial" w:cs="Arial" w:eastAsia="Arial" w:hAnsi="Arial"/>
          <w:sz w:val="18"/>
          <w:szCs w:val="18"/>
          <w:color w:val="auto"/>
        </w:rPr>
      </w:pPr>
    </w:p>
    <w:p>
      <w:pPr>
        <w:ind w:left="4960" w:hanging="120"/>
        <w:spacing w:after="0"/>
        <w:tabs>
          <w:tab w:leader="none" w:pos="4960" w:val="left"/>
        </w:tabs>
        <w:numPr>
          <w:ilvl w:val="1"/>
          <w:numId w:val="168"/>
        </w:numPr>
        <w:rPr>
          <w:rFonts w:ascii="Arial" w:cs="Arial" w:eastAsia="Arial" w:hAnsi="Arial"/>
          <w:sz w:val="20"/>
          <w:szCs w:val="20"/>
          <w:color w:val="auto"/>
        </w:rPr>
      </w:pPr>
      <w:r>
        <w:rPr>
          <w:rFonts w:ascii="Arial" w:cs="Arial" w:eastAsia="Arial" w:hAnsi="Arial"/>
          <w:sz w:val="20"/>
          <w:szCs w:val="20"/>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48895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366" w:right="239" w:bottom="1440" w:gutter="0" w:footer="0" w:header="0"/>
        </w:sectPr>
      </w:pPr>
    </w:p>
    <w:bookmarkStart w:id="256" w:name="page257"/>
    <w:bookmarkEnd w:id="256"/>
    <w:p>
      <w:pPr>
        <w:spacing w:after="0" w:line="287" w:lineRule="auto"/>
        <w:rPr>
          <w:sz w:val="20"/>
          <w:szCs w:val="20"/>
          <w:color w:val="auto"/>
        </w:rPr>
      </w:pPr>
      <w:r>
        <w:rPr>
          <w:rFonts w:ascii="Arial" w:cs="Arial" w:eastAsia="Arial" w:hAnsi="Arial"/>
          <w:sz w:val="19"/>
          <w:szCs w:val="19"/>
          <w:color w:val="auto"/>
        </w:rPr>
        <w:t xml:space="preserve">flows associated with the assets acquired or disposed of, any related incurrence or reduction of Indebtedness.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 Solely for the purpose of making any determination required hereunder regarding compliance with </w:t>
      </w:r>
      <w:r>
        <w:rPr>
          <w:rFonts w:ascii="Arial" w:cs="Arial" w:eastAsia="Arial" w:hAnsi="Arial"/>
          <w:sz w:val="19"/>
          <w:szCs w:val="19"/>
          <w:u w:val="single" w:color="auto"/>
          <w:color w:val="auto"/>
        </w:rPr>
        <w:t>Section 7.10</w:t>
      </w:r>
      <w:r>
        <w:rPr>
          <w:rFonts w:ascii="Arial" w:cs="Arial" w:eastAsia="Arial" w:hAnsi="Arial"/>
          <w:sz w:val="19"/>
          <w:szCs w:val="19"/>
          <w:color w:val="auto"/>
        </w:rPr>
        <w:t xml:space="preserve"> on a pro forma basis for any Test Period ended before September 30, 2015, the maximum Secured Leverage Ratio requirement for such purpose shall be deemed to be 3.00:1.00 (subject to the Secured Leverage Holiday, if applicable) and the minimum Interest Coverage Ratio requirement for such purpose shall be deemed to be 3.50:1.00.</w:t>
      </w:r>
    </w:p>
    <w:p>
      <w:pPr>
        <w:spacing w:after="0" w:line="143" w:lineRule="exact"/>
        <w:rPr>
          <w:sz w:val="20"/>
          <w:szCs w:val="20"/>
          <w:color w:val="auto"/>
        </w:rPr>
      </w:pPr>
    </w:p>
    <w:p>
      <w:pPr>
        <w:ind w:right="100" w:firstLine="1305"/>
        <w:spacing w:after="0" w:line="286" w:lineRule="auto"/>
        <w:tabs>
          <w:tab w:leader="none" w:pos="2175" w:val="left"/>
        </w:tabs>
        <w:numPr>
          <w:ilvl w:val="0"/>
          <w:numId w:val="169"/>
        </w:numPr>
        <w:rPr>
          <w:rFonts w:ascii="Arial" w:cs="Arial" w:eastAsia="Arial" w:hAnsi="Arial"/>
          <w:sz w:val="19"/>
          <w:szCs w:val="19"/>
          <w:color w:val="auto"/>
        </w:rPr>
      </w:pPr>
      <w:r>
        <w:rPr>
          <w:rFonts w:ascii="Arial" w:cs="Arial" w:eastAsia="Arial" w:hAnsi="Arial"/>
          <w:sz w:val="19"/>
          <w:szCs w:val="19"/>
          <w:i w:val="1"/>
          <w:iCs w:val="1"/>
          <w:u w:val="single" w:color="auto"/>
          <w:color w:val="auto"/>
        </w:rPr>
        <w:t>Limited Condition Acquisitions</w:t>
      </w:r>
      <w:r>
        <w:rPr>
          <w:rFonts w:ascii="Arial" w:cs="Arial" w:eastAsia="Arial" w:hAnsi="Arial"/>
          <w:sz w:val="19"/>
          <w:szCs w:val="19"/>
          <w:color w:val="auto"/>
        </w:rPr>
        <w:t>. In connection with any action being taken in connection with a Limited Condition</w:t>
      </w:r>
      <w:r>
        <w:rPr>
          <w:rFonts w:ascii="Arial" w:cs="Arial" w:eastAsia="Arial" w:hAnsi="Arial"/>
          <w:sz w:val="19"/>
          <w:szCs w:val="19"/>
          <w:i w:val="1"/>
          <w:iCs w:val="1"/>
          <w:color w:val="auto"/>
        </w:rPr>
        <w:t xml:space="preserve"> </w:t>
      </w:r>
      <w:r>
        <w:rPr>
          <w:rFonts w:ascii="Arial" w:cs="Arial" w:eastAsia="Arial" w:hAnsi="Arial"/>
          <w:sz w:val="19"/>
          <w:szCs w:val="19"/>
          <w:color w:val="auto"/>
        </w:rPr>
        <w:t>Acquisition, for purposes of determining compliance with any provision of this Agreement which requires that no Default or Event of Default, as applicable, has occurred, is continuing or would result from any such action, as applicable, such condition shall, at the option of the Lead Borrower, be deemed satisfied, so long as no such Default or Event of Default, as applicable, exists on the date the definitive agreements for such Limited Condition Acquisition are entered into. For the avoidance of doubt, if the Lead Borrower has exercised its option under the first sentence of this clause (d), and any Default or Event of Default occurs following the date the definitive agreements for the applicable Limited Condition Acquisition were entered into and prior to the consummation of such Limited Condition Acquisition, any such Default or Event of Default shall be deemed to not have occurred or be continuing for purposes of determining whether any action being taken in connection with such Limited Condition Acquisition is permitted hereunder.</w:t>
      </w:r>
    </w:p>
    <w:p>
      <w:pPr>
        <w:spacing w:after="0" w:line="141" w:lineRule="exact"/>
        <w:rPr>
          <w:rFonts w:ascii="Arial" w:cs="Arial" w:eastAsia="Arial" w:hAnsi="Arial"/>
          <w:sz w:val="19"/>
          <w:szCs w:val="19"/>
          <w:color w:val="auto"/>
        </w:rPr>
      </w:pPr>
    </w:p>
    <w:p>
      <w:pPr>
        <w:ind w:right="820" w:firstLine="1305"/>
        <w:spacing w:after="0" w:line="289" w:lineRule="auto"/>
        <w:tabs>
          <w:tab w:leader="none" w:pos="2164" w:val="left"/>
        </w:tabs>
        <w:numPr>
          <w:ilvl w:val="0"/>
          <w:numId w:val="169"/>
        </w:numPr>
        <w:rPr>
          <w:rFonts w:ascii="Arial" w:cs="Arial" w:eastAsia="Arial" w:hAnsi="Arial"/>
          <w:sz w:val="20"/>
          <w:szCs w:val="20"/>
          <w:color w:val="auto"/>
        </w:rPr>
      </w:pPr>
      <w:r>
        <w:rPr>
          <w:rFonts w:ascii="Arial" w:cs="Arial" w:eastAsia="Arial" w:hAnsi="Arial"/>
          <w:sz w:val="20"/>
          <w:szCs w:val="20"/>
          <w:color w:val="auto"/>
        </w:rPr>
        <w:t>In connection with any Limited Condition Acquisition and any incurrence of any Indebtedness or Liens in connection with a Limited Condition Acquisition, for purposes of:</w:t>
      </w:r>
    </w:p>
    <w:p>
      <w:pPr>
        <w:spacing w:after="0" w:line="134" w:lineRule="exact"/>
        <w:rPr>
          <w:rFonts w:ascii="Arial" w:cs="Arial" w:eastAsia="Arial" w:hAnsi="Arial"/>
          <w:sz w:val="20"/>
          <w:szCs w:val="20"/>
          <w:color w:val="auto"/>
        </w:rPr>
      </w:pPr>
    </w:p>
    <w:p>
      <w:pPr>
        <w:ind w:left="1300" w:right="100" w:firstLine="653"/>
        <w:spacing w:after="0" w:line="289" w:lineRule="auto"/>
        <w:tabs>
          <w:tab w:leader="none" w:pos="2783" w:val="left"/>
        </w:tabs>
        <w:numPr>
          <w:ilvl w:val="1"/>
          <w:numId w:val="169"/>
        </w:numPr>
        <w:rPr>
          <w:rFonts w:ascii="Arial" w:cs="Arial" w:eastAsia="Arial" w:hAnsi="Arial"/>
          <w:sz w:val="20"/>
          <w:szCs w:val="20"/>
          <w:color w:val="auto"/>
        </w:rPr>
      </w:pPr>
      <w:r>
        <w:rPr>
          <w:rFonts w:ascii="Arial" w:cs="Arial" w:eastAsia="Arial" w:hAnsi="Arial"/>
          <w:sz w:val="20"/>
          <w:szCs w:val="20"/>
          <w:color w:val="auto"/>
        </w:rPr>
        <w:t>determining compliance with any provision of this Agreement which requires the calculation of the Interest Coverage Ratio, the Secured Leverage Ratio or the Total Leverage Ratio; or</w:t>
      </w:r>
    </w:p>
    <w:p>
      <w:pPr>
        <w:spacing w:after="0" w:line="134" w:lineRule="exact"/>
        <w:rPr>
          <w:rFonts w:ascii="Arial" w:cs="Arial" w:eastAsia="Arial" w:hAnsi="Arial"/>
          <w:sz w:val="20"/>
          <w:szCs w:val="20"/>
          <w:color w:val="auto"/>
        </w:rPr>
      </w:pPr>
    </w:p>
    <w:p>
      <w:pPr>
        <w:ind w:left="2840" w:hanging="887"/>
        <w:spacing w:after="0"/>
        <w:tabs>
          <w:tab w:leader="none" w:pos="284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testing baskets set forth in this Agreement (including baskets measured as a percentage of Consolidated</w:t>
      </w:r>
    </w:p>
    <w:p>
      <w:pPr>
        <w:spacing w:after="0" w:line="4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Total Assets);</w:t>
      </w:r>
    </w:p>
    <w:p>
      <w:pPr>
        <w:spacing w:after="0" w:line="189" w:lineRule="exact"/>
        <w:rPr>
          <w:sz w:val="20"/>
          <w:szCs w:val="20"/>
          <w:color w:val="auto"/>
        </w:rPr>
      </w:pPr>
    </w:p>
    <w:p>
      <w:pPr>
        <w:ind w:left="820"/>
        <w:spacing w:after="0" w:line="254" w:lineRule="auto"/>
        <w:rPr>
          <w:sz w:val="20"/>
          <w:szCs w:val="20"/>
          <w:color w:val="auto"/>
        </w:rPr>
      </w:pPr>
      <w:r>
        <w:rPr>
          <w:rFonts w:ascii="Arial" w:cs="Arial" w:eastAsia="Arial" w:hAnsi="Arial"/>
          <w:sz w:val="19"/>
          <w:szCs w:val="19"/>
          <w:color w:val="auto"/>
        </w:rPr>
        <w:t>in each case, at the option of the Lead Borrower (the Lead Borrower’s election to exercise such option in connection with any Limited Condition Acquisition, an “</w:t>
      </w:r>
      <w:r>
        <w:rPr>
          <w:rFonts w:ascii="Arial" w:cs="Arial" w:eastAsia="Arial" w:hAnsi="Arial"/>
          <w:sz w:val="19"/>
          <w:szCs w:val="19"/>
          <w:u w:val="single" w:color="auto"/>
          <w:color w:val="auto"/>
        </w:rPr>
        <w:t>LCA Election</w:t>
      </w:r>
      <w:r>
        <w:rPr>
          <w:rFonts w:ascii="Arial" w:cs="Arial" w:eastAsia="Arial" w:hAnsi="Arial"/>
          <w:sz w:val="19"/>
          <w:szCs w:val="19"/>
          <w:color w:val="auto"/>
        </w:rPr>
        <w:t>”), the date of determination of whether any such action is permitted hereunder, shall be deemed to be the date the definitive agreements for such Limited Condition Acquisition are entered into (the “</w:t>
      </w:r>
      <w:r>
        <w:rPr>
          <w:rFonts w:ascii="Arial" w:cs="Arial" w:eastAsia="Arial" w:hAnsi="Arial"/>
          <w:sz w:val="19"/>
          <w:szCs w:val="19"/>
          <w:u w:val="single" w:color="auto"/>
          <w:color w:val="auto"/>
        </w:rPr>
        <w:t>LCA Test</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and if, after giving pro forma effect to the Limited Condition Acquisition and the other transactions to be entered into in connection therewith (including any incurrence of Indebtedness and the use of proceeds thereof) as if they had occurred at the beginning of the most recently completed Test Period ending prior to the LCA Test Date, Parent could have taken such action on the relevant LCA Test Date in compliance with such ratio or basket, such ratio or basket shall be deemed to have been complied with. For the avoidance of doubt, if the Lead Borrower has made an LCA Election and any of the ratios or baskets for which compliance was determined or tested as of the LCA Test Date are exceeded as a result of fluctuations in any such ratio or basket, including due to fluctuations in Consolidated EBITDA or Consolidated Total Assets of Parent or the Person subject to such Limited Condition Acquisition, at or prior to the consummation of the relevant transaction or action, such baskets or ratios will not be deemed to have been exceeded as a result of such fluctuations. If the Lead Borrower has made an LCA Election for any Limited Condition Acquisition, then in connection with any subsequent calculation of any ratio or basket hereunder on or following the relevant LCA Test Date and until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79" w:right="259" w:bottom="1440" w:gutter="0" w:footer="0" w:header="0"/>
        </w:sectPr>
      </w:pPr>
    </w:p>
    <w:bookmarkStart w:id="257" w:name="page258"/>
    <w:bookmarkEnd w:id="257"/>
    <w:p>
      <w:pPr>
        <w:ind w:left="820" w:right="20"/>
        <w:spacing w:after="0" w:line="259" w:lineRule="auto"/>
        <w:rPr>
          <w:sz w:val="20"/>
          <w:szCs w:val="20"/>
          <w:color w:val="auto"/>
        </w:rPr>
      </w:pPr>
      <w:r>
        <w:rPr>
          <w:rFonts w:ascii="Arial" w:cs="Arial" w:eastAsia="Arial" w:hAnsi="Arial"/>
          <w:sz w:val="19"/>
          <w:szCs w:val="19"/>
          <w:color w:val="auto"/>
        </w:rPr>
        <w:t>after the earlier of the consummation of such Limited Condition Acquisition or termination or expiration of the definitive agreement for such Limited Condition Acquisition without consummation of such Limited Condition Acquisition, any such ratio or basket shall be calculated on a pro forma basis assuming such Limited Condition Acquisition and other transactions in connection therewith (including any incurrence of Indebtedness and the use of proceeds thereof) have been consummated, except to the extent such calculation would result in a lower Total Leverage Ratio or Secured Leverage Ratio than would apply if such calculation was made without giving pro forma effect to such Limited Condition Acquisition.</w:t>
      </w:r>
    </w:p>
    <w:p>
      <w:pPr>
        <w:spacing w:after="0" w:line="119" w:lineRule="exact"/>
        <w:rPr>
          <w:sz w:val="20"/>
          <w:szCs w:val="20"/>
          <w:color w:val="auto"/>
        </w:rPr>
      </w:pPr>
    </w:p>
    <w:p>
      <w:pPr>
        <w:ind w:right="100" w:firstLine="1297"/>
        <w:spacing w:after="0" w:line="248" w:lineRule="auto"/>
        <w:rPr>
          <w:sz w:val="20"/>
          <w:szCs w:val="20"/>
          <w:color w:val="auto"/>
        </w:rPr>
      </w:pPr>
      <w:r>
        <w:rPr>
          <w:rFonts w:ascii="Arial" w:cs="Arial" w:eastAsia="Arial" w:hAnsi="Arial"/>
          <w:sz w:val="20"/>
          <w:szCs w:val="20"/>
          <w:b w:val="1"/>
          <w:bCs w:val="1"/>
          <w:color w:val="auto"/>
        </w:rPr>
        <w:t xml:space="preserve">Section 1.04 </w:t>
      </w:r>
      <w:r>
        <w:rPr>
          <w:rFonts w:ascii="Arial" w:cs="Arial" w:eastAsia="Arial" w:hAnsi="Arial"/>
          <w:sz w:val="20"/>
          <w:szCs w:val="20"/>
          <w:u w:val="single" w:color="auto"/>
          <w:color w:val="auto"/>
        </w:rPr>
        <w:t>Rounding</w:t>
      </w:r>
      <w:r>
        <w:rPr>
          <w:rFonts w:ascii="Arial" w:cs="Arial" w:eastAsia="Arial" w:hAnsi="Arial"/>
          <w:sz w:val="20"/>
          <w:szCs w:val="20"/>
          <w:color w:val="auto"/>
        </w:rPr>
        <w:t>. Any financial ratios required to be maintained by Parent or any of its Restricted Subsidiaries</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76" w:lineRule="exact"/>
        <w:rPr>
          <w:sz w:val="20"/>
          <w:szCs w:val="20"/>
          <w:color w:val="auto"/>
        </w:rPr>
      </w:pPr>
    </w:p>
    <w:p>
      <w:pPr>
        <w:ind w:right="340" w:firstLine="1297"/>
        <w:spacing w:after="0" w:line="267" w:lineRule="auto"/>
        <w:rPr>
          <w:sz w:val="20"/>
          <w:szCs w:val="20"/>
          <w:color w:val="auto"/>
        </w:rPr>
      </w:pPr>
      <w:r>
        <w:rPr>
          <w:rFonts w:ascii="Arial" w:cs="Arial" w:eastAsia="Arial" w:hAnsi="Arial"/>
          <w:sz w:val="20"/>
          <w:szCs w:val="20"/>
          <w:b w:val="1"/>
          <w:bCs w:val="1"/>
          <w:color w:val="auto"/>
        </w:rPr>
        <w:t xml:space="preserve">Section 1.05 </w:t>
      </w:r>
      <w:r>
        <w:rPr>
          <w:rFonts w:ascii="Arial" w:cs="Arial" w:eastAsia="Arial" w:hAnsi="Arial"/>
          <w:sz w:val="20"/>
          <w:szCs w:val="20"/>
          <w:u w:val="single" w:color="auto"/>
          <w:color w:val="auto"/>
        </w:rPr>
        <w:t>Times of Day; Rates</w:t>
      </w:r>
      <w:r>
        <w:rPr>
          <w:rFonts w:ascii="Arial" w:cs="Arial" w:eastAsia="Arial" w:hAnsi="Arial"/>
          <w:sz w:val="20"/>
          <w:szCs w:val="20"/>
          <w:color w:val="auto"/>
        </w:rPr>
        <w:t>. Unless otherwise specified, all references herein to times of day shall be references to</w:t>
      </w:r>
      <w:r>
        <w:rPr>
          <w:rFonts w:ascii="Arial" w:cs="Arial" w:eastAsia="Arial" w:hAnsi="Arial"/>
          <w:sz w:val="20"/>
          <w:szCs w:val="20"/>
          <w:b w:val="1"/>
          <w:bCs w:val="1"/>
          <w:color w:val="auto"/>
        </w:rPr>
        <w:t xml:space="preserve"> </w:t>
      </w:r>
      <w:r>
        <w:rPr>
          <w:rFonts w:ascii="Arial" w:cs="Arial" w:eastAsia="Arial" w:hAnsi="Arial"/>
          <w:sz w:val="20"/>
          <w:szCs w:val="20"/>
          <w:color w:val="auto"/>
        </w:rPr>
        <w:t>Eastern time (daylight or standard, as applicable).</w:t>
      </w:r>
    </w:p>
    <w:p>
      <w:pPr>
        <w:spacing w:after="0" w:line="62" w:lineRule="exact"/>
        <w:rPr>
          <w:sz w:val="20"/>
          <w:szCs w:val="20"/>
          <w:color w:val="auto"/>
        </w:rPr>
      </w:pPr>
    </w:p>
    <w:p>
      <w:pPr>
        <w:ind w:right="200" w:firstLine="1297"/>
        <w:spacing w:after="0" w:line="250" w:lineRule="auto"/>
        <w:rPr>
          <w:sz w:val="20"/>
          <w:szCs w:val="20"/>
          <w:color w:val="auto"/>
        </w:rPr>
      </w:pPr>
      <w:r>
        <w:rPr>
          <w:rFonts w:ascii="Arial" w:cs="Arial" w:eastAsia="Arial" w:hAnsi="Arial"/>
          <w:sz w:val="20"/>
          <w:szCs w:val="20"/>
          <w:color w:val="auto"/>
        </w:rPr>
        <w:t>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w:t>
      </w:r>
    </w:p>
    <w:p>
      <w:pPr>
        <w:spacing w:after="0" w:line="72" w:lineRule="exact"/>
        <w:rPr>
          <w:sz w:val="20"/>
          <w:szCs w:val="20"/>
          <w:color w:val="auto"/>
        </w:rPr>
      </w:pPr>
    </w:p>
    <w:p>
      <w:pPr>
        <w:ind w:right="80" w:firstLine="1297"/>
        <w:spacing w:after="0" w:line="262" w:lineRule="auto"/>
        <w:rPr>
          <w:sz w:val="20"/>
          <w:szCs w:val="20"/>
          <w:color w:val="auto"/>
        </w:rPr>
      </w:pPr>
      <w:r>
        <w:rPr>
          <w:rFonts w:ascii="Arial" w:cs="Arial" w:eastAsia="Arial" w:hAnsi="Arial"/>
          <w:sz w:val="19"/>
          <w:szCs w:val="19"/>
          <w:b w:val="1"/>
          <w:bCs w:val="1"/>
          <w:color w:val="auto"/>
        </w:rPr>
        <w:t xml:space="preserve">Section 1.06 </w:t>
      </w:r>
      <w:r>
        <w:rPr>
          <w:rFonts w:ascii="Arial" w:cs="Arial" w:eastAsia="Arial" w:hAnsi="Arial"/>
          <w:sz w:val="19"/>
          <w:szCs w:val="19"/>
          <w:u w:val="single" w:color="auto"/>
          <w:color w:val="auto"/>
        </w:rPr>
        <w:t>Letter of Credit Amounts</w:t>
      </w:r>
      <w:r>
        <w:rPr>
          <w:rFonts w:ascii="Arial" w:cs="Arial" w:eastAsia="Arial" w:hAnsi="Arial"/>
          <w:sz w:val="19"/>
          <w:szCs w:val="19"/>
          <w:color w:val="auto"/>
        </w:rPr>
        <w:t>. Unless otherwise specified herein, the amount of a Letter of Credit at any time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 deemed to be the stated amount of such Letter of Credit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Letter of Credit that, by its terms or the terms of any L/C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63" w:lineRule="exact"/>
        <w:rPr>
          <w:sz w:val="20"/>
          <w:szCs w:val="20"/>
          <w:color w:val="auto"/>
        </w:rPr>
      </w:pPr>
    </w:p>
    <w:p>
      <w:pPr>
        <w:ind w:firstLine="1297"/>
        <w:spacing w:after="0" w:line="274" w:lineRule="auto"/>
        <w:rPr>
          <w:sz w:val="20"/>
          <w:szCs w:val="20"/>
          <w:color w:val="auto"/>
        </w:rPr>
      </w:pPr>
      <w:r>
        <w:rPr>
          <w:rFonts w:ascii="Arial" w:cs="Arial" w:eastAsia="Arial" w:hAnsi="Arial"/>
          <w:sz w:val="18"/>
          <w:szCs w:val="18"/>
          <w:b w:val="1"/>
          <w:bCs w:val="1"/>
          <w:color w:val="auto"/>
        </w:rPr>
        <w:t xml:space="preserve">Section 1.07 </w:t>
      </w:r>
      <w:r>
        <w:rPr>
          <w:rFonts w:ascii="Arial" w:cs="Arial" w:eastAsia="Arial" w:hAnsi="Arial"/>
          <w:sz w:val="18"/>
          <w:szCs w:val="18"/>
          <w:u w:val="single" w:color="auto"/>
          <w:color w:val="auto"/>
        </w:rPr>
        <w:t>Classes and Types of Borrowings</w:t>
      </w:r>
      <w:r>
        <w:rPr>
          <w:rFonts w:ascii="Arial" w:cs="Arial" w:eastAsia="Arial" w:hAnsi="Arial"/>
          <w:sz w:val="18"/>
          <w:szCs w:val="18"/>
          <w:color w:val="auto"/>
        </w:rPr>
        <w:t>. The term “</w:t>
      </w:r>
      <w:r>
        <w:rPr>
          <w:rFonts w:ascii="Arial" w:cs="Arial" w:eastAsia="Arial" w:hAnsi="Arial"/>
          <w:sz w:val="18"/>
          <w:szCs w:val="18"/>
          <w:u w:val="single" w:color="auto"/>
          <w:color w:val="auto"/>
        </w:rPr>
        <w:t>Borrowing</w:t>
      </w:r>
      <w:r>
        <w:rPr>
          <w:rFonts w:ascii="Arial" w:cs="Arial" w:eastAsia="Arial" w:hAnsi="Arial"/>
          <w:sz w:val="18"/>
          <w:szCs w:val="18"/>
          <w:color w:val="auto"/>
        </w:rPr>
        <w:t>” denotes the aggregation of Loans of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Lenders made to any Borrower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on the same date, all of which Loans are of the same Class and Type (subject to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and, except in the case of Base Rate Loans, have the same initial Interest Period. Loans hereunder are distinguished by “Class” and “Type.” The “</w:t>
      </w:r>
      <w:r>
        <w:rPr>
          <w:rFonts w:ascii="Arial" w:cs="Arial" w:eastAsia="Arial" w:hAnsi="Arial"/>
          <w:sz w:val="18"/>
          <w:szCs w:val="18"/>
          <w:u w:val="single" w:color="auto"/>
          <w:color w:val="auto"/>
        </w:rPr>
        <w:t>Class</w:t>
      </w:r>
      <w:r>
        <w:rPr>
          <w:rFonts w:ascii="Arial" w:cs="Arial" w:eastAsia="Arial" w:hAnsi="Arial"/>
          <w:sz w:val="18"/>
          <w:szCs w:val="18"/>
          <w:color w:val="auto"/>
        </w:rPr>
        <w:t>” of a Loan (or of a Commitment to make such a Loan or of a Borrowing comprised of such Loans) refers to whether such Loan is a Revolving Loan, a Term Loan, an Incremental Revolving Loan, an Incremental Term Loan, an Other Revolving Loan or an Other Term Loan. The “</w:t>
      </w:r>
      <w:r>
        <w:rPr>
          <w:rFonts w:ascii="Arial" w:cs="Arial" w:eastAsia="Arial" w:hAnsi="Arial"/>
          <w:sz w:val="18"/>
          <w:szCs w:val="18"/>
          <w:u w:val="single" w:color="auto"/>
          <w:color w:val="auto"/>
        </w:rPr>
        <w:t>Type</w:t>
      </w:r>
      <w:r>
        <w:rPr>
          <w:rFonts w:ascii="Arial" w:cs="Arial" w:eastAsia="Arial" w:hAnsi="Arial"/>
          <w:sz w:val="18"/>
          <w:szCs w:val="18"/>
          <w:color w:val="auto"/>
        </w:rPr>
        <w:t>” of a Loan refers to whether such Loan is a Eurodollar Loan or a Base Rate Loan. Identification of a Loan (or a Borrowing) by both Class and Type (e.g., a “</w:t>
      </w:r>
      <w:r>
        <w:rPr>
          <w:rFonts w:ascii="Arial" w:cs="Arial" w:eastAsia="Arial" w:hAnsi="Arial"/>
          <w:sz w:val="18"/>
          <w:szCs w:val="18"/>
          <w:u w:val="single" w:color="auto"/>
          <w:color w:val="auto"/>
        </w:rPr>
        <w:t>Term Eurodollar Loan</w:t>
      </w:r>
      <w:r>
        <w:rPr>
          <w:rFonts w:ascii="Arial" w:cs="Arial" w:eastAsia="Arial" w:hAnsi="Arial"/>
          <w:sz w:val="18"/>
          <w:szCs w:val="18"/>
          <w:color w:val="auto"/>
        </w:rPr>
        <w:t>”) indicates that such Loan is a Loan of both such Class and such Type (e.g., both a Term Loan and a Eurodollar Loan) or that such Borrowing is comprised of such Loans.</w:t>
      </w:r>
    </w:p>
    <w:p>
      <w:pPr>
        <w:spacing w:after="0" w:line="54" w:lineRule="exact"/>
        <w:rPr>
          <w:sz w:val="20"/>
          <w:szCs w:val="20"/>
          <w:color w:val="auto"/>
        </w:rPr>
      </w:pPr>
    </w:p>
    <w:p>
      <w:pPr>
        <w:ind w:firstLine="1297"/>
        <w:spacing w:after="0" w:line="260" w:lineRule="auto"/>
        <w:rPr>
          <w:sz w:val="20"/>
          <w:szCs w:val="20"/>
          <w:color w:val="auto"/>
        </w:rPr>
      </w:pPr>
      <w:r>
        <w:rPr>
          <w:rFonts w:ascii="Arial" w:cs="Arial" w:eastAsia="Arial" w:hAnsi="Arial"/>
          <w:sz w:val="19"/>
          <w:szCs w:val="19"/>
          <w:b w:val="1"/>
          <w:bCs w:val="1"/>
          <w:color w:val="auto"/>
        </w:rPr>
        <w:t xml:space="preserve">Section 1.08 </w:t>
      </w:r>
      <w:r>
        <w:rPr>
          <w:rFonts w:ascii="Arial" w:cs="Arial" w:eastAsia="Arial" w:hAnsi="Arial"/>
          <w:sz w:val="19"/>
          <w:szCs w:val="19"/>
          <w:u w:val="single" w:color="auto"/>
          <w:color w:val="auto"/>
        </w:rPr>
        <w:t>Currency Translation</w:t>
      </w:r>
      <w:r>
        <w:rPr>
          <w:rFonts w:ascii="Arial" w:cs="Arial" w:eastAsia="Arial" w:hAnsi="Arial"/>
          <w:sz w:val="19"/>
          <w:szCs w:val="19"/>
          <w:color w:val="auto"/>
        </w:rPr>
        <w:t>. For purposes of any determination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VI</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VII</w:t>
      </w:r>
      <w:r>
        <w:rPr>
          <w:rFonts w:ascii="Arial" w:cs="Arial" w:eastAsia="Arial" w:hAnsi="Arial"/>
          <w:sz w:val="19"/>
          <w:szCs w:val="19"/>
          <w:b w:val="1"/>
          <w:bCs w:val="1"/>
          <w:color w:val="auto"/>
        </w:rPr>
        <w:t xml:space="preserve"> </w:t>
      </w:r>
      <w:r>
        <w:rPr>
          <w:rFonts w:ascii="Arial" w:cs="Arial" w:eastAsia="Arial" w:hAnsi="Arial"/>
          <w:sz w:val="19"/>
          <w:szCs w:val="19"/>
          <w:color w:val="auto"/>
        </w:rPr>
        <w:t>(other than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7.10</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or any determination under any other provision of this Agreement expressly requiring the use of a current exchange rate, all amounts incurred, outstanding or proposed to be incurred or outstanding in currencies other than Dollars shall be translated into Dollars at currency exchange rates in effect on the date of such determination;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for purposes of determining compliance with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with respect to the amount of any Indebtedness, Asset Disposition, Investment or Restricted Payment in a currency other than Dollars, no Default or Event of Default shall be deemed to have occurred solely as a result of changes in rates of</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66" w:right="299" w:bottom="1440" w:gutter="0" w:footer="0" w:header="0"/>
        </w:sectPr>
      </w:pPr>
    </w:p>
    <w:bookmarkStart w:id="258" w:name="page259"/>
    <w:bookmarkEnd w:id="258"/>
    <w:p>
      <w:pPr>
        <w:ind w:right="60"/>
        <w:spacing w:after="0" w:line="278" w:lineRule="auto"/>
        <w:rPr>
          <w:sz w:val="20"/>
          <w:szCs w:val="20"/>
          <w:color w:val="auto"/>
        </w:rPr>
      </w:pPr>
      <w:r>
        <w:rPr>
          <w:rFonts w:ascii="Arial" w:cs="Arial" w:eastAsia="Arial" w:hAnsi="Arial"/>
          <w:sz w:val="18"/>
          <w:szCs w:val="18"/>
          <w:color w:val="auto"/>
        </w:rPr>
        <w:t xml:space="preserve">exchange occurring after the time such Indebtedness is incurred or Asset Disposition, Investment or Restricted Payment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the foregoing provisions of this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shall otherwise apply to such Sections, including with respect to determining whether any Indebtedness may be incurred or Asset Disposition, Investment or Restricted Payment made at any time under such Sections. For purposes of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amounts in currencies other than Dollars shall be translated into Dollars at the currency exchange rates used in preparing the most recently delivered financial statements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213" w:lineRule="exact"/>
        <w:rPr>
          <w:sz w:val="20"/>
          <w:szCs w:val="20"/>
          <w:color w:val="auto"/>
        </w:rPr>
      </w:pPr>
    </w:p>
    <w:p>
      <w:pPr>
        <w:ind w:firstLine="1297"/>
        <w:spacing w:after="0" w:line="330" w:lineRule="auto"/>
        <w:rPr>
          <w:sz w:val="20"/>
          <w:szCs w:val="20"/>
          <w:color w:val="auto"/>
        </w:rPr>
      </w:pPr>
      <w:r>
        <w:rPr>
          <w:rFonts w:ascii="Arial" w:cs="Arial" w:eastAsia="Arial" w:hAnsi="Arial"/>
          <w:sz w:val="16"/>
          <w:szCs w:val="16"/>
          <w:b w:val="1"/>
          <w:bCs w:val="1"/>
          <w:color w:val="auto"/>
        </w:rPr>
        <w:t xml:space="preserve">Section 1.09 </w:t>
      </w:r>
      <w:r>
        <w:rPr>
          <w:rFonts w:ascii="Arial" w:cs="Arial" w:eastAsia="Arial" w:hAnsi="Arial"/>
          <w:sz w:val="16"/>
          <w:szCs w:val="16"/>
          <w:u w:val="single" w:color="auto"/>
          <w:color w:val="auto"/>
        </w:rPr>
        <w:t>Baskets</w:t>
      </w:r>
      <w:r>
        <w:rPr>
          <w:rFonts w:ascii="Arial" w:cs="Arial" w:eastAsia="Arial" w:hAnsi="Arial"/>
          <w:sz w:val="16"/>
          <w:szCs w:val="16"/>
          <w:color w:val="auto"/>
        </w:rPr>
        <w:t>. To the extent that the size of any basket or carve-out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VII</w:t>
      </w:r>
      <w:r>
        <w:rPr>
          <w:rFonts w:ascii="Arial" w:cs="Arial" w:eastAsia="Arial" w:hAnsi="Arial"/>
          <w:sz w:val="16"/>
          <w:szCs w:val="16"/>
          <w:b w:val="1"/>
          <w:bCs w:val="1"/>
          <w:color w:val="auto"/>
        </w:rPr>
        <w:t xml:space="preserve"> </w:t>
      </w:r>
      <w:r>
        <w:rPr>
          <w:rFonts w:ascii="Arial" w:cs="Arial" w:eastAsia="Arial" w:hAnsi="Arial"/>
          <w:sz w:val="16"/>
          <w:szCs w:val="16"/>
          <w:color w:val="auto"/>
        </w:rPr>
        <w:t>is determined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to a percentage of Consolidated EBITDA, no Default or Event of Default shall be deemed to occur with respect to any transaction consummated or incurred pursuant to such basket or carve-out as a result of any decrease in the amount of Consolidated EBITDA subsequent to such consummation or incurrence which results in such basket or carve-out no longer being sufficient to permit such transaction or incurrence.</w:t>
      </w:r>
    </w:p>
    <w:p>
      <w:pPr>
        <w:spacing w:after="0" w:line="123"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1.10</w:t>
      </w:r>
      <w:r>
        <w:rPr>
          <w:sz w:val="20"/>
          <w:szCs w:val="20"/>
          <w:color w:val="auto"/>
        </w:rPr>
        <w:tab/>
      </w:r>
      <w:r>
        <w:rPr>
          <w:rFonts w:ascii="Arial" w:cs="Arial" w:eastAsia="Arial" w:hAnsi="Arial"/>
          <w:sz w:val="18"/>
          <w:szCs w:val="18"/>
          <w:u w:val="single" w:color="auto"/>
          <w:color w:val="auto"/>
        </w:rPr>
        <w:t>Concerning Liability of Borrowers</w:t>
      </w:r>
      <w:r>
        <w:rPr>
          <w:rFonts w:ascii="Arial" w:cs="Arial" w:eastAsia="Arial" w:hAnsi="Arial"/>
          <w:sz w:val="18"/>
          <w:szCs w:val="18"/>
          <w:color w:val="auto"/>
        </w:rPr>
        <w:t>.</w:t>
      </w:r>
    </w:p>
    <w:p>
      <w:pPr>
        <w:spacing w:after="0" w:line="235" w:lineRule="exact"/>
        <w:rPr>
          <w:sz w:val="20"/>
          <w:szCs w:val="20"/>
          <w:color w:val="auto"/>
        </w:rPr>
      </w:pPr>
    </w:p>
    <w:p>
      <w:pPr>
        <w:ind w:right="140" w:firstLine="1305"/>
        <w:spacing w:after="0" w:line="307" w:lineRule="auto"/>
        <w:tabs>
          <w:tab w:leader="none" w:pos="216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Each of the U.S. Borrower, Jazz Financing I and Jazz Ireland irrevocably appoints the Lead Borrower as its agent for purposes of the giving and receipt of notices and the execution and delivery of all certificates contemplated herein. Any acknowledgment, consent, direction, certification or other action which might otherwise be valid or effective only if given or taken by all Borrowers, or by each Borrower acting singly, shall be valid and effective if given or taken only by the Lead Borrower, whether or not any such other Borrower joins therein. Any notice, demand, consent, acknowledgement, direction, certification or other communication delivered to the Lead Borrower in accordance with the terms of this Agreement shall be deemed to have been delivered to each Borrower.</w:t>
      </w:r>
    </w:p>
    <w:p>
      <w:pPr>
        <w:spacing w:after="0" w:line="167" w:lineRule="exact"/>
        <w:rPr>
          <w:rFonts w:ascii="Arial" w:cs="Arial" w:eastAsia="Arial" w:hAnsi="Arial"/>
          <w:sz w:val="18"/>
          <w:szCs w:val="18"/>
          <w:color w:val="auto"/>
        </w:rPr>
      </w:pPr>
    </w:p>
    <w:p>
      <w:pPr>
        <w:ind w:right="80" w:firstLine="1305"/>
        <w:spacing w:after="0" w:line="290" w:lineRule="auto"/>
        <w:tabs>
          <w:tab w:leader="none" w:pos="2175"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The Lead Borrower may from time to time, upon not less than 15 Business Days’ notice from the Lead Borrower to the Administrative Agent (or such shorter period as may be agreed by the Administrative Agent in its sole discretion), terminate a Borrower’s status as such (other than with respect to itself),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are no outstanding Loans payable by such Borrower, or other amounts payable by such Borrower on account of any Loans made to it, as of the effective date of such termination. The Administrative Agent will promptly notify the Lenders of any such termination of a Borrower’s status.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CREDIT FACILITIES</w:t>
      </w:r>
    </w:p>
    <w:p>
      <w:pPr>
        <w:spacing w:after="0" w:line="270"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2.01</w:t>
      </w:r>
      <w:r>
        <w:rPr>
          <w:sz w:val="20"/>
          <w:szCs w:val="20"/>
          <w:color w:val="auto"/>
        </w:rPr>
        <w:tab/>
      </w:r>
      <w:r>
        <w:rPr>
          <w:rFonts w:ascii="Arial" w:cs="Arial" w:eastAsia="Arial" w:hAnsi="Arial"/>
          <w:sz w:val="18"/>
          <w:szCs w:val="18"/>
          <w:u w:val="single" w:color="auto"/>
          <w:color w:val="auto"/>
        </w:rPr>
        <w:t>Commitments To Lend</w:t>
      </w:r>
      <w:r>
        <w:rPr>
          <w:rFonts w:ascii="Arial" w:cs="Arial" w:eastAsia="Arial" w:hAnsi="Arial"/>
          <w:sz w:val="18"/>
          <w:szCs w:val="18"/>
          <w:color w:val="auto"/>
        </w:rPr>
        <w:t>.</w:t>
      </w:r>
    </w:p>
    <w:p>
      <w:pPr>
        <w:spacing w:after="0" w:line="127" w:lineRule="exact"/>
        <w:rPr>
          <w:sz w:val="20"/>
          <w:szCs w:val="20"/>
          <w:color w:val="auto"/>
        </w:rPr>
      </w:pPr>
    </w:p>
    <w:p>
      <w:pPr>
        <w:ind w:right="140" w:firstLine="1305"/>
        <w:spacing w:after="0" w:line="304" w:lineRule="auto"/>
        <w:tabs>
          <w:tab w:leader="none" w:pos="2164" w:val="left"/>
        </w:tabs>
        <w:numPr>
          <w:ilvl w:val="0"/>
          <w:numId w:val="171"/>
        </w:numPr>
        <w:rPr>
          <w:rFonts w:ascii="Arial" w:cs="Arial" w:eastAsia="Arial" w:hAnsi="Arial"/>
          <w:sz w:val="18"/>
          <w:szCs w:val="18"/>
          <w:color w:val="auto"/>
        </w:rPr>
      </w:pPr>
      <w:r>
        <w:rPr>
          <w:rFonts w:ascii="Arial" w:cs="Arial" w:eastAsia="Arial" w:hAnsi="Arial"/>
          <w:sz w:val="18"/>
          <w:szCs w:val="18"/>
          <w:i w:val="1"/>
          <w:iCs w:val="1"/>
          <w:u w:val="single" w:color="auto"/>
          <w:color w:val="auto"/>
        </w:rPr>
        <w:t>Revolving Loans</w:t>
      </w:r>
      <w:r>
        <w:rPr>
          <w:rFonts w:ascii="Arial" w:cs="Arial" w:eastAsia="Arial" w:hAnsi="Arial"/>
          <w:sz w:val="18"/>
          <w:szCs w:val="18"/>
          <w:color w:val="auto"/>
        </w:rPr>
        <w:t>. Subject to the terms and conditions set forth herein, each Revolving Lender severally agrees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make Revolving Loans to any Borrower in Dollars pursuant to this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from time to time during the Revolving Availability Period in amounts such that its Revolving Outstandings shall not exceed (after giving effect to all Revolving Loans repaid, all reimbursements of L/C Disbursements made, and all Refunded Swing Line Loans paid concurrently with the making of any Revolving Loans) its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effect to each such Revolving Loan, (i) the aggregate Revolving Outstandings shall not exceed the Revolving Committed Amount and (ii) with respect to each Revolving Lender individually, such Lender’s outstanding Revolving Loans plus its (other than the Swing Line Lender’s in its capacity as such) Participation Interests in outstanding Swing Line Loans plus its Participation Interests in outstanding L/C Obligations shall not exceed such Lender’s Revolving Commitment Percentage of the</w:t>
      </w:r>
    </w:p>
    <w:p>
      <w:pPr>
        <w:spacing w:after="0" w:line="200" w:lineRule="exact"/>
        <w:rPr>
          <w:rFonts w:ascii="Arial" w:cs="Arial" w:eastAsia="Arial" w:hAnsi="Arial"/>
          <w:sz w:val="18"/>
          <w:szCs w:val="18"/>
          <w:color w:val="auto"/>
        </w:rPr>
      </w:pPr>
    </w:p>
    <w:p>
      <w:pPr>
        <w:spacing w:after="0" w:line="309" w:lineRule="exact"/>
        <w:rPr>
          <w:rFonts w:ascii="Arial" w:cs="Arial" w:eastAsia="Arial" w:hAnsi="Arial"/>
          <w:sz w:val="18"/>
          <w:szCs w:val="18"/>
          <w:color w:val="auto"/>
        </w:rPr>
      </w:pPr>
    </w:p>
    <w:p>
      <w:pPr>
        <w:ind w:left="5620" w:hanging="120"/>
        <w:spacing w:after="0"/>
        <w:tabs>
          <w:tab w:leader="none" w:pos="562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259" w:name="page260"/>
    <w:bookmarkEnd w:id="259"/>
    <w:p>
      <w:pPr>
        <w:ind w:right="40"/>
        <w:spacing w:after="0" w:line="273" w:lineRule="auto"/>
        <w:rPr>
          <w:sz w:val="20"/>
          <w:szCs w:val="20"/>
          <w:color w:val="auto"/>
        </w:rPr>
      </w:pPr>
      <w:r>
        <w:rPr>
          <w:rFonts w:ascii="Arial" w:cs="Arial" w:eastAsia="Arial" w:hAnsi="Arial"/>
          <w:sz w:val="18"/>
          <w:szCs w:val="18"/>
          <w:color w:val="auto"/>
        </w:rPr>
        <w:t>Revolving Committed Amount</w:t>
      </w:r>
      <w:r>
        <w:rPr>
          <w:rFonts w:ascii="Arial" w:cs="Arial" w:eastAsia="Arial" w:hAnsi="Arial"/>
          <w:sz w:val="18"/>
          <w:szCs w:val="18"/>
          <w:u w:val="single" w:color="auto"/>
          <w:color w:val="0000FF"/>
        </w:rPr>
        <w:t>; provided, further, that no more than $1,000,000,000 of Revolving Loans may be drawn on the Amendment No.</w:t>
      </w:r>
      <w:r>
        <w:rPr>
          <w:rFonts w:ascii="Arial" w:cs="Arial" w:eastAsia="Arial" w:hAnsi="Arial"/>
          <w:sz w:val="18"/>
          <w:szCs w:val="18"/>
          <w:color w:val="auto"/>
        </w:rPr>
        <w:t xml:space="preserve"> </w:t>
      </w:r>
      <w:r>
        <w:rPr>
          <w:rFonts w:ascii="Arial" w:cs="Arial" w:eastAsia="Arial" w:hAnsi="Arial"/>
          <w:sz w:val="18"/>
          <w:szCs w:val="18"/>
          <w:u w:val="single" w:color="auto"/>
          <w:color w:val="0000FF"/>
        </w:rPr>
        <w:t>1 Effective Date</w:t>
      </w:r>
      <w:r>
        <w:rPr>
          <w:rFonts w:ascii="Arial" w:cs="Arial" w:eastAsia="Arial" w:hAnsi="Arial"/>
          <w:sz w:val="18"/>
          <w:szCs w:val="18"/>
          <w:color w:val="000000"/>
        </w:rPr>
        <w:t>. Each Revolving Borrowing comprised of Eurodollar Loans shall be in an aggregate principal amount of $5,000,000 or any</w:t>
      </w:r>
      <w:r>
        <w:rPr>
          <w:rFonts w:ascii="Arial" w:cs="Arial" w:eastAsia="Arial" w:hAnsi="Arial"/>
          <w:sz w:val="18"/>
          <w:szCs w:val="18"/>
          <w:color w:val="0000FF"/>
        </w:rPr>
        <w:t xml:space="preserve"> </w:t>
      </w:r>
      <w:r>
        <w:rPr>
          <w:rFonts w:ascii="Arial" w:cs="Arial" w:eastAsia="Arial" w:hAnsi="Arial"/>
          <w:sz w:val="18"/>
          <w:szCs w:val="18"/>
          <w:color w:val="000000"/>
        </w:rPr>
        <w:t xml:space="preserve">larger multiple of $100,000, and each Revolving Borrowing comprised of Base Rate Loans shall be in an aggregate principal amount of $1,000,000 or any larger multiple of $100,000 (except that any such Borrowing may be in the aggregate amount of the unused Revolving Commitments and any L/C Borrowing may be in the aggregate amount of any outstanding Unreimbursed Amounts owed to one or more L/C Issuers as provided in </w:t>
      </w:r>
      <w:r>
        <w:rPr>
          <w:rFonts w:ascii="Arial" w:cs="Arial" w:eastAsia="Arial" w:hAnsi="Arial"/>
          <w:sz w:val="18"/>
          <w:szCs w:val="18"/>
          <w:u w:val="single" w:color="auto"/>
          <w:color w:val="000000"/>
        </w:rPr>
        <w:t>Section 2.05(e)(iv)</w:t>
      </w:r>
      <w:r>
        <w:rPr>
          <w:rFonts w:ascii="Arial" w:cs="Arial" w:eastAsia="Arial" w:hAnsi="Arial"/>
          <w:sz w:val="18"/>
          <w:szCs w:val="18"/>
          <w:color w:val="000000"/>
        </w:rPr>
        <w:t xml:space="preserve">) and shall be made from the several Revolving Lenders ratably in proportion to their respective Revolving Commitments. Within the foregoing limits, each Borrower may borrow under this </w:t>
      </w:r>
      <w:r>
        <w:rPr>
          <w:rFonts w:ascii="Arial" w:cs="Arial" w:eastAsia="Arial" w:hAnsi="Arial"/>
          <w:sz w:val="18"/>
          <w:szCs w:val="18"/>
          <w:u w:val="single" w:color="auto"/>
          <w:color w:val="000000"/>
        </w:rPr>
        <w:t>Section 2.01(a)</w:t>
      </w:r>
      <w:r>
        <w:rPr>
          <w:rFonts w:ascii="Arial" w:cs="Arial" w:eastAsia="Arial" w:hAnsi="Arial"/>
          <w:sz w:val="18"/>
          <w:szCs w:val="18"/>
          <w:color w:val="000000"/>
        </w:rPr>
        <w:t xml:space="preserve">, repay, or, to the extent permitted by </w:t>
      </w:r>
      <w:r>
        <w:rPr>
          <w:rFonts w:ascii="Arial" w:cs="Arial" w:eastAsia="Arial" w:hAnsi="Arial"/>
          <w:sz w:val="18"/>
          <w:szCs w:val="18"/>
          <w:u w:val="single" w:color="auto"/>
          <w:color w:val="000000"/>
        </w:rPr>
        <w:t>Section 2.09</w:t>
      </w:r>
      <w:r>
        <w:rPr>
          <w:rFonts w:ascii="Arial" w:cs="Arial" w:eastAsia="Arial" w:hAnsi="Arial"/>
          <w:sz w:val="18"/>
          <w:szCs w:val="18"/>
          <w:color w:val="000000"/>
        </w:rPr>
        <w:t xml:space="preserve">, prepay, Revolving Loans and reborrow under this </w:t>
      </w:r>
      <w:r>
        <w:rPr>
          <w:rFonts w:ascii="Arial" w:cs="Arial" w:eastAsia="Arial" w:hAnsi="Arial"/>
          <w:sz w:val="18"/>
          <w:szCs w:val="18"/>
          <w:u w:val="single" w:color="auto"/>
          <w:color w:val="000000"/>
        </w:rPr>
        <w:t>Section 2.01(a)</w:t>
      </w:r>
      <w:r>
        <w:rPr>
          <w:rFonts w:ascii="Arial" w:cs="Arial" w:eastAsia="Arial" w:hAnsi="Arial"/>
          <w:sz w:val="18"/>
          <w:szCs w:val="18"/>
          <w:color w:val="000000"/>
        </w:rPr>
        <w:t>.</w:t>
      </w:r>
    </w:p>
    <w:p>
      <w:pPr>
        <w:spacing w:after="0" w:line="142" w:lineRule="exact"/>
        <w:rPr>
          <w:sz w:val="20"/>
          <w:szCs w:val="20"/>
          <w:color w:val="auto"/>
        </w:rPr>
      </w:pPr>
    </w:p>
    <w:p>
      <w:pPr>
        <w:ind w:right="40" w:firstLine="1305"/>
        <w:spacing w:after="0" w:line="273" w:lineRule="auto"/>
        <w:tabs>
          <w:tab w:leader="none" w:pos="2175" w:val="left"/>
        </w:tabs>
        <w:numPr>
          <w:ilvl w:val="0"/>
          <w:numId w:val="172"/>
        </w:numPr>
        <w:rPr>
          <w:rFonts w:ascii="Arial" w:cs="Arial" w:eastAsia="Arial" w:hAnsi="Arial"/>
          <w:sz w:val="20"/>
          <w:szCs w:val="20"/>
          <w:color w:val="auto"/>
        </w:rPr>
      </w:pPr>
      <w:r>
        <w:rPr>
          <w:rFonts w:ascii="Arial" w:cs="Arial" w:eastAsia="Arial" w:hAnsi="Arial"/>
          <w:sz w:val="20"/>
          <w:szCs w:val="20"/>
          <w:i w:val="1"/>
          <w:iCs w:val="1"/>
          <w:u w:val="single" w:color="auto"/>
          <w:color w:val="auto"/>
        </w:rPr>
        <w:t>Term Loans</w:t>
      </w:r>
      <w:r>
        <w:rPr>
          <w:rFonts w:ascii="Arial" w:cs="Arial" w:eastAsia="Arial" w:hAnsi="Arial"/>
          <w:sz w:val="20"/>
          <w:szCs w:val="20"/>
          <w:color w:val="auto"/>
        </w:rPr>
        <w:t>. Subject to the terms and conditions set forth herein, each Term Lender severally agrees to make a Term</w:t>
      </w:r>
      <w:r>
        <w:rPr>
          <w:rFonts w:ascii="Arial" w:cs="Arial" w:eastAsia="Arial" w:hAnsi="Arial"/>
          <w:sz w:val="20"/>
          <w:szCs w:val="20"/>
          <w:i w:val="1"/>
          <w:iCs w:val="1"/>
          <w:color w:val="auto"/>
        </w:rPr>
        <w:t xml:space="preserve"> </w:t>
      </w:r>
      <w:r>
        <w:rPr>
          <w:rFonts w:ascii="Arial" w:cs="Arial" w:eastAsia="Arial" w:hAnsi="Arial"/>
          <w:sz w:val="20"/>
          <w:szCs w:val="20"/>
          <w:color w:val="auto"/>
        </w:rPr>
        <w:t>Loan to the Lead Borrower in Dollars on the Closing Date in a principal amount not exceeding its Term Commitment. The Term Borrowing shall be made from the several Term Lenders ratably in proportion to their respective Term Commitments. The Term Commitments are not revolving in nature, and amounts repaid or prepaid prior to the Term Loan Maturity Date may not be reborrowed. Any Term Commitments not funded on the Closing Date will be terminated.</w:t>
      </w:r>
    </w:p>
    <w:p>
      <w:pPr>
        <w:spacing w:after="0" w:line="150" w:lineRule="exact"/>
        <w:rPr>
          <w:rFonts w:ascii="Arial" w:cs="Arial" w:eastAsia="Arial" w:hAnsi="Arial"/>
          <w:sz w:val="20"/>
          <w:szCs w:val="20"/>
          <w:color w:val="auto"/>
        </w:rPr>
      </w:pPr>
    </w:p>
    <w:p>
      <w:pPr>
        <w:ind w:left="2180" w:hanging="875"/>
        <w:spacing w:after="0"/>
        <w:tabs>
          <w:tab w:leader="none" w:pos="2180" w:val="left"/>
        </w:tabs>
        <w:numPr>
          <w:ilvl w:val="0"/>
          <w:numId w:val="172"/>
        </w:numPr>
        <w:rPr>
          <w:rFonts w:ascii="Arial" w:cs="Arial" w:eastAsia="Arial" w:hAnsi="Arial"/>
          <w:sz w:val="20"/>
          <w:szCs w:val="20"/>
          <w:color w:val="auto"/>
        </w:rPr>
      </w:pPr>
      <w:r>
        <w:rPr>
          <w:rFonts w:ascii="Arial" w:cs="Arial" w:eastAsia="Arial" w:hAnsi="Arial"/>
          <w:sz w:val="20"/>
          <w:szCs w:val="20"/>
          <w:i w:val="1"/>
          <w:iCs w:val="1"/>
          <w:u w:val="single" w:color="auto"/>
          <w:color w:val="auto"/>
        </w:rPr>
        <w:t>Swing Line Loans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firstLine="1467"/>
        <w:spacing w:after="0" w:line="300" w:lineRule="auto"/>
        <w:tabs>
          <w:tab w:leader="none" w:pos="2132" w:val="left"/>
        </w:tabs>
        <w:numPr>
          <w:ilvl w:val="1"/>
          <w:numId w:val="172"/>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the Swing Line Lender agrees in its sole discretion, in reliance upon the agreements of the other Revolving Lenders set forth in this subsection (c), to make a portion of the Revolving Commitments available to any Borrower from time to time during the Revolving Availability Period by making Swing Line Loans to such Borrower in Dollars (each such loan, a “</w:t>
      </w:r>
      <w:r>
        <w:rPr>
          <w:rFonts w:ascii="Arial" w:cs="Arial" w:eastAsia="Arial" w:hAnsi="Arial"/>
          <w:sz w:val="18"/>
          <w:szCs w:val="18"/>
          <w:u w:val="single" w:color="auto"/>
          <w:color w:val="auto"/>
        </w:rPr>
        <w:t>Swing Line Loan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Swing Line Loans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aggregate principal amount of the Swing Line Loans outstanding at any one time shall not exceed the Swing Line Committed Amount, (B) each Swing Line Borrowing shall be in an aggregate principal amount of $100,000 or any larger multiple of $100,000, (C) with regard to each Lender individually (other than the Swing Line Lender in its capacity as such), such Lender’s outstanding Revolving Loans plus its Participation Interests in outstanding Swing Line Loans plus its Participation Interests in outstanding L/C Obligations shall not at any time exceed such Lender’s Revolving Commitment Percentage of the Revolving Committed Amount, (D) with regard to the Revolving Lenders collectively, the sum of the aggregate principal amount of Swing Line Loans outstanding plus the aggregate amount of Revolving Loans outstanding plus the aggregate amount of L/C Obligations outstanding shall not exceed the Revolving Committed Amount, (E) the Swing Line Committed Amount shall not exceed the aggregate of the Revolving Commitments then in effect, (F) no Swing Line Loans may be drawn on the Closing Date and (G) the Swing Line Lender shall not be under any obligation to make any Swing Line Loans if any Revolving Lender is at such time a Defaulting Lender hereunder, unless the Swing Line Lender has entered into arrangements, including the delivery of Cash Collateral, satisfactory to the Swing Line Lender (in its sole discretion) with the applicable Borrower or such Revolving Lender to eliminate the Swing Line Lenders’ actual or potential Fronting Exposure (after giving effect to </w:t>
      </w:r>
      <w:r>
        <w:rPr>
          <w:rFonts w:ascii="Arial" w:cs="Arial" w:eastAsia="Arial" w:hAnsi="Arial"/>
          <w:sz w:val="18"/>
          <w:szCs w:val="18"/>
          <w:u w:val="single" w:color="auto"/>
          <w:color w:val="auto"/>
        </w:rPr>
        <w:t>Section 2.17(a)(iv)</w:t>
      </w:r>
      <w:r>
        <w:rPr>
          <w:rFonts w:ascii="Arial" w:cs="Arial" w:eastAsia="Arial" w:hAnsi="Arial"/>
          <w:sz w:val="18"/>
          <w:szCs w:val="18"/>
          <w:color w:val="auto"/>
        </w:rPr>
        <w:t>) with respect to the Defaulting Lender arising from either the Swing Line Loans then proposed to be made and all other Swing Line Loans as to which the Swing Line Lender has actual or potential Fronting Exposure, as it may elect in its sole discretion. Swing Line Loans shall be made and maintained as Base Rate Loans and may be repaid and reborrowed in accordance with the provisions hereof prior to the Swing Line Termination Date. Swing Line Loans may be made notwithstanding the fact that such Swing Line Loans, when aggregated with the Swing Line Lender’s other Revolving Outstandings, exceed its Revolving Commitment. The proceeds of a Swing Line Borrowing may not be used, in whole or in part, to refund any prior Swing Line Borrowing.</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5620" w:hanging="120"/>
        <w:spacing w:after="0"/>
        <w:tabs>
          <w:tab w:leader="none" w:pos="5620" w:val="left"/>
        </w:tabs>
        <w:numPr>
          <w:ilvl w:val="2"/>
          <w:numId w:val="172"/>
        </w:numPr>
        <w:rPr>
          <w:rFonts w:ascii="Arial" w:cs="Arial" w:eastAsia="Arial" w:hAnsi="Arial"/>
          <w:sz w:val="20"/>
          <w:szCs w:val="20"/>
          <w:color w:val="auto"/>
        </w:rPr>
      </w:pPr>
      <w:r>
        <w:rPr>
          <w:rFonts w:ascii="Arial" w:cs="Arial" w:eastAsia="Arial" w:hAnsi="Arial"/>
          <w:sz w:val="20"/>
          <w:szCs w:val="20"/>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60" w:name="page261"/>
    <w:bookmarkEnd w:id="260"/>
    <w:p>
      <w:pPr>
        <w:ind w:left="-1200" w:firstLine="1467"/>
        <w:spacing w:after="0" w:line="273" w:lineRule="auto"/>
        <w:tabs>
          <w:tab w:leader="none" w:pos="986"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The principal amount of all Swing Line Loans shall be due and payable on the earliest of (A) the 10th Business Day after the incurrence of such Swing Line Loan, unless another maturity date shall be agreed to by the Swing Line Lender and the applicable Borrower with respect to such Swing Line Loan, (B) the Swing Line Termination Date, (C) the occurrence of any proceeding with respect to any Borrower under any Insolvency or Liquidation Proceeding or (D) the acceleration of any Loan or the termination of the Revolving Commitments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w:t>
      </w:r>
    </w:p>
    <w:p>
      <w:pPr>
        <w:spacing w:after="0" w:line="150" w:lineRule="exact"/>
        <w:rPr>
          <w:rFonts w:ascii="Arial" w:cs="Arial" w:eastAsia="Arial" w:hAnsi="Arial"/>
          <w:sz w:val="20"/>
          <w:szCs w:val="20"/>
          <w:color w:val="auto"/>
        </w:rPr>
      </w:pPr>
    </w:p>
    <w:p>
      <w:pPr>
        <w:ind w:left="-1200" w:right="40" w:firstLine="1467"/>
        <w:spacing w:after="0" w:line="272" w:lineRule="auto"/>
        <w:tabs>
          <w:tab w:leader="none" w:pos="1041"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With respect to any Swing Line Loans that have not been voluntarily prepaid by a Borrower or paid by a Borrower when due under clause (ii) above, the Swing Line Lender (by request to the Administrative Agent) or the Administrative Agent at any time may, on one Business Day’s notice, require each Revolving Lender, including the Swing Line Lender, and each such Lender hereby agrees, subject to the provisions of this </w:t>
      </w:r>
      <w:r>
        <w:rPr>
          <w:rFonts w:ascii="Arial" w:cs="Arial" w:eastAsia="Arial" w:hAnsi="Arial"/>
          <w:sz w:val="20"/>
          <w:szCs w:val="20"/>
          <w:u w:val="single" w:color="auto"/>
          <w:color w:val="auto"/>
        </w:rPr>
        <w:t>Section 2.01(c)</w:t>
      </w:r>
      <w:r>
        <w:rPr>
          <w:rFonts w:ascii="Arial" w:cs="Arial" w:eastAsia="Arial" w:hAnsi="Arial"/>
          <w:sz w:val="20"/>
          <w:szCs w:val="20"/>
          <w:color w:val="auto"/>
        </w:rPr>
        <w:t>, to make a Revolving Loan (which shall be initially funded as a Base Rate Loan) in an amount in Dollars equal to such Lender’s Revolving Commitment Percentage of the amount of the Swing Line Loans (the “</w:t>
      </w:r>
      <w:r>
        <w:rPr>
          <w:rFonts w:ascii="Arial" w:cs="Arial" w:eastAsia="Arial" w:hAnsi="Arial"/>
          <w:sz w:val="20"/>
          <w:szCs w:val="20"/>
          <w:u w:val="single" w:color="auto"/>
          <w:color w:val="auto"/>
        </w:rPr>
        <w:t>Refunded Swing Line</w:t>
      </w:r>
      <w:r>
        <w:rPr>
          <w:rFonts w:ascii="Arial" w:cs="Arial" w:eastAsia="Arial" w:hAnsi="Arial"/>
          <w:sz w:val="20"/>
          <w:szCs w:val="20"/>
          <w:color w:val="auto"/>
        </w:rPr>
        <w:t xml:space="preserve"> </w:t>
      </w:r>
      <w:r>
        <w:rPr>
          <w:rFonts w:ascii="Arial" w:cs="Arial" w:eastAsia="Arial" w:hAnsi="Arial"/>
          <w:sz w:val="20"/>
          <w:szCs w:val="20"/>
          <w:u w:val="single" w:color="auto"/>
          <w:color w:val="auto"/>
        </w:rPr>
        <w:t>Loans</w:t>
      </w:r>
      <w:r>
        <w:rPr>
          <w:rFonts w:ascii="Arial" w:cs="Arial" w:eastAsia="Arial" w:hAnsi="Arial"/>
          <w:sz w:val="20"/>
          <w:szCs w:val="20"/>
          <w:color w:val="auto"/>
        </w:rPr>
        <w:t>”) outstanding on the date notice is given.</w:t>
      </w:r>
    </w:p>
    <w:p>
      <w:pPr>
        <w:spacing w:after="0" w:line="151" w:lineRule="exact"/>
        <w:rPr>
          <w:rFonts w:ascii="Arial" w:cs="Arial" w:eastAsia="Arial" w:hAnsi="Arial"/>
          <w:sz w:val="20"/>
          <w:szCs w:val="20"/>
          <w:color w:val="auto"/>
        </w:rPr>
      </w:pPr>
    </w:p>
    <w:p>
      <w:pPr>
        <w:ind w:left="-1200" w:right="100" w:firstLine="1467"/>
        <w:spacing w:after="0" w:line="301" w:lineRule="auto"/>
        <w:tabs>
          <w:tab w:leader="none" w:pos="103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In the case of Revolving Loans made by Lenders other than the Swing Line Lender under clause (iii) above, each such Revolving Lender shall make the amount of its Revolving Loan available to the Administrative Agent, in same day funds, at the Administrative Agent’s Office, not later than 1:00 P.M. on the Business Day next succeeding the date such notice is given. The proceeds of such Revolving Loans shall be immediately delivered to the Swing Line Lender (and not to any Borrower) and applied to repay the Refunded Swing Line Loans. On the day such Revolving Loans are made, the Swing Line Lender’s Revolving Commitment Percentage of the Refunded Swing Line Loans shall be deemed to be paid with the proceeds of a Revolving Loan made by the Swing Line Lender and such portion of the Swing Line Loans deemed to be so paid shall no longer be outstanding as Swing Line Loans and shall instead be outstanding as Revolving Loans. The applicable Borrower authorizes the Administrative Agent and the Swing Line Lender to charge such Borrower’s account with the Administrative Agent (up to the amount available in such account) in order to pay immediately to the Swing Line Lender the amount of such Refunded Swing Line Loans to the extent amounts received from the Revolving Lenders, including amounts deemed to be received from the Swing Line Lender, are not sufficient to repay in full such Refunded Swing Line Loans. If any portion of any such amount paid (or deemed to be paid) to the Swing Line Lender should be recovered by or on behalf of the applicable Borrower from the Swing Line Lender in bankruptcy, by assignment for the benefit of creditors or otherwise, the loss of the amount so recovered shall be ratably shared among all Revolving Lenders in the manner contemplated by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33" w:lineRule="exact"/>
        <w:rPr>
          <w:rFonts w:ascii="Arial" w:cs="Arial" w:eastAsia="Arial" w:hAnsi="Arial"/>
          <w:sz w:val="18"/>
          <w:szCs w:val="18"/>
          <w:color w:val="auto"/>
        </w:rPr>
      </w:pPr>
    </w:p>
    <w:p>
      <w:pPr>
        <w:ind w:left="-1200" w:right="100" w:firstLine="1467"/>
        <w:spacing w:after="0" w:line="274" w:lineRule="auto"/>
        <w:tabs>
          <w:tab w:leader="none" w:pos="975"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A copy of each notice given by the Swing Line Lender pursuant to this </w:t>
      </w:r>
      <w:r>
        <w:rPr>
          <w:rFonts w:ascii="Arial" w:cs="Arial" w:eastAsia="Arial" w:hAnsi="Arial"/>
          <w:sz w:val="20"/>
          <w:szCs w:val="20"/>
          <w:u w:val="single" w:color="auto"/>
          <w:color w:val="auto"/>
        </w:rPr>
        <w:t>Section 2.01(c)</w:t>
      </w:r>
      <w:r>
        <w:rPr>
          <w:rFonts w:ascii="Arial" w:cs="Arial" w:eastAsia="Arial" w:hAnsi="Arial"/>
          <w:sz w:val="20"/>
          <w:szCs w:val="20"/>
          <w:color w:val="auto"/>
        </w:rPr>
        <w:t xml:space="preserve"> shall be promptly delivered by the Swing Line Lender to the Administrative Agent and the applicable Borrower. Upon the making of a Revolving Loan by a Revolving Lender pursuant to this </w:t>
      </w:r>
      <w:r>
        <w:rPr>
          <w:rFonts w:ascii="Arial" w:cs="Arial" w:eastAsia="Arial" w:hAnsi="Arial"/>
          <w:sz w:val="20"/>
          <w:szCs w:val="20"/>
          <w:u w:val="single" w:color="auto"/>
          <w:color w:val="auto"/>
        </w:rPr>
        <w:t>Section 2.01(c)</w:t>
      </w:r>
      <w:r>
        <w:rPr>
          <w:rFonts w:ascii="Arial" w:cs="Arial" w:eastAsia="Arial" w:hAnsi="Arial"/>
          <w:sz w:val="20"/>
          <w:szCs w:val="20"/>
          <w:color w:val="auto"/>
        </w:rPr>
        <w:t>, the amount so funded shall no longer be owed in respect of its Participation Interest in the related Refunded Swing Line Loans.</w:t>
      </w:r>
    </w:p>
    <w:p>
      <w:pPr>
        <w:spacing w:after="0" w:line="151" w:lineRule="exact"/>
        <w:rPr>
          <w:rFonts w:ascii="Arial" w:cs="Arial" w:eastAsia="Arial" w:hAnsi="Arial"/>
          <w:sz w:val="20"/>
          <w:szCs w:val="20"/>
          <w:color w:val="auto"/>
        </w:rPr>
      </w:pPr>
    </w:p>
    <w:p>
      <w:pPr>
        <w:ind w:left="-1200" w:right="100" w:firstLine="1467"/>
        <w:spacing w:after="0" w:line="287" w:lineRule="auto"/>
        <w:tabs>
          <w:tab w:leader="none" w:pos="1031"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If as a result of any proceeding under any Insolvency or Liquidation Proceeding, Revolving Loans are not made pursuant to this </w:t>
      </w:r>
      <w:r>
        <w:rPr>
          <w:rFonts w:ascii="Arial" w:cs="Arial" w:eastAsia="Arial" w:hAnsi="Arial"/>
          <w:sz w:val="19"/>
          <w:szCs w:val="19"/>
          <w:u w:val="single" w:color="auto"/>
          <w:color w:val="auto"/>
        </w:rPr>
        <w:t>Section 2.01(c)</w:t>
      </w:r>
      <w:r>
        <w:rPr>
          <w:rFonts w:ascii="Arial" w:cs="Arial" w:eastAsia="Arial" w:hAnsi="Arial"/>
          <w:sz w:val="19"/>
          <w:szCs w:val="19"/>
          <w:color w:val="auto"/>
        </w:rPr>
        <w:t xml:space="preserve"> sufficient to repay any amounts owed to the Swing Line Lender as a result of a nonpayment of outstanding Swing Line Loans, each Revolving Lender agrees to purchase, and shall be deemed to have purchased, a participation in such outstanding Swing Line Loans in an amount equal to its Revolving Commitment Percentage of the unpaid amount together with accrued interest thereon. Upon one Business Day’s notice from the Swing Line Lender, each Revolving Lender shall deliver to the Swing Line Lender an amount equal to its respective Participation Interest in such Swing Line Loans in same day funds at the office of the Swing Line Lender specified or referred to in </w:t>
      </w:r>
      <w:r>
        <w:rPr>
          <w:rFonts w:ascii="Arial" w:cs="Arial" w:eastAsia="Arial" w:hAnsi="Arial"/>
          <w:sz w:val="19"/>
          <w:szCs w:val="19"/>
          <w:u w:val="single" w:color="auto"/>
          <w:color w:val="auto"/>
        </w:rPr>
        <w:t>Section 10.02</w:t>
      </w:r>
      <w:r>
        <w:rPr>
          <w:rFonts w:ascii="Arial" w:cs="Arial" w:eastAsia="Arial" w:hAnsi="Arial"/>
          <w:sz w:val="19"/>
          <w:szCs w:val="19"/>
          <w:color w:val="auto"/>
        </w:rPr>
        <w:t>. In order to evidence such Participation Interest each Revolving</w:t>
      </w:r>
    </w:p>
    <w:p>
      <w:pPr>
        <w:spacing w:after="0" w:line="200" w:lineRule="exact"/>
        <w:rPr>
          <w:rFonts w:ascii="Arial" w:cs="Arial" w:eastAsia="Arial" w:hAnsi="Arial"/>
          <w:sz w:val="19"/>
          <w:szCs w:val="19"/>
          <w:color w:val="auto"/>
        </w:rPr>
      </w:pPr>
    </w:p>
    <w:p>
      <w:pPr>
        <w:spacing w:after="0" w:line="388" w:lineRule="exact"/>
        <w:rPr>
          <w:rFonts w:ascii="Arial" w:cs="Arial" w:eastAsia="Arial" w:hAnsi="Arial"/>
          <w:sz w:val="19"/>
          <w:szCs w:val="19"/>
          <w:color w:val="auto"/>
        </w:rPr>
      </w:pPr>
    </w:p>
    <w:p>
      <w:pPr>
        <w:ind w:left="4420" w:hanging="120"/>
        <w:spacing w:after="0"/>
        <w:tabs>
          <w:tab w:leader="none" w:pos="4420" w:val="left"/>
        </w:tabs>
        <w:numPr>
          <w:ilvl w:val="1"/>
          <w:numId w:val="173"/>
        </w:numPr>
        <w:rPr>
          <w:rFonts w:ascii="Arial" w:cs="Arial" w:eastAsia="Arial" w:hAnsi="Arial"/>
          <w:sz w:val="20"/>
          <w:szCs w:val="20"/>
          <w:color w:val="auto"/>
        </w:rPr>
      </w:pPr>
      <w:r>
        <w:rPr>
          <w:rFonts w:ascii="Arial" w:cs="Arial" w:eastAsia="Arial" w:hAnsi="Arial"/>
          <w:sz w:val="20"/>
          <w:szCs w:val="20"/>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48895</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180"/>
          </w:cols>
          <w:pgMar w:left="1440" w:top="379" w:right="279" w:bottom="1440" w:gutter="0" w:footer="0" w:header="0"/>
        </w:sectPr>
      </w:pPr>
    </w:p>
    <w:bookmarkStart w:id="261" w:name="page262"/>
    <w:bookmarkEnd w:id="261"/>
    <w:p>
      <w:pPr>
        <w:ind w:right="140"/>
        <w:spacing w:after="0" w:line="278" w:lineRule="auto"/>
        <w:rPr>
          <w:sz w:val="20"/>
          <w:szCs w:val="20"/>
          <w:color w:val="auto"/>
        </w:rPr>
      </w:pPr>
      <w:r>
        <w:rPr>
          <w:rFonts w:ascii="Arial" w:cs="Arial" w:eastAsia="Arial" w:hAnsi="Arial"/>
          <w:sz w:val="18"/>
          <w:szCs w:val="18"/>
          <w:color w:val="auto"/>
        </w:rPr>
        <w:t xml:space="preserve">Lender agrees to enter into a participation agreement at the request of the Swing Line Lender in form and substance reasonably satisfactory to all parties. In the event any Revolving Lender fails to make available to the Swing Line Lender the amount of such Revolving Lender’s Participation Interest as provided in this </w:t>
      </w:r>
      <w:r>
        <w:rPr>
          <w:rFonts w:ascii="Arial" w:cs="Arial" w:eastAsia="Arial" w:hAnsi="Arial"/>
          <w:sz w:val="18"/>
          <w:szCs w:val="18"/>
          <w:u w:val="single" w:color="auto"/>
          <w:color w:val="auto"/>
        </w:rPr>
        <w:t>Section 2.01(c)(vi)</w:t>
      </w:r>
      <w:r>
        <w:rPr>
          <w:rFonts w:ascii="Arial" w:cs="Arial" w:eastAsia="Arial" w:hAnsi="Arial"/>
          <w:sz w:val="18"/>
          <w:szCs w:val="18"/>
          <w:color w:val="auto"/>
        </w:rPr>
        <w:t>, the Swing Line Lender shall be entitled to recover such amount on demand from such Revolving Lender together with interest at the customary rate set by the Swing Line Lender for correction of errors among banks in New York City for one Business Day and thereafter at the Base Rate plus the then Applicable Margin for Base Rate Loans.</w:t>
      </w:r>
    </w:p>
    <w:p>
      <w:pPr>
        <w:spacing w:after="0" w:line="138" w:lineRule="exact"/>
        <w:rPr>
          <w:sz w:val="20"/>
          <w:szCs w:val="20"/>
          <w:color w:val="auto"/>
        </w:rPr>
      </w:pPr>
    </w:p>
    <w:p>
      <w:pPr>
        <w:ind w:right="20" w:firstLine="1467"/>
        <w:spacing w:after="0" w:line="284" w:lineRule="auto"/>
        <w:tabs>
          <w:tab w:leader="none" w:pos="2285"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Each Revolving Lender’s obligation to make Revolving Loans pursuant to clause (iv) above and to purchase Participation Interests in outstanding Swing Line Loans pursuant to clause (vi) above shall be absolute and unconditional and shall not be affected by any circumstance, including (without limitation) (i) any set-off, counterclaim, recoupment, defense or other right which such Revolving Lender or any other Person may have against the Swing Line Lender, any Borrower or any other Loan Party, (ii) the occurrence or continuance of a Default or an Event of Default or the termination or reduction in the amount of the Revolving Commitments after any such Swing Line Loans were made, (iii) any adverse change in the condition (financial or otherwise) of any Borrower or any other Person, (iv) any breach of this Agreement or any other Finance Document by any Borrower or any other Lender, (v) whether any condition specified in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is then satisfied or (vi) any other circumstance, happening or event whatsoever, whether or not similar to any of the forgoing. If such Lender does not pay such amount forthwith upon the Swing Line Lender’s demand therefor, and until such time as such Lender makes the required payment, the Swing Line Lender shall be deemed to continue to have outstanding Swing Line Loans in the amount of such unpaid Participation Interest for all purposes of the Finance Documents other than those provisions requiring the other Lenders to purchase a participation therein. Further, such Lender shall be deemed to have assigned any and all payments made of principal and interest on its Loans, and any other amounts due to it hereunder, to the Swing Line Lender to fund Swing Line Loans in the amount of the Participation Interest in Swing Line Loans that such Lender failed to purchase pursuant to this </w:t>
      </w:r>
      <w:r>
        <w:rPr>
          <w:rFonts w:ascii="Arial" w:cs="Arial" w:eastAsia="Arial" w:hAnsi="Arial"/>
          <w:sz w:val="19"/>
          <w:szCs w:val="19"/>
          <w:u w:val="single" w:color="auto"/>
          <w:color w:val="auto"/>
        </w:rPr>
        <w:t>Section 2.01(c)(vii)</w:t>
      </w:r>
      <w:r>
        <w:rPr>
          <w:rFonts w:ascii="Arial" w:cs="Arial" w:eastAsia="Arial" w:hAnsi="Arial"/>
          <w:sz w:val="19"/>
          <w:szCs w:val="19"/>
          <w:color w:val="auto"/>
        </w:rPr>
        <w:t xml:space="preserve"> until such amount has been purchased (as a result of such assignment or otherwise).</w:t>
      </w:r>
    </w:p>
    <w:p>
      <w:pPr>
        <w:spacing w:after="0" w:line="343"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2.02</w:t>
      </w:r>
      <w:r>
        <w:rPr>
          <w:sz w:val="20"/>
          <w:szCs w:val="20"/>
          <w:color w:val="auto"/>
        </w:rPr>
        <w:tab/>
      </w:r>
      <w:r>
        <w:rPr>
          <w:rFonts w:ascii="Arial" w:cs="Arial" w:eastAsia="Arial" w:hAnsi="Arial"/>
          <w:sz w:val="18"/>
          <w:szCs w:val="18"/>
          <w:u w:val="single" w:color="auto"/>
          <w:color w:val="auto"/>
        </w:rPr>
        <w:t>Notice of Borrowings</w:t>
      </w:r>
      <w:r>
        <w:rPr>
          <w:rFonts w:ascii="Arial" w:cs="Arial" w:eastAsia="Arial" w:hAnsi="Arial"/>
          <w:sz w:val="18"/>
          <w:szCs w:val="18"/>
          <w:color w:val="auto"/>
        </w:rPr>
        <w:t>.</w:t>
      </w:r>
    </w:p>
    <w:p>
      <w:pPr>
        <w:spacing w:after="0" w:line="195" w:lineRule="exact"/>
        <w:rPr>
          <w:sz w:val="20"/>
          <w:szCs w:val="20"/>
          <w:color w:val="auto"/>
        </w:rPr>
      </w:pPr>
    </w:p>
    <w:p>
      <w:pPr>
        <w:ind w:firstLine="1305"/>
        <w:spacing w:after="0" w:line="286" w:lineRule="auto"/>
        <w:tabs>
          <w:tab w:leader="none" w:pos="2164" w:val="left"/>
        </w:tabs>
        <w:numPr>
          <w:ilvl w:val="0"/>
          <w:numId w:val="175"/>
        </w:numPr>
        <w:rPr>
          <w:rFonts w:ascii="Arial" w:cs="Arial" w:eastAsia="Arial" w:hAnsi="Arial"/>
          <w:sz w:val="19"/>
          <w:szCs w:val="19"/>
          <w:color w:val="auto"/>
        </w:rPr>
      </w:pPr>
      <w:r>
        <w:rPr>
          <w:rFonts w:ascii="Arial" w:cs="Arial" w:eastAsia="Arial" w:hAnsi="Arial"/>
          <w:sz w:val="19"/>
          <w:szCs w:val="19"/>
          <w:i w:val="1"/>
          <w:iCs w:val="1"/>
          <w:u w:val="single" w:color="auto"/>
          <w:color w:val="auto"/>
        </w:rPr>
        <w:t>Borrowings Other Than Swing Line Loans and L/C Borrowings</w:t>
      </w:r>
      <w:r>
        <w:rPr>
          <w:rFonts w:ascii="Arial" w:cs="Arial" w:eastAsia="Arial" w:hAnsi="Arial"/>
          <w:sz w:val="19"/>
          <w:szCs w:val="19"/>
          <w:color w:val="auto"/>
        </w:rPr>
        <w:t>. Except in the case of Swing Line Loans and L/C</w:t>
      </w:r>
      <w:r>
        <w:rPr>
          <w:rFonts w:ascii="Arial" w:cs="Arial" w:eastAsia="Arial" w:hAnsi="Arial"/>
          <w:sz w:val="19"/>
          <w:szCs w:val="19"/>
          <w:i w:val="1"/>
          <w:iCs w:val="1"/>
          <w:color w:val="auto"/>
        </w:rPr>
        <w:t xml:space="preserve"> </w:t>
      </w:r>
      <w:r>
        <w:rPr>
          <w:rFonts w:ascii="Arial" w:cs="Arial" w:eastAsia="Arial" w:hAnsi="Arial"/>
          <w:sz w:val="19"/>
          <w:szCs w:val="19"/>
          <w:color w:val="auto"/>
        </w:rPr>
        <w:t>Borrowings, the applicable Borrower shall give the Administrative Agent an irrevocable notice; which may be given by (A) telephone, or (B) a Notice of Borrowing; provided that any telephone notice must be confirmed immediately by delivery to the Administrative Agent of a Notice of Borrowing. Each such Notice of Borrowing must be received by the Administrative Agent not later than 12:00 P.M. on (i) the first Business Day before the proposed Base Rate Borrowing and (ii) the third Business Day before each proposed Eurodollar Loan Borrowing (except that the Notice of Borrowing with respect to Loans to be borrowed on the Closing Date may be in such form and may be provided on such shorter notice as may be agreed by the Administrative Agent), unless such Borrower wishes to request an Interest Period for such Borrowing other than one, two, three or six months in duration as provided in the definition of “Interest Period,” in which case on the fourth Business Day before each such Eurodollar Loan, specifying:</w:t>
      </w:r>
    </w:p>
    <w:p>
      <w:pPr>
        <w:spacing w:after="0" w:line="141" w:lineRule="exact"/>
        <w:rPr>
          <w:rFonts w:ascii="Arial" w:cs="Arial" w:eastAsia="Arial" w:hAnsi="Arial"/>
          <w:sz w:val="19"/>
          <w:szCs w:val="19"/>
          <w:color w:val="auto"/>
        </w:rPr>
      </w:pPr>
    </w:p>
    <w:p>
      <w:pPr>
        <w:ind w:left="2140" w:hanging="673"/>
        <w:spacing w:after="0"/>
        <w:tabs>
          <w:tab w:leader="none" w:pos="214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242" w:lineRule="exact"/>
        <w:rPr>
          <w:rFonts w:ascii="Arial" w:cs="Arial" w:eastAsia="Arial" w:hAnsi="Arial"/>
          <w:sz w:val="20"/>
          <w:szCs w:val="20"/>
          <w:color w:val="auto"/>
        </w:rPr>
      </w:pPr>
    </w:p>
    <w:p>
      <w:pPr>
        <w:ind w:left="2200" w:hanging="733"/>
        <w:spacing w:after="0"/>
        <w:tabs>
          <w:tab w:leader="none" w:pos="220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the aggregate amount of such Borrowing;</w:t>
      </w:r>
    </w:p>
    <w:p>
      <w:pPr>
        <w:spacing w:after="0" w:line="242" w:lineRule="exact"/>
        <w:rPr>
          <w:rFonts w:ascii="Arial" w:cs="Arial" w:eastAsia="Arial" w:hAnsi="Arial"/>
          <w:sz w:val="20"/>
          <w:szCs w:val="20"/>
          <w:color w:val="auto"/>
        </w:rPr>
      </w:pPr>
    </w:p>
    <w:p>
      <w:pPr>
        <w:ind w:left="2240" w:hanging="773"/>
        <w:spacing w:after="0"/>
        <w:tabs>
          <w:tab w:leader="none" w:pos="224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the Class and initial Type of the Loans comprising such Borrowing;</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88" w:lineRule="exact"/>
        <w:rPr>
          <w:rFonts w:ascii="Arial" w:cs="Arial" w:eastAsia="Arial" w:hAnsi="Arial"/>
          <w:sz w:val="20"/>
          <w:szCs w:val="20"/>
          <w:color w:val="auto"/>
        </w:rPr>
      </w:pPr>
    </w:p>
    <w:p>
      <w:pPr>
        <w:ind w:left="5620" w:hanging="120"/>
        <w:spacing w:after="0"/>
        <w:tabs>
          <w:tab w:leader="none" w:pos="5620" w:val="left"/>
        </w:tabs>
        <w:numPr>
          <w:ilvl w:val="2"/>
          <w:numId w:val="175"/>
        </w:numPr>
        <w:rPr>
          <w:rFonts w:ascii="Arial" w:cs="Arial" w:eastAsia="Arial" w:hAnsi="Arial"/>
          <w:sz w:val="20"/>
          <w:szCs w:val="20"/>
          <w:color w:val="auto"/>
        </w:rPr>
      </w:pPr>
      <w:r>
        <w:rPr>
          <w:rFonts w:ascii="Arial" w:cs="Arial" w:eastAsia="Arial" w:hAnsi="Arial"/>
          <w:sz w:val="20"/>
          <w:szCs w:val="20"/>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62" w:name="page263"/>
    <w:bookmarkEnd w:id="262"/>
    <w:p>
      <w:pPr>
        <w:ind w:left="660" w:right="700" w:firstLine="807"/>
        <w:spacing w:after="0" w:line="289" w:lineRule="auto"/>
        <w:tabs>
          <w:tab w:leader="none" w:pos="2242" w:val="left"/>
        </w:tabs>
        <w:numPr>
          <w:ilvl w:val="0"/>
          <w:numId w:val="176"/>
        </w:numPr>
        <w:rPr>
          <w:rFonts w:ascii="Arial" w:cs="Arial" w:eastAsia="Arial" w:hAnsi="Arial"/>
          <w:sz w:val="20"/>
          <w:szCs w:val="20"/>
          <w:color w:val="auto"/>
        </w:rPr>
      </w:pPr>
      <w:r>
        <w:rPr>
          <w:rFonts w:ascii="Arial" w:cs="Arial" w:eastAsia="Arial" w:hAnsi="Arial"/>
          <w:sz w:val="20"/>
          <w:szCs w:val="20"/>
          <w:color w:val="auto"/>
        </w:rPr>
        <w:t xml:space="preserve">in the case of a Eurodollar Loan, the duration of the initial Interest Period applicable thereto, subject to the provisions of the definition of “Interest Period” and to </w:t>
      </w:r>
      <w:r>
        <w:rPr>
          <w:rFonts w:ascii="Arial" w:cs="Arial" w:eastAsia="Arial" w:hAnsi="Arial"/>
          <w:sz w:val="20"/>
          <w:szCs w:val="20"/>
          <w:u w:val="single" w:color="auto"/>
          <w:color w:val="auto"/>
        </w:rPr>
        <w:t>Section 2.06(a)</w:t>
      </w:r>
      <w:r>
        <w:rPr>
          <w:rFonts w:ascii="Arial" w:cs="Arial" w:eastAsia="Arial" w:hAnsi="Arial"/>
          <w:sz w:val="20"/>
          <w:szCs w:val="20"/>
          <w:color w:val="auto"/>
        </w:rPr>
        <w:t>; and</w:t>
      </w:r>
    </w:p>
    <w:p>
      <w:pPr>
        <w:spacing w:after="0" w:line="175" w:lineRule="exact"/>
        <w:rPr>
          <w:rFonts w:ascii="Arial" w:cs="Arial" w:eastAsia="Arial" w:hAnsi="Arial"/>
          <w:sz w:val="20"/>
          <w:szCs w:val="20"/>
          <w:color w:val="auto"/>
        </w:rPr>
      </w:pPr>
    </w:p>
    <w:p>
      <w:pPr>
        <w:ind w:left="660" w:right="240" w:firstLine="807"/>
        <w:spacing w:after="0" w:line="316" w:lineRule="auto"/>
        <w:tabs>
          <w:tab w:leader="none" w:pos="2187"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the location (which must be in the United States or, in the case of an Irish Borrower, Ireland) and number of such Borrower’s account, to which funds are to be disbursed, which shall comply with the requirements of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14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 xml:space="preserve">If the duration of the initial Interest Period is not specified with respect to any requested Eurodollar Loan, then the applicable Borrower shall be deemed to have selected an initial Interest Period of one month, subject to the provisions of the definition of “Interest Period” and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2.06(a)</w:t>
      </w:r>
      <w:r>
        <w:rPr>
          <w:rFonts w:ascii="Arial" w:cs="Arial" w:eastAsia="Arial" w:hAnsi="Arial"/>
          <w:sz w:val="20"/>
          <w:szCs w:val="20"/>
          <w:color w:val="auto"/>
        </w:rPr>
        <w:t>.</w:t>
      </w:r>
    </w:p>
    <w:p>
      <w:pPr>
        <w:spacing w:after="0" w:line="159" w:lineRule="exact"/>
        <w:rPr>
          <w:sz w:val="20"/>
          <w:szCs w:val="20"/>
          <w:color w:val="auto"/>
        </w:rPr>
      </w:pPr>
    </w:p>
    <w:p>
      <w:pPr>
        <w:ind w:right="120" w:firstLine="1305"/>
        <w:spacing w:after="0" w:line="285" w:lineRule="auto"/>
        <w:tabs>
          <w:tab w:leader="none" w:pos="2175" w:val="left"/>
        </w:tabs>
        <w:numPr>
          <w:ilvl w:val="0"/>
          <w:numId w:val="177"/>
        </w:numPr>
        <w:rPr>
          <w:rFonts w:ascii="Arial" w:cs="Arial" w:eastAsia="Arial" w:hAnsi="Arial"/>
          <w:sz w:val="19"/>
          <w:szCs w:val="19"/>
          <w:color w:val="auto"/>
        </w:rPr>
      </w:pPr>
      <w:r>
        <w:rPr>
          <w:rFonts w:ascii="Arial" w:cs="Arial" w:eastAsia="Arial" w:hAnsi="Arial"/>
          <w:sz w:val="19"/>
          <w:szCs w:val="19"/>
          <w:i w:val="1"/>
          <w:iCs w:val="1"/>
          <w:u w:val="single" w:color="auto"/>
          <w:color w:val="auto"/>
        </w:rPr>
        <w:t>Swing Line Borrowings</w:t>
      </w:r>
      <w:r>
        <w:rPr>
          <w:rFonts w:ascii="Arial" w:cs="Arial" w:eastAsia="Arial" w:hAnsi="Arial"/>
          <w:sz w:val="19"/>
          <w:szCs w:val="19"/>
          <w:color w:val="auto"/>
        </w:rPr>
        <w:t>. The applicable Borrower shall request a Swing Line Loan by (A) telephone or (B) written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notice substantially in the form of </w:t>
      </w:r>
      <w:r>
        <w:rPr>
          <w:rFonts w:ascii="Arial" w:cs="Arial" w:eastAsia="Arial" w:hAnsi="Arial"/>
          <w:sz w:val="19"/>
          <w:szCs w:val="19"/>
          <w:u w:val="single" w:color="auto"/>
          <w:color w:val="auto"/>
        </w:rPr>
        <w:t>Exhibit A-4</w:t>
      </w:r>
      <w:r>
        <w:rPr>
          <w:rFonts w:ascii="Arial" w:cs="Arial" w:eastAsia="Arial" w:hAnsi="Arial"/>
          <w:sz w:val="19"/>
          <w:szCs w:val="19"/>
          <w:color w:val="auto"/>
        </w:rPr>
        <w:t xml:space="preserve"> hereto or such other form as approved by the Administrative Agent (including any form on an electronic platform or electronic transmission system as shall be approved by the Administrative Agent), appropriately completed and signed by a Responsible Officer of the applicable Borrower (a “</w:t>
      </w:r>
      <w:r>
        <w:rPr>
          <w:rFonts w:ascii="Arial" w:cs="Arial" w:eastAsia="Arial" w:hAnsi="Arial"/>
          <w:sz w:val="19"/>
          <w:szCs w:val="19"/>
          <w:u w:val="single" w:color="auto"/>
          <w:color w:val="auto"/>
        </w:rPr>
        <w:t>Swing Line Loan Request</w:t>
      </w:r>
      <w:r>
        <w:rPr>
          <w:rFonts w:ascii="Arial" w:cs="Arial" w:eastAsia="Arial" w:hAnsi="Arial"/>
          <w:sz w:val="19"/>
          <w:szCs w:val="19"/>
          <w:color w:val="auto"/>
        </w:rPr>
        <w:t xml:space="preserve">”) to the Swing Line Lender and the Administrative Agent; provided that any telephonic notice must be confirmed promptly by delivery to the Swing Line Lender and the Administrative Agent of a Swing Line Loan Request. Each such notice must be received by the Swing Line Lender and the Administrative Agent not later than (i) in the case of the U.S. Borrower, 12:00 P.M. or (ii) in the case of an Irish Borrower, 11:00 A.M. (Dublin time), in each case on the Business Day of the requested Swing Line Loan. Each such notice shall be irrevocable and shall specify (i) that a Swing Line Loan is requested, (ii) the date of the requested Swing Line Loan (which shall be a Business Day) and (iii) the principal amount of the Swing Line Loan requested, which shall be a minimum of $100,000. Each Swing Line Loan shall be made as a Base Rate Loan and, subject to </w:t>
      </w:r>
      <w:r>
        <w:rPr>
          <w:rFonts w:ascii="Arial" w:cs="Arial" w:eastAsia="Arial" w:hAnsi="Arial"/>
          <w:sz w:val="19"/>
          <w:szCs w:val="19"/>
          <w:u w:val="single" w:color="auto"/>
          <w:color w:val="auto"/>
        </w:rPr>
        <w:t>Section 2.01(c)(ii)</w:t>
      </w:r>
      <w:r>
        <w:rPr>
          <w:rFonts w:ascii="Arial" w:cs="Arial" w:eastAsia="Arial" w:hAnsi="Arial"/>
          <w:sz w:val="19"/>
          <w:szCs w:val="19"/>
          <w:color w:val="auto"/>
        </w:rPr>
        <w:t>, shall have such maturity date as agreed to by the Swing Line Lender and the applicable Borrower upon receipt by the Swing Line Lender of the Swing Line Loan Request from such Borrower.</w:t>
      </w:r>
    </w:p>
    <w:p>
      <w:pPr>
        <w:spacing w:after="0" w:line="141" w:lineRule="exact"/>
        <w:rPr>
          <w:rFonts w:ascii="Arial" w:cs="Arial" w:eastAsia="Arial" w:hAnsi="Arial"/>
          <w:sz w:val="19"/>
          <w:szCs w:val="19"/>
          <w:color w:val="auto"/>
        </w:rPr>
      </w:pPr>
    </w:p>
    <w:p>
      <w:pPr>
        <w:ind w:left="2180" w:hanging="875"/>
        <w:spacing w:after="0"/>
        <w:tabs>
          <w:tab w:leader="none" w:pos="2180" w:val="left"/>
        </w:tabs>
        <w:numPr>
          <w:ilvl w:val="0"/>
          <w:numId w:val="177"/>
        </w:numPr>
        <w:rPr>
          <w:rFonts w:ascii="Arial" w:cs="Arial" w:eastAsia="Arial" w:hAnsi="Arial"/>
          <w:sz w:val="18"/>
          <w:szCs w:val="18"/>
          <w:color w:val="auto"/>
        </w:rPr>
      </w:pPr>
      <w:r>
        <w:rPr>
          <w:rFonts w:ascii="Arial" w:cs="Arial" w:eastAsia="Arial" w:hAnsi="Arial"/>
          <w:sz w:val="18"/>
          <w:szCs w:val="18"/>
          <w:i w:val="1"/>
          <w:iCs w:val="1"/>
          <w:u w:val="single" w:color="auto"/>
          <w:color w:val="auto"/>
        </w:rPr>
        <w:t>L/C Borrowings</w:t>
      </w:r>
      <w:r>
        <w:rPr>
          <w:rFonts w:ascii="Arial" w:cs="Arial" w:eastAsia="Arial" w:hAnsi="Arial"/>
          <w:sz w:val="18"/>
          <w:szCs w:val="18"/>
          <w:color w:val="auto"/>
        </w:rPr>
        <w:t>. Each L/C Borrowing shall be made as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2.05(e)(iv)</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necessity of a</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Notice of Borrowing.</w:t>
      </w:r>
    </w:p>
    <w:p>
      <w:pPr>
        <w:spacing w:after="0" w:line="202" w:lineRule="exact"/>
        <w:rPr>
          <w:rFonts w:ascii="Arial" w:cs="Arial" w:eastAsia="Arial" w:hAnsi="Arial"/>
          <w:sz w:val="18"/>
          <w:szCs w:val="18"/>
          <w:color w:val="auto"/>
        </w:rPr>
      </w:pPr>
    </w:p>
    <w:p>
      <w:pPr>
        <w:jc w:val="both"/>
        <w:ind w:right="200" w:firstLine="1305"/>
        <w:spacing w:after="0" w:line="274" w:lineRule="auto"/>
        <w:tabs>
          <w:tab w:leader="none" w:pos="2175" w:val="left"/>
        </w:tabs>
        <w:numPr>
          <w:ilvl w:val="0"/>
          <w:numId w:val="177"/>
        </w:numPr>
        <w:rPr>
          <w:rFonts w:ascii="Arial" w:cs="Arial" w:eastAsia="Arial" w:hAnsi="Arial"/>
          <w:sz w:val="20"/>
          <w:szCs w:val="20"/>
          <w:color w:val="auto"/>
        </w:rPr>
      </w:pPr>
      <w:r>
        <w:rPr>
          <w:rFonts w:ascii="Arial" w:cs="Arial" w:eastAsia="Arial" w:hAnsi="Arial"/>
          <w:sz w:val="20"/>
          <w:szCs w:val="20"/>
          <w:i w:val="1"/>
          <w:iCs w:val="1"/>
          <w:u w:val="single" w:color="auto"/>
          <w:color w:val="auto"/>
        </w:rPr>
        <w:t>Foreign Borrowings</w:t>
      </w:r>
      <w:r>
        <w:rPr>
          <w:rFonts w:ascii="Arial" w:cs="Arial" w:eastAsia="Arial" w:hAnsi="Arial"/>
          <w:sz w:val="20"/>
          <w:szCs w:val="20"/>
          <w:i w:val="1"/>
          <w:iCs w:val="1"/>
          <w:color w:val="auto"/>
        </w:rPr>
        <w:t xml:space="preserve">. </w:t>
      </w:r>
      <w:r>
        <w:rPr>
          <w:rFonts w:ascii="Arial" w:cs="Arial" w:eastAsia="Arial" w:hAnsi="Arial"/>
          <w:sz w:val="20"/>
          <w:szCs w:val="20"/>
          <w:color w:val="auto"/>
        </w:rPr>
        <w:t>Each Lender may, at its option, make any Loan available to any Borrower that is a Foreign</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Subsidiary of Parent by causing any foreign or domestic branch or Affiliate of such Lender that is an Eligible Assignee to make such Loan; provided that any exercise of such option shall not affect the obligation of such Borrower to repay such Loan in accordance with the terms of this Agreement.</w:t>
      </w:r>
    </w:p>
    <w:p>
      <w:pPr>
        <w:spacing w:after="0" w:line="151" w:lineRule="exact"/>
        <w:rPr>
          <w:rFonts w:ascii="Arial" w:cs="Arial" w:eastAsia="Arial" w:hAnsi="Arial"/>
          <w:sz w:val="20"/>
          <w:szCs w:val="20"/>
          <w:color w:val="auto"/>
        </w:rPr>
      </w:pPr>
    </w:p>
    <w:p>
      <w:pPr>
        <w:ind w:right="560" w:firstLine="1305"/>
        <w:spacing w:after="0" w:line="274" w:lineRule="auto"/>
        <w:tabs>
          <w:tab w:leader="none" w:pos="2164" w:val="left"/>
        </w:tabs>
        <w:numPr>
          <w:ilvl w:val="0"/>
          <w:numId w:val="177"/>
        </w:numPr>
        <w:rPr>
          <w:rFonts w:ascii="Arial" w:cs="Arial" w:eastAsia="Arial" w:hAnsi="Arial"/>
          <w:sz w:val="20"/>
          <w:szCs w:val="20"/>
          <w:color w:val="auto"/>
        </w:rPr>
      </w:pPr>
      <w:r>
        <w:rPr>
          <w:rFonts w:ascii="Arial" w:cs="Arial" w:eastAsia="Arial" w:hAnsi="Arial"/>
          <w:sz w:val="20"/>
          <w:szCs w:val="20"/>
          <w:i w:val="1"/>
          <w:iCs w:val="1"/>
          <w:u w:val="single" w:color="auto"/>
          <w:color w:val="auto"/>
        </w:rPr>
        <w:t>Cashless Settlement</w:t>
      </w:r>
      <w:r>
        <w:rPr>
          <w:rFonts w:ascii="Arial" w:cs="Arial" w:eastAsia="Arial" w:hAnsi="Arial"/>
          <w:sz w:val="20"/>
          <w:szCs w:val="20"/>
          <w:color w:val="auto"/>
        </w:rPr>
        <w:t>. Notwithstanding anything to the contrary in this Agreement, any Lender may exchange,</w:t>
      </w:r>
      <w:r>
        <w:rPr>
          <w:rFonts w:ascii="Arial" w:cs="Arial" w:eastAsia="Arial" w:hAnsi="Arial"/>
          <w:sz w:val="20"/>
          <w:szCs w:val="20"/>
          <w:i w:val="1"/>
          <w:iCs w:val="1"/>
          <w:color w:val="auto"/>
        </w:rPr>
        <w:t xml:space="preserve"> </w:t>
      </w:r>
      <w:r>
        <w:rPr>
          <w:rFonts w:ascii="Arial" w:cs="Arial" w:eastAsia="Arial" w:hAnsi="Arial"/>
          <w:sz w:val="20"/>
          <w:szCs w:val="20"/>
          <w:color w:val="auto"/>
        </w:rPr>
        <w:t>continue or rollover all or a portion of its Loans in connection with any refinancing, extension, loan modification or similar transaction permitted by the terms of this Agreement, pursuant to a cashless settlement mechanism approved by the applicable Borrower, the Administrative Agent, and such Lender.</w:t>
      </w:r>
    </w:p>
    <w:p>
      <w:pPr>
        <w:spacing w:after="0" w:line="348"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2.03</w:t>
      </w:r>
      <w:r>
        <w:rPr>
          <w:sz w:val="20"/>
          <w:szCs w:val="20"/>
          <w:color w:val="auto"/>
        </w:rPr>
        <w:tab/>
      </w:r>
      <w:r>
        <w:rPr>
          <w:rFonts w:ascii="Arial" w:cs="Arial" w:eastAsia="Arial" w:hAnsi="Arial"/>
          <w:sz w:val="18"/>
          <w:szCs w:val="18"/>
          <w:u w:val="single" w:color="auto"/>
          <w:color w:val="auto"/>
        </w:rPr>
        <w:t>Notice to Lenders; Funding of Loans</w:t>
      </w:r>
      <w:r>
        <w:rPr>
          <w:rFonts w:ascii="Arial" w:cs="Arial" w:eastAsia="Arial" w:hAnsi="Arial"/>
          <w:sz w:val="18"/>
          <w:szCs w:val="18"/>
          <w:color w:val="auto"/>
        </w:rPr>
        <w:t>.</w:t>
      </w:r>
    </w:p>
    <w:p>
      <w:pPr>
        <w:spacing w:after="0" w:line="195" w:lineRule="exact"/>
        <w:rPr>
          <w:sz w:val="20"/>
          <w:szCs w:val="20"/>
          <w:color w:val="auto"/>
        </w:rPr>
      </w:pPr>
    </w:p>
    <w:p>
      <w:pPr>
        <w:jc w:val="both"/>
        <w:ind w:right="100" w:firstLine="1305"/>
        <w:spacing w:after="0" w:line="274" w:lineRule="auto"/>
        <w:tabs>
          <w:tab w:leader="none" w:pos="2164" w:val="left"/>
        </w:tabs>
        <w:numPr>
          <w:ilvl w:val="0"/>
          <w:numId w:val="178"/>
        </w:numPr>
        <w:rPr>
          <w:rFonts w:ascii="Arial" w:cs="Arial" w:eastAsia="Arial" w:hAnsi="Arial"/>
          <w:sz w:val="20"/>
          <w:szCs w:val="20"/>
          <w:color w:val="auto"/>
        </w:rPr>
      </w:pPr>
      <w:r>
        <w:rPr>
          <w:rFonts w:ascii="Arial" w:cs="Arial" w:eastAsia="Arial" w:hAnsi="Arial"/>
          <w:sz w:val="20"/>
          <w:szCs w:val="20"/>
          <w:i w:val="1"/>
          <w:iCs w:val="1"/>
          <w:u w:val="single" w:color="auto"/>
          <w:color w:val="auto"/>
        </w:rPr>
        <w:t>Notice to Lenders</w:t>
      </w:r>
      <w:r>
        <w:rPr>
          <w:rFonts w:ascii="Arial" w:cs="Arial" w:eastAsia="Arial" w:hAnsi="Arial"/>
          <w:sz w:val="20"/>
          <w:szCs w:val="20"/>
          <w:color w:val="auto"/>
        </w:rPr>
        <w:t>. If a Borrower has requested an Interest Period of other than one, two, three or six months in</w:t>
      </w:r>
      <w:r>
        <w:rPr>
          <w:rFonts w:ascii="Arial" w:cs="Arial" w:eastAsia="Arial" w:hAnsi="Arial"/>
          <w:sz w:val="20"/>
          <w:szCs w:val="20"/>
          <w:i w:val="1"/>
          <w:iCs w:val="1"/>
          <w:color w:val="auto"/>
        </w:rPr>
        <w:t xml:space="preserve"> </w:t>
      </w:r>
      <w:r>
        <w:rPr>
          <w:rFonts w:ascii="Arial" w:cs="Arial" w:eastAsia="Arial" w:hAnsi="Arial"/>
          <w:sz w:val="20"/>
          <w:szCs w:val="20"/>
          <w:color w:val="auto"/>
        </w:rPr>
        <w:t>duration, the Administrative Agent shall give prompt notice of such request to the applicable Lenders and determine whether the requested Interest Period is acceptable to all of them. Not later than 11:00 A.M. on the third Business Day before the requested date of such a Eurodollar Loan, the Administrative Agent shall notify such Borrower (which notice may be by</w:t>
      </w:r>
    </w:p>
    <w:p>
      <w:pPr>
        <w:spacing w:after="0" w:line="200" w:lineRule="exact"/>
        <w:rPr>
          <w:rFonts w:ascii="Arial" w:cs="Arial" w:eastAsia="Arial" w:hAnsi="Arial"/>
          <w:sz w:val="20"/>
          <w:szCs w:val="20"/>
          <w:color w:val="auto"/>
        </w:rPr>
      </w:pPr>
    </w:p>
    <w:p>
      <w:pPr>
        <w:spacing w:after="0" w:line="397" w:lineRule="exact"/>
        <w:rPr>
          <w:rFonts w:ascii="Arial" w:cs="Arial" w:eastAsia="Arial" w:hAnsi="Arial"/>
          <w:sz w:val="20"/>
          <w:szCs w:val="20"/>
          <w:color w:val="auto"/>
        </w:rPr>
      </w:pPr>
    </w:p>
    <w:p>
      <w:pPr>
        <w:ind w:left="5620" w:hanging="120"/>
        <w:spacing w:after="0"/>
        <w:tabs>
          <w:tab w:leader="none" w:pos="562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79" w:right="279" w:bottom="1440" w:gutter="0" w:footer="0" w:header="0"/>
        </w:sectPr>
      </w:pPr>
    </w:p>
    <w:bookmarkStart w:id="263" w:name="page264"/>
    <w:bookmarkEnd w:id="263"/>
    <w:p>
      <w:pPr>
        <w:ind w:right="80"/>
        <w:spacing w:after="0" w:line="250" w:lineRule="auto"/>
        <w:rPr>
          <w:sz w:val="20"/>
          <w:szCs w:val="20"/>
          <w:color w:val="auto"/>
        </w:rPr>
      </w:pPr>
      <w:r>
        <w:rPr>
          <w:rFonts w:ascii="Arial" w:cs="Arial" w:eastAsia="Arial" w:hAnsi="Arial"/>
          <w:sz w:val="20"/>
          <w:szCs w:val="20"/>
          <w:color w:val="auto"/>
        </w:rPr>
        <w:t>telephone) whether or not the requested Interest Period has been consented to by all the Lenders. Upon receipt of a Notice of Borrowing, the Administrative Agent shall promptly notify each Lender of such Lender’s ratable share (if any) of the Borrowing referred to therein, and such Notice of Borrowing shall not thereafter be revocable by the applicable Borrower.</w:t>
      </w:r>
    </w:p>
    <w:p>
      <w:pPr>
        <w:spacing w:after="0" w:line="159" w:lineRule="exact"/>
        <w:rPr>
          <w:sz w:val="20"/>
          <w:szCs w:val="20"/>
          <w:color w:val="auto"/>
        </w:rPr>
      </w:pPr>
    </w:p>
    <w:p>
      <w:pPr>
        <w:ind w:left="2180" w:hanging="875"/>
        <w:spacing w:after="0"/>
        <w:tabs>
          <w:tab w:leader="none" w:pos="2180" w:val="left"/>
        </w:tabs>
        <w:numPr>
          <w:ilvl w:val="0"/>
          <w:numId w:val="179"/>
        </w:numPr>
        <w:rPr>
          <w:rFonts w:ascii="Arial" w:cs="Arial" w:eastAsia="Arial" w:hAnsi="Arial"/>
          <w:sz w:val="20"/>
          <w:szCs w:val="20"/>
          <w:color w:val="auto"/>
        </w:rPr>
      </w:pPr>
      <w:r>
        <w:rPr>
          <w:rFonts w:ascii="Arial" w:cs="Arial" w:eastAsia="Arial" w:hAnsi="Arial"/>
          <w:sz w:val="20"/>
          <w:szCs w:val="20"/>
          <w:i w:val="1"/>
          <w:iCs w:val="1"/>
          <w:u w:val="single" w:color="auto"/>
          <w:color w:val="auto"/>
        </w:rPr>
        <w:t>Funding of Loans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right="60" w:firstLine="1467"/>
        <w:spacing w:after="0" w:line="303" w:lineRule="auto"/>
        <w:tabs>
          <w:tab w:leader="none" w:pos="2132" w:val="left"/>
        </w:tabs>
        <w:numPr>
          <w:ilvl w:val="1"/>
          <w:numId w:val="179"/>
        </w:numPr>
        <w:rPr>
          <w:rFonts w:ascii="Arial" w:cs="Arial" w:eastAsia="Arial" w:hAnsi="Arial"/>
          <w:sz w:val="18"/>
          <w:szCs w:val="18"/>
          <w:color w:val="auto"/>
        </w:rPr>
      </w:pPr>
      <w:r>
        <w:rPr>
          <w:rFonts w:ascii="Arial" w:cs="Arial" w:eastAsia="Arial" w:hAnsi="Arial"/>
          <w:sz w:val="18"/>
          <w:szCs w:val="18"/>
          <w:color w:val="auto"/>
        </w:rPr>
        <w:t xml:space="preserve">(x) Not later than 1:00 P.M. on the date of each Borrowing (other than a Base Rate Borrowing, a Swing Line Borrowing and an L/C Borrowing) or (y) not later than 1:00 P.M. on the date of each Base Rate Borrowing, each Lender participating therein shall make available its share of such Borrowing, in Federal or other immediately available funds, to the Administrative Agent at the Administrative Agent’s Office. Unless the Administrative Agent determines that any applicable condition specified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has not been satisfied, the Administrative Agent shall make the funds so received available to the applicable Borrower in like funds as received by the Administrative Agent either by (A) crediting the account of such Borrower on the books of the Administrative Agent with the amount of such funds or (B) wire transfer of such funds, in each case in accordance with instructions provided to (and reasonably acceptable to) the Administrative Agent by such Borrower in the applicable Notice of Borrowing, or, if a Borrowing shall not occur on such date because any condition precedent herein shall not have been met, promptly return the amounts received from the Lenders in like funds, without interest.</w:t>
      </w:r>
    </w:p>
    <w:p>
      <w:pPr>
        <w:spacing w:after="0" w:line="133" w:lineRule="exact"/>
        <w:rPr>
          <w:rFonts w:ascii="Arial" w:cs="Arial" w:eastAsia="Arial" w:hAnsi="Arial"/>
          <w:sz w:val="18"/>
          <w:szCs w:val="18"/>
          <w:color w:val="auto"/>
        </w:rPr>
      </w:pPr>
    </w:p>
    <w:p>
      <w:pPr>
        <w:ind w:firstLine="1467"/>
        <w:spacing w:after="0" w:line="273" w:lineRule="auto"/>
        <w:tabs>
          <w:tab w:leader="none" w:pos="2186" w:val="left"/>
        </w:tabs>
        <w:numPr>
          <w:ilvl w:val="1"/>
          <w:numId w:val="179"/>
        </w:numPr>
        <w:rPr>
          <w:rFonts w:ascii="Arial" w:cs="Arial" w:eastAsia="Arial" w:hAnsi="Arial"/>
          <w:sz w:val="20"/>
          <w:szCs w:val="20"/>
          <w:color w:val="auto"/>
        </w:rPr>
      </w:pPr>
      <w:r>
        <w:rPr>
          <w:rFonts w:ascii="Arial" w:cs="Arial" w:eastAsia="Arial" w:hAnsi="Arial"/>
          <w:sz w:val="20"/>
          <w:szCs w:val="20"/>
          <w:color w:val="auto"/>
        </w:rPr>
        <w:t xml:space="preserve">Not later than (x) in the case of the U.S. Borrower, 3:00 P.M. or (y) in the case of an Irish Borrower, 3:00 P.M. (Dublin time) on the date of each Swing Line Borrowing, the Swing Line Lender shall, unless the Administrative Agent shall have notified the Swing Line Lender that any applicable condition specified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has not been satisfied, make available the amount of such Swing Line Borrowing, in Federal or other immediately available funds, to the applicable Borrower at the Swing Line Lender’s address referred to in </w:t>
      </w:r>
      <w:r>
        <w:rPr>
          <w:rFonts w:ascii="Arial" w:cs="Arial" w:eastAsia="Arial" w:hAnsi="Arial"/>
          <w:sz w:val="20"/>
          <w:szCs w:val="20"/>
          <w:u w:val="single" w:color="auto"/>
          <w:color w:val="auto"/>
        </w:rPr>
        <w:t>Section 10.02</w:t>
      </w:r>
      <w:r>
        <w:rPr>
          <w:rFonts w:ascii="Arial" w:cs="Arial" w:eastAsia="Arial" w:hAnsi="Arial"/>
          <w:sz w:val="20"/>
          <w:szCs w:val="20"/>
          <w:color w:val="auto"/>
        </w:rPr>
        <w:t>.</w:t>
      </w:r>
    </w:p>
    <w:p>
      <w:pPr>
        <w:spacing w:after="0" w:line="150" w:lineRule="exact"/>
        <w:rPr>
          <w:rFonts w:ascii="Arial" w:cs="Arial" w:eastAsia="Arial" w:hAnsi="Arial"/>
          <w:sz w:val="20"/>
          <w:szCs w:val="20"/>
          <w:color w:val="auto"/>
        </w:rPr>
      </w:pPr>
    </w:p>
    <w:p>
      <w:pPr>
        <w:jc w:val="both"/>
        <w:ind w:right="20" w:firstLine="1467"/>
        <w:spacing w:after="0" w:line="290" w:lineRule="auto"/>
        <w:tabs>
          <w:tab w:leader="none" w:pos="2241" w:val="left"/>
        </w:tabs>
        <w:numPr>
          <w:ilvl w:val="1"/>
          <w:numId w:val="179"/>
        </w:numPr>
        <w:rPr>
          <w:rFonts w:ascii="Arial" w:cs="Arial" w:eastAsia="Arial" w:hAnsi="Arial"/>
          <w:sz w:val="19"/>
          <w:szCs w:val="19"/>
          <w:color w:val="auto"/>
        </w:rPr>
      </w:pPr>
      <w:r>
        <w:rPr>
          <w:rFonts w:ascii="Arial" w:cs="Arial" w:eastAsia="Arial" w:hAnsi="Arial"/>
          <w:sz w:val="19"/>
          <w:szCs w:val="19"/>
          <w:color w:val="auto"/>
        </w:rPr>
        <w:t xml:space="preserve">Not later than 1:00 P.M. on the date of each L/C Borrowing, each Revolving Lender shall make available its share of such Borrowing, in Federal or other immediately available funds, to the Administrative Agent at the Administrative Agent’s Office. Unless the Administrative Agent determines that any applicable condition specified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has not been satisfied (other than the delivery of a Notice of Borrowing), the Administrative Agent shall remit the funds so received to the L/C Issuer which has issued Letters of Credit having outstanding Unreimbursed Amounts as contemplated by </w:t>
      </w:r>
      <w:r>
        <w:rPr>
          <w:rFonts w:ascii="Arial" w:cs="Arial" w:eastAsia="Arial" w:hAnsi="Arial"/>
          <w:sz w:val="19"/>
          <w:szCs w:val="19"/>
          <w:u w:val="single" w:color="auto"/>
          <w:color w:val="auto"/>
        </w:rPr>
        <w:t>Section 2.05(e)(v)</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ind w:right="20" w:firstLine="1305"/>
        <w:spacing w:after="0" w:line="344" w:lineRule="auto"/>
        <w:tabs>
          <w:tab w:leader="none" w:pos="2164" w:val="left"/>
        </w:tabs>
        <w:numPr>
          <w:ilvl w:val="0"/>
          <w:numId w:val="179"/>
        </w:numPr>
        <w:rPr>
          <w:rFonts w:ascii="Arial" w:cs="Arial" w:eastAsia="Arial" w:hAnsi="Arial"/>
          <w:sz w:val="16"/>
          <w:szCs w:val="16"/>
          <w:color w:val="auto"/>
        </w:rPr>
      </w:pPr>
      <w:r>
        <w:rPr>
          <w:rFonts w:ascii="Arial" w:cs="Arial" w:eastAsia="Arial" w:hAnsi="Arial"/>
          <w:sz w:val="16"/>
          <w:szCs w:val="16"/>
          <w:i w:val="1"/>
          <w:iCs w:val="1"/>
          <w:u w:val="single" w:color="auto"/>
          <w:color w:val="auto"/>
        </w:rPr>
        <w:t>Funding by the Administrative Agent in Anticipation of Amounts Due from the Lenders</w:t>
      </w:r>
      <w:r>
        <w:rPr>
          <w:rFonts w:ascii="Arial" w:cs="Arial" w:eastAsia="Arial" w:hAnsi="Arial"/>
          <w:sz w:val="16"/>
          <w:szCs w:val="16"/>
          <w:color w:val="auto"/>
        </w:rPr>
        <w:t>. Unless the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to the Administrative Agent on the date of such Borrowing in accordance with subsection (b) of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and the Administrative Agent may, in reliance upon such assumption, but is not required to, make available to applicable Borrower on such date a corresponding amount. In such event, if a Lender has not in fact made its share of the applicable Borrowing available to the Administrative Agent then the applicable Lender and applicable Borrower severally agree to pay to the Administrative Agent forthwith on demand such corresponding amount in immediately available funds with interest thereon, for each day from and including the date such amount is made available to such Borrower but excluding the date of payment to the Administrative Agent at (i) in the case of a payment to be made by such Lender, the greater of the Federal Funds Rate and a rate determined by the Administrative Agent in accordance with banking industry rules on interbank compensation and (ii) in the case of a payment to be made by a Borrower, the interest rate applicable thereto pursuant to </w:t>
      </w:r>
      <w:r>
        <w:rPr>
          <w:rFonts w:ascii="Arial" w:cs="Arial" w:eastAsia="Arial" w:hAnsi="Arial"/>
          <w:sz w:val="16"/>
          <w:szCs w:val="16"/>
          <w:u w:val="single" w:color="auto"/>
          <w:color w:val="auto"/>
        </w:rPr>
        <w:t>Section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5620" w:hanging="120"/>
        <w:spacing w:after="0"/>
        <w:tabs>
          <w:tab w:leader="none" w:pos="5620" w:val="left"/>
        </w:tabs>
        <w:numPr>
          <w:ilvl w:val="2"/>
          <w:numId w:val="179"/>
        </w:numPr>
        <w:rPr>
          <w:rFonts w:ascii="Arial" w:cs="Arial" w:eastAsia="Arial" w:hAnsi="Arial"/>
          <w:sz w:val="20"/>
          <w:szCs w:val="20"/>
          <w:color w:val="auto"/>
        </w:rPr>
      </w:pPr>
      <w:r>
        <w:rPr>
          <w:rFonts w:ascii="Arial" w:cs="Arial" w:eastAsia="Arial" w:hAnsi="Arial"/>
          <w:sz w:val="20"/>
          <w:szCs w:val="20"/>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366" w:right="359" w:bottom="1440" w:gutter="0" w:footer="0" w:header="0"/>
        </w:sectPr>
      </w:pPr>
    </w:p>
    <w:bookmarkStart w:id="264" w:name="page265"/>
    <w:bookmarkEnd w:id="264"/>
    <w:p>
      <w:pPr>
        <w:spacing w:after="0" w:line="259" w:lineRule="auto"/>
        <w:rPr>
          <w:sz w:val="20"/>
          <w:szCs w:val="20"/>
          <w:color w:val="auto"/>
        </w:rPr>
      </w:pPr>
      <w:r>
        <w:rPr>
          <w:rFonts w:ascii="Arial" w:cs="Arial" w:eastAsia="Arial" w:hAnsi="Arial"/>
          <w:sz w:val="19"/>
          <w:szCs w:val="19"/>
          <w:u w:val="single" w:color="auto"/>
          <w:color w:val="auto"/>
        </w:rPr>
        <w:t>2.06</w:t>
      </w:r>
      <w:r>
        <w:rPr>
          <w:rFonts w:ascii="Arial" w:cs="Arial" w:eastAsia="Arial" w:hAnsi="Arial"/>
          <w:sz w:val="19"/>
          <w:szCs w:val="19"/>
          <w:color w:val="auto"/>
        </w:rPr>
        <w:t>. If a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a Borrower shall be without prejudice to any claim such Borrower may have against a Lender that shall have failed to make such payment to the Administrative Agent. A notice of the Administrative Agent to a Lender or any Borrower with respect to any amount owing under this subsection (c) shall be conclusive, absent manifest error.</w:t>
      </w:r>
    </w:p>
    <w:p>
      <w:pPr>
        <w:spacing w:after="0" w:line="30" w:lineRule="exact"/>
        <w:rPr>
          <w:sz w:val="20"/>
          <w:szCs w:val="20"/>
          <w:color w:val="auto"/>
        </w:rPr>
      </w:pPr>
    </w:p>
    <w:p>
      <w:pPr>
        <w:ind w:firstLine="1305"/>
        <w:spacing w:after="0" w:line="299" w:lineRule="auto"/>
        <w:tabs>
          <w:tab w:leader="none" w:pos="2175" w:val="left"/>
        </w:tabs>
        <w:numPr>
          <w:ilvl w:val="0"/>
          <w:numId w:val="180"/>
        </w:numPr>
        <w:rPr>
          <w:rFonts w:ascii="Arial" w:cs="Arial" w:eastAsia="Arial" w:hAnsi="Arial"/>
          <w:sz w:val="18"/>
          <w:szCs w:val="18"/>
          <w:color w:val="auto"/>
        </w:rPr>
      </w:pPr>
      <w:r>
        <w:rPr>
          <w:rFonts w:ascii="Arial" w:cs="Arial" w:eastAsia="Arial" w:hAnsi="Arial"/>
          <w:sz w:val="18"/>
          <w:szCs w:val="18"/>
          <w:i w:val="1"/>
          <w:iCs w:val="1"/>
          <w:u w:val="single" w:color="auto"/>
          <w:color w:val="auto"/>
        </w:rPr>
        <w:t>Failed Loans</w:t>
      </w:r>
      <w:r>
        <w:rPr>
          <w:rFonts w:ascii="Arial" w:cs="Arial" w:eastAsia="Arial" w:hAnsi="Arial"/>
          <w:sz w:val="18"/>
          <w:szCs w:val="18"/>
          <w:color w:val="auto"/>
        </w:rPr>
        <w:t>. If any Lender shall fail to make any Loan (a “</w:t>
      </w:r>
      <w:r>
        <w:rPr>
          <w:rFonts w:ascii="Arial" w:cs="Arial" w:eastAsia="Arial" w:hAnsi="Arial"/>
          <w:sz w:val="18"/>
          <w:szCs w:val="18"/>
          <w:u w:val="single" w:color="auto"/>
          <w:color w:val="auto"/>
        </w:rPr>
        <w:t>Failed Loan</w:t>
      </w:r>
      <w:r>
        <w:rPr>
          <w:rFonts w:ascii="Arial" w:cs="Arial" w:eastAsia="Arial" w:hAnsi="Arial"/>
          <w:sz w:val="18"/>
          <w:szCs w:val="18"/>
          <w:color w:val="auto"/>
        </w:rPr>
        <w:t>”) which such Lender is otherwise obligated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hereunder to make to a Borrower on the date of Borrowing thereof, and the Administrative Agent shall not have received notice from such Borrower or such Lender that any condition precedent to the making of the Failed Loan has not been satisfied, then, until such Lender shall have made or be deemed to have made (pursuant to the last sentence of this subsection (d)), the Failed Loan in full or the Administrative Agent shall have received notice from such Borrower or such Lender that any condition precedent to the making of the Failed Loan was not satisfied at the time the Failed Loan was to have been made, whenever the Administrative Agent shall receive any amount from such Borrower for the account of such Lender, (i) the amount so received (up to the amount of such Failed Loan) will, upon receipt by the Administrative Agent, be deemed to have been paid to the Lender in satisfaction of the obligation for which paid, without actual disbursement of such amount to the Lender, (ii) the Lender will be deemed to have made the same amount available to the Administrative Agent for disbursement as a Loan to the such Borrower (up to the amount of such Failed Loan) and (iii) the Administrative Agent will disburse such amount (up to the amount of the Failed Loan) to such Borrower or, if the Administrative Agent has previously made such amount available to such Borrower on behalf of such Lender pursuant to the provisions hereof, reimburse itself (up to the amount of the amount made available to such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shall have no obligation to disburse any such amount to such Borrower, or otherwise apply it or deem it applied as provided herein unless the Administrative Agent shall have determined in its sole discretion that to so disburse such amount will not violate any Law, rule, regulation or requirement applicable to the Administrative Agent. Upon any such disbursement by the Administrative Agent, such Lender shall be deemed to have made a Base Rate Loan of the same Class as the Failed Loan to the applicable Borrower in satisfaction, as applicable, to the extent thereof, of such Lender’s obligation to make the Failed Loan.</w:t>
      </w:r>
    </w:p>
    <w:p>
      <w:pPr>
        <w:spacing w:after="0" w:line="12"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b w:val="1"/>
          <w:bCs w:val="1"/>
          <w:color w:val="auto"/>
        </w:rPr>
        <w:t xml:space="preserve">Section 2.04  </w:t>
      </w:r>
      <w:r>
        <w:rPr>
          <w:rFonts w:ascii="Arial" w:cs="Arial" w:eastAsia="Arial" w:hAnsi="Arial"/>
          <w:sz w:val="20"/>
          <w:szCs w:val="20"/>
          <w:u w:val="single" w:color="auto"/>
          <w:color w:val="auto"/>
        </w:rPr>
        <w:t>Evidence of Loans</w:t>
      </w:r>
      <w:r>
        <w:rPr>
          <w:rFonts w:ascii="Arial" w:cs="Arial" w:eastAsia="Arial" w:hAnsi="Arial"/>
          <w:sz w:val="20"/>
          <w:szCs w:val="20"/>
          <w:color w:val="auto"/>
        </w:rPr>
        <w:t>.</w:t>
      </w:r>
    </w:p>
    <w:p>
      <w:pPr>
        <w:spacing w:after="0" w:line="127" w:lineRule="exact"/>
        <w:rPr>
          <w:sz w:val="20"/>
          <w:szCs w:val="20"/>
          <w:color w:val="auto"/>
        </w:rPr>
      </w:pPr>
    </w:p>
    <w:p>
      <w:pPr>
        <w:ind w:right="120" w:firstLine="1305"/>
        <w:spacing w:after="0" w:line="302" w:lineRule="auto"/>
        <w:tabs>
          <w:tab w:leader="none" w:pos="2164" w:val="left"/>
        </w:tabs>
        <w:numPr>
          <w:ilvl w:val="0"/>
          <w:numId w:val="181"/>
        </w:numPr>
        <w:rPr>
          <w:rFonts w:ascii="Arial" w:cs="Arial" w:eastAsia="Arial" w:hAnsi="Arial"/>
          <w:sz w:val="18"/>
          <w:szCs w:val="18"/>
          <w:color w:val="auto"/>
        </w:rPr>
      </w:pPr>
      <w:r>
        <w:rPr>
          <w:rFonts w:ascii="Arial" w:cs="Arial" w:eastAsia="Arial" w:hAnsi="Arial"/>
          <w:sz w:val="18"/>
          <w:szCs w:val="18"/>
          <w:i w:val="1"/>
          <w:iCs w:val="1"/>
          <w:u w:val="single" w:color="auto"/>
          <w:color w:val="auto"/>
        </w:rPr>
        <w:t>Lender and Administrative Agent Accounts; Notes</w:t>
      </w:r>
      <w:r>
        <w:rPr>
          <w:rFonts w:ascii="Arial" w:cs="Arial" w:eastAsia="Arial" w:hAnsi="Arial"/>
          <w:sz w:val="18"/>
          <w:szCs w:val="18"/>
          <w:color w:val="auto"/>
        </w:rPr>
        <w:t>. The Credit Extensions made by each Lender shall be evidenced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a Borrower and the interest and payments thereon. Any failure to so record or any error in doing so shall not, however, limit or otherwise affect the obligation of the applicable Borrower hereunder to pay any amount owing with respect to the Senior Credit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applicable Borrower shall execute and deliver to such Lender (through the Administrative Agent) a single Revolving Note or Term Note, as applicable, in each case,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B-2</w:t>
      </w:r>
      <w:r>
        <w:rPr>
          <w:rFonts w:ascii="Arial" w:cs="Arial" w:eastAsia="Arial" w:hAnsi="Arial"/>
          <w:sz w:val="18"/>
          <w:szCs w:val="18"/>
          <w:color w:val="auto"/>
        </w:rPr>
        <w:t>, as applicable, payable to the order of such Lender for the account of its Lending Office in an amount equal to the aggregate unpaid principal amount of such Lender’s Revolving Loans or Term Loans, as applicable, which shall evidence such Lender’s Loans in addition to such accounts or records. If requested by the Swing Line Lender, the Swing Line Loans</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5620" w:hanging="120"/>
        <w:spacing w:after="0"/>
        <w:tabs>
          <w:tab w:leader="none" w:pos="5620" w:val="left"/>
        </w:tabs>
        <w:numPr>
          <w:ilvl w:val="1"/>
          <w:numId w:val="181"/>
        </w:numPr>
        <w:rPr>
          <w:rFonts w:ascii="Arial" w:cs="Arial" w:eastAsia="Arial" w:hAnsi="Arial"/>
          <w:sz w:val="20"/>
          <w:szCs w:val="20"/>
          <w:color w:val="auto"/>
        </w:rPr>
      </w:pPr>
      <w:r>
        <w:rPr>
          <w:rFonts w:ascii="Arial" w:cs="Arial" w:eastAsia="Arial" w:hAnsi="Arial"/>
          <w:sz w:val="20"/>
          <w:szCs w:val="20"/>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65" w:name="page266"/>
    <w:bookmarkEnd w:id="265"/>
    <w:p>
      <w:pPr>
        <w:ind w:right="20"/>
        <w:spacing w:after="0" w:line="256" w:lineRule="auto"/>
        <w:rPr>
          <w:sz w:val="20"/>
          <w:szCs w:val="20"/>
          <w:color w:val="auto"/>
        </w:rPr>
      </w:pPr>
      <w:r>
        <w:rPr>
          <w:rFonts w:ascii="Arial" w:cs="Arial" w:eastAsia="Arial" w:hAnsi="Arial"/>
          <w:sz w:val="19"/>
          <w:szCs w:val="19"/>
          <w:color w:val="auto"/>
        </w:rPr>
        <w:t xml:space="preserve">shall be evidenced by a single Swing Line Note, substantially in the form of </w:t>
      </w:r>
      <w:r>
        <w:rPr>
          <w:rFonts w:ascii="Arial" w:cs="Arial" w:eastAsia="Arial" w:hAnsi="Arial"/>
          <w:sz w:val="19"/>
          <w:szCs w:val="19"/>
          <w:u w:val="single" w:color="auto"/>
          <w:color w:val="auto"/>
        </w:rPr>
        <w:t>Exhibit B-3</w:t>
      </w:r>
      <w:r>
        <w:rPr>
          <w:rFonts w:ascii="Arial" w:cs="Arial" w:eastAsia="Arial" w:hAnsi="Arial"/>
          <w:sz w:val="19"/>
          <w:szCs w:val="19"/>
          <w:color w:val="auto"/>
        </w:rPr>
        <w:t xml:space="preserve">, payable to the order of the Swing Line Lender in an amount equal to the aggregate unpaid principal amount of the Swing Line Loans. Each Lender having one or more Notes shall record the date, amount, Class and Type of each Loan made by it and the date and amount of each payment of principal made by the applicable Borrower with respect thereto, and may, if such Lender so elects in connection with any transfer or enforcement of any Note, endorse on the reverse side or on the schedule, if any, forming a part thereof appropriate notations to evidence the foregoing information with respect to each outstanding Loan evidenced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any Lender to make any such recordation or endorsement or any error in any such recordation or endorsement shall not affect the obligations of such Borrower hereunder or under any such Note. Each Lender is hereby irrevocably authorized by the applicable Borrower so to endorse each of its Notes and to attach to and make a part of each of its Notes a continuation of any such schedule as and when required.</w:t>
      </w:r>
    </w:p>
    <w:p>
      <w:pPr>
        <w:spacing w:after="0" w:line="90" w:lineRule="exact"/>
        <w:rPr>
          <w:sz w:val="20"/>
          <w:szCs w:val="20"/>
          <w:color w:val="auto"/>
        </w:rPr>
      </w:pPr>
    </w:p>
    <w:p>
      <w:pPr>
        <w:ind w:firstLine="1305"/>
        <w:spacing w:after="0" w:line="290" w:lineRule="auto"/>
        <w:tabs>
          <w:tab w:leader="none" w:pos="2175" w:val="left"/>
        </w:tabs>
        <w:numPr>
          <w:ilvl w:val="0"/>
          <w:numId w:val="182"/>
        </w:numPr>
        <w:rPr>
          <w:rFonts w:ascii="Arial" w:cs="Arial" w:eastAsia="Arial" w:hAnsi="Arial"/>
          <w:sz w:val="19"/>
          <w:szCs w:val="19"/>
          <w:color w:val="auto"/>
        </w:rPr>
      </w:pPr>
      <w:r>
        <w:rPr>
          <w:rFonts w:ascii="Arial" w:cs="Arial" w:eastAsia="Arial" w:hAnsi="Arial"/>
          <w:sz w:val="19"/>
          <w:szCs w:val="19"/>
          <w:i w:val="1"/>
          <w:iCs w:val="1"/>
          <w:u w:val="single" w:color="auto"/>
          <w:color w:val="auto"/>
        </w:rPr>
        <w:t>Certain Participation Interests</w:t>
      </w:r>
      <w:r>
        <w:rPr>
          <w:rFonts w:ascii="Arial" w:cs="Arial" w:eastAsia="Arial" w:hAnsi="Arial"/>
          <w:sz w:val="19"/>
          <w:szCs w:val="19"/>
          <w:color w:val="auto"/>
        </w:rPr>
        <w:t>. In addition to the accounts and records referred to in subsection (a) above, each</w:t>
      </w:r>
      <w:r>
        <w:rPr>
          <w:rFonts w:ascii="Arial" w:cs="Arial" w:eastAsia="Arial" w:hAnsi="Arial"/>
          <w:sz w:val="19"/>
          <w:szCs w:val="19"/>
          <w:i w:val="1"/>
          <w:iCs w:val="1"/>
          <w:color w:val="auto"/>
        </w:rPr>
        <w:t xml:space="preserve"> </w:t>
      </w:r>
      <w:r>
        <w:rPr>
          <w:rFonts w:ascii="Arial" w:cs="Arial" w:eastAsia="Arial" w:hAnsi="Arial"/>
          <w:sz w:val="19"/>
          <w:szCs w:val="19"/>
          <w:color w:val="auto"/>
        </w:rPr>
        <w:t>Lender and the Administrative Agent shall maintain in accordance with its usual practice accounts or records evidencing purchases and sales by such Lender of Participation Interests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60"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2.05</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27" w:lineRule="exact"/>
        <w:rPr>
          <w:sz w:val="20"/>
          <w:szCs w:val="20"/>
          <w:color w:val="auto"/>
        </w:rPr>
      </w:pPr>
    </w:p>
    <w:p>
      <w:pPr>
        <w:ind w:firstLine="1305"/>
        <w:spacing w:after="0" w:line="300" w:lineRule="auto"/>
        <w:tabs>
          <w:tab w:leader="none" w:pos="2164" w:val="left"/>
        </w:tabs>
        <w:numPr>
          <w:ilvl w:val="0"/>
          <w:numId w:val="183"/>
        </w:numPr>
        <w:rPr>
          <w:rFonts w:ascii="Arial" w:cs="Arial" w:eastAsia="Arial" w:hAnsi="Arial"/>
          <w:sz w:val="18"/>
          <w:szCs w:val="18"/>
          <w:color w:val="auto"/>
        </w:rPr>
      </w:pPr>
      <w:r>
        <w:rPr>
          <w:rFonts w:ascii="Arial" w:cs="Arial" w:eastAsia="Arial" w:hAnsi="Arial"/>
          <w:sz w:val="18"/>
          <w:szCs w:val="18"/>
          <w:i w:val="1"/>
          <w:iCs w:val="1"/>
          <w:u w:val="single" w:color="auto"/>
          <w:color w:val="auto"/>
        </w:rPr>
        <w:t>Letters of Credit</w:t>
      </w:r>
      <w:r>
        <w:rPr>
          <w:rFonts w:ascii="Arial" w:cs="Arial" w:eastAsia="Arial" w:hAnsi="Arial"/>
          <w:sz w:val="18"/>
          <w:szCs w:val="18"/>
          <w:color w:val="auto"/>
        </w:rPr>
        <w:t>. Subject to the terms and conditions set forth herein, (i) each L/C Issuer agrees, in reliance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agreements of the other Revolving Lenders set forth in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 from time to time on any Business Day during the period from the Closing Date until the Letter of Credit Expiration Date, to issue standby or, subject to the limitations set forth in the definition of “L/C Issuer,” commercial Letters of Credit for the account, and upon the request, of a Borrower (or jointly for the account of any Borrower, Parent or any Subsidiary) and in support of obligations of any Borrower, Parent or one or more Subsidiaries (including (x) obligations in respect of and in lieu of deposits or security guarantees in the ordinary course of business, (y) to provide support for performance, payment or appeal bonds, indemnity obligations or other surety, including, without limitation, workers compensation insurance and (z) for such other general corporate purposes as the L/C Issuer may agree in its reasonable discretion), and to amend or extend Letters of Credit previously issued by it, in accordance with subsection (c) below, and (B) to honor drawings under its Letters of Credit, and (ii) each Revolving Lender severally agrees to participate in Letters of Credit issued for the account of any Borrower, Parent or any Subsidiary of Parent and any drawing thereunder in accordance with the provisions of subsection (e)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each Letter of Credit is issued, (i) the aggregate amount of the L/C Obligations shall not exceed the L/C Sublimit, (ii) the Revolving Outstandings shall not exceed the Revolving Committed Amount and (iii) with respect to each individual Revolving Lender, the aggregate outstanding principal amount of such Revolving Lender’s Revolving Loans plus its Participation Interests in outstanding L/C Obligations plus its (other than the Swing Line Lender’s) Participation Interests in outstanding Swing Line Loans shall not exceed such Revolving Lender’s Revolving Commitment Percentage of the Revolving Committed Amount. Each request by a Borrower, Parent or a Subsidiary for the issuance or increase in the stated amount of a Letter of Credit shall be deemed to be a representation such Borrower, Parent or such Subsidiary that the issuance or increase in the stated amount of such Letter of Credit complies with the conditions set forth in the proviso to the preceding sentence. Within the foregoing limits, and subject to the terms and conditions hereof, a Borrower’s ability to obtain Letters of Credit shall be fully revolving, and accordingly a Borrower may, during the period specified in clause (i)(A) above, obtain Letters of Credit to replace Letters of Credit that have expired or that have been drawn upon and reimbursed. The Existing Letter of</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5620" w:hanging="120"/>
        <w:spacing w:after="0"/>
        <w:tabs>
          <w:tab w:leader="none" w:pos="5620" w:val="left"/>
        </w:tabs>
        <w:numPr>
          <w:ilvl w:val="1"/>
          <w:numId w:val="183"/>
        </w:numPr>
        <w:rPr>
          <w:rFonts w:ascii="Arial" w:cs="Arial" w:eastAsia="Arial" w:hAnsi="Arial"/>
          <w:sz w:val="20"/>
          <w:szCs w:val="20"/>
          <w:color w:val="auto"/>
        </w:rPr>
      </w:pPr>
      <w:r>
        <w:rPr>
          <w:rFonts w:ascii="Arial" w:cs="Arial" w:eastAsia="Arial" w:hAnsi="Arial"/>
          <w:sz w:val="20"/>
          <w:szCs w:val="20"/>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66" w:name="page267"/>
    <w:bookmarkEnd w:id="266"/>
    <w:p>
      <w:pPr>
        <w:ind w:right="120"/>
        <w:spacing w:after="0" w:line="260" w:lineRule="auto"/>
        <w:rPr>
          <w:sz w:val="20"/>
          <w:szCs w:val="20"/>
          <w:color w:val="auto"/>
        </w:rPr>
      </w:pPr>
      <w:r>
        <w:rPr>
          <w:rFonts w:ascii="Arial" w:cs="Arial" w:eastAsia="Arial" w:hAnsi="Arial"/>
          <w:sz w:val="20"/>
          <w:szCs w:val="20"/>
          <w:color w:val="auto"/>
        </w:rPr>
        <w:t>Credit shall be deemed to have been issued pursuant hereto, and from and after the Closing Date shall be subject to and governed by the terms and conditions hereof.</w:t>
      </w:r>
    </w:p>
    <w:p>
      <w:pPr>
        <w:spacing w:after="0" w:line="150" w:lineRule="exact"/>
        <w:rPr>
          <w:sz w:val="20"/>
          <w:szCs w:val="20"/>
          <w:color w:val="auto"/>
        </w:rPr>
      </w:pPr>
    </w:p>
    <w:p>
      <w:pPr>
        <w:ind w:left="2180" w:hanging="875"/>
        <w:spacing w:after="0"/>
        <w:tabs>
          <w:tab w:leader="none" w:pos="2180" w:val="left"/>
        </w:tabs>
        <w:numPr>
          <w:ilvl w:val="0"/>
          <w:numId w:val="184"/>
        </w:numPr>
        <w:rPr>
          <w:rFonts w:ascii="Arial" w:cs="Arial" w:eastAsia="Arial" w:hAnsi="Arial"/>
          <w:sz w:val="20"/>
          <w:szCs w:val="20"/>
          <w:color w:val="auto"/>
        </w:rPr>
      </w:pPr>
      <w:r>
        <w:rPr>
          <w:rFonts w:ascii="Arial" w:cs="Arial" w:eastAsia="Arial" w:hAnsi="Arial"/>
          <w:sz w:val="20"/>
          <w:szCs w:val="20"/>
          <w:i w:val="1"/>
          <w:iCs w:val="1"/>
          <w:u w:val="single" w:color="auto"/>
          <w:color w:val="auto"/>
        </w:rPr>
        <w:t>Certain Limitations on Issuances of Letters of Credit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right="40" w:firstLine="1467"/>
        <w:spacing w:after="0" w:line="274" w:lineRule="auto"/>
        <w:tabs>
          <w:tab w:leader="none" w:pos="2132" w:val="left"/>
        </w:tabs>
        <w:numPr>
          <w:ilvl w:val="1"/>
          <w:numId w:val="184"/>
        </w:numPr>
        <w:rPr>
          <w:rFonts w:ascii="Arial" w:cs="Arial" w:eastAsia="Arial" w:hAnsi="Arial"/>
          <w:sz w:val="20"/>
          <w:szCs w:val="20"/>
          <w:color w:val="auto"/>
        </w:rPr>
      </w:pPr>
      <w:r>
        <w:rPr>
          <w:rFonts w:ascii="Arial" w:cs="Arial" w:eastAsia="Arial" w:hAnsi="Arial"/>
          <w:sz w:val="20"/>
          <w:szCs w:val="20"/>
          <w:color w:val="auto"/>
        </w:rPr>
        <w:t>No L/C Issuer shall issue any Letter of Credit, if (A) subject to subsection (c) below with respect to Auto-Extension Letters of Credit, the expiry date of such requested Letter of Credit would occur more than twelve months after the date of issuance or last extension, unless the applicable L/C Issuer and the Required Revolving Lenders have approved such expiry date, or (B) the expiry date of such requested Letter of Credit would occur after the Letter of Credit Expiration Date.</w:t>
      </w:r>
    </w:p>
    <w:p>
      <w:pPr>
        <w:spacing w:after="0" w:line="151" w:lineRule="exact"/>
        <w:rPr>
          <w:rFonts w:ascii="Arial" w:cs="Arial" w:eastAsia="Arial" w:hAnsi="Arial"/>
          <w:sz w:val="20"/>
          <w:szCs w:val="20"/>
          <w:color w:val="auto"/>
        </w:rPr>
      </w:pPr>
    </w:p>
    <w:p>
      <w:pPr>
        <w:ind w:firstLine="1467"/>
        <w:spacing w:after="0" w:line="300" w:lineRule="auto"/>
        <w:tabs>
          <w:tab w:leader="none" w:pos="2186"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No L/C Issuer shall be under any obligation to issue any Letter of Credit if: (A) any order, judgment or decree of any Governmental Authority or arbitrator shall by its terms purport to enjoin or restrain the L/C Issuer from issuing such Letter of Credit, or any Law applicable to such L/C Issuer or any request or directive (whether or not having a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 (B) the issuance of such Letter of Credit shall violate any Laws or one or more policies of such L/C Issuer applicable to letters of credit generally; (C) except as otherwise agreed by the Administrative Agent and the L/C Issuer, such Letter of Credit is in an initial stated amount less than $100,000, in the case of a commercial Letter of Credit, or $250,000, in the case of a standby Letter of Credit; (D) such Letter of Credit is to be denominated in a currency other than Dollars; or (E) a default of any Revolving Lender’s obligations to fund under subsection (e)(iv) or (vi) below exists or any Revolving Lender is at such time a Defaulting Lender hereunder, unless the L/C Issuer has entered into arrangements, including the delivery of Cash Collateral, satisfactory to the L/C Issuer (in its sole discretion) with any Borrower or such Revolving Lender to eliminate the L/C Issuer’s actual or potential Fronting Exposure (after giving effect to </w:t>
      </w:r>
      <w:r>
        <w:rPr>
          <w:rFonts w:ascii="Arial" w:cs="Arial" w:eastAsia="Arial" w:hAnsi="Arial"/>
          <w:sz w:val="18"/>
          <w:szCs w:val="18"/>
          <w:u w:val="single" w:color="auto"/>
          <w:color w:val="auto"/>
        </w:rPr>
        <w:t>Section 2.17(a)(iv)</w:t>
      </w:r>
      <w:r>
        <w:rPr>
          <w:rFonts w:ascii="Arial" w:cs="Arial" w:eastAsia="Arial" w:hAnsi="Arial"/>
          <w:sz w:val="18"/>
          <w:szCs w:val="18"/>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141" w:lineRule="exact"/>
        <w:rPr>
          <w:rFonts w:ascii="Arial" w:cs="Arial" w:eastAsia="Arial" w:hAnsi="Arial"/>
          <w:sz w:val="18"/>
          <w:szCs w:val="18"/>
          <w:color w:val="auto"/>
        </w:rPr>
      </w:pPr>
    </w:p>
    <w:p>
      <w:pPr>
        <w:ind w:right="100" w:firstLine="1467"/>
        <w:spacing w:after="0" w:line="289" w:lineRule="auto"/>
        <w:tabs>
          <w:tab w:leader="none" w:pos="2241" w:val="left"/>
        </w:tabs>
        <w:numPr>
          <w:ilvl w:val="1"/>
          <w:numId w:val="184"/>
        </w:numPr>
        <w:rPr>
          <w:rFonts w:ascii="Arial" w:cs="Arial" w:eastAsia="Arial" w:hAnsi="Arial"/>
          <w:sz w:val="20"/>
          <w:szCs w:val="20"/>
          <w:color w:val="auto"/>
        </w:rPr>
      </w:pPr>
      <w:r>
        <w:rPr>
          <w:rFonts w:ascii="Arial" w:cs="Arial" w:eastAsia="Arial" w:hAnsi="Arial"/>
          <w:sz w:val="20"/>
          <w:szCs w:val="20"/>
          <w:color w:val="auto"/>
        </w:rPr>
        <w:t>No L/C Issuer shall amend any Letter of Credit if the L/C Issuer would not be permitted at such time to issue such Letter of Credit in its amended form under the terms hereof.</w:t>
      </w:r>
    </w:p>
    <w:p>
      <w:pPr>
        <w:spacing w:after="0" w:line="134" w:lineRule="exact"/>
        <w:rPr>
          <w:rFonts w:ascii="Arial" w:cs="Arial" w:eastAsia="Arial" w:hAnsi="Arial"/>
          <w:sz w:val="20"/>
          <w:szCs w:val="20"/>
          <w:color w:val="auto"/>
        </w:rPr>
      </w:pPr>
    </w:p>
    <w:p>
      <w:pPr>
        <w:ind w:right="40" w:firstLine="1467"/>
        <w:spacing w:after="0" w:line="278" w:lineRule="auto"/>
        <w:tabs>
          <w:tab w:leader="none" w:pos="2231" w:val="left"/>
        </w:tabs>
        <w:numPr>
          <w:ilvl w:val="1"/>
          <w:numId w:val="184"/>
        </w:numPr>
        <w:rPr>
          <w:rFonts w:ascii="Arial" w:cs="Arial" w:eastAsia="Arial" w:hAnsi="Arial"/>
          <w:sz w:val="20"/>
          <w:szCs w:val="20"/>
          <w:color w:val="auto"/>
        </w:rPr>
      </w:pPr>
      <w:r>
        <w:rPr>
          <w:rFonts w:ascii="Arial" w:cs="Arial" w:eastAsia="Arial" w:hAnsi="Arial"/>
          <w:sz w:val="20"/>
          <w:szCs w:val="20"/>
          <w:color w:val="auto"/>
        </w:rPr>
        <w:t>No L/C Issuer shall be under any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46" w:lineRule="exact"/>
        <w:rPr>
          <w:rFonts w:ascii="Arial" w:cs="Arial" w:eastAsia="Arial" w:hAnsi="Arial"/>
          <w:sz w:val="20"/>
          <w:szCs w:val="20"/>
          <w:color w:val="auto"/>
        </w:rPr>
      </w:pPr>
    </w:p>
    <w:p>
      <w:pPr>
        <w:ind w:firstLine="1467"/>
        <w:spacing w:after="0" w:line="272" w:lineRule="auto"/>
        <w:tabs>
          <w:tab w:leader="none" w:pos="2175" w:val="left"/>
        </w:tabs>
        <w:numPr>
          <w:ilvl w:val="1"/>
          <w:numId w:val="184"/>
        </w:numPr>
        <w:rPr>
          <w:rFonts w:ascii="Arial" w:cs="Arial" w:eastAsia="Arial" w:hAnsi="Arial"/>
          <w:sz w:val="20"/>
          <w:szCs w:val="20"/>
          <w:color w:val="auto"/>
        </w:rPr>
      </w:pPr>
      <w:r>
        <w:rPr>
          <w:rFonts w:ascii="Arial" w:cs="Arial" w:eastAsia="Arial" w:hAnsi="Arial"/>
          <w:sz w:val="20"/>
          <w:szCs w:val="20"/>
          <w:color w:val="auto"/>
        </w:rPr>
        <w:t xml:space="preserve">Each L/C Issuer shall act on behalf of the Revolving Lenders with respect to any Letters of Credit issued by it and the documents associated therewith, and each L/C Issuer shall have all of the benefits and immunities (A) provided to the Administrative Agent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with respect to any acts taken or omissions suffered by such L/C Issuer in connection with Letters of Credit issued by it or proposed to be issued by it and the L/C Documents pertaining to such Letters of Credit as fully as if the term “Administrative Agent” as used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included such L/C Issuer with respect to such acts or omissions, and (B) as additionally provided herein with respect to such L/C Issuer.</w:t>
      </w:r>
    </w:p>
    <w:p>
      <w:pPr>
        <w:spacing w:after="0" w:line="200" w:lineRule="exact"/>
        <w:rPr>
          <w:rFonts w:ascii="Arial" w:cs="Arial" w:eastAsia="Arial" w:hAnsi="Arial"/>
          <w:sz w:val="20"/>
          <w:szCs w:val="20"/>
          <w:color w:val="auto"/>
        </w:rPr>
      </w:pPr>
    </w:p>
    <w:p>
      <w:pPr>
        <w:spacing w:after="0" w:line="396" w:lineRule="exact"/>
        <w:rPr>
          <w:rFonts w:ascii="Arial" w:cs="Arial" w:eastAsia="Arial" w:hAnsi="Arial"/>
          <w:sz w:val="20"/>
          <w:szCs w:val="20"/>
          <w:color w:val="auto"/>
        </w:rPr>
      </w:pPr>
    </w:p>
    <w:p>
      <w:pPr>
        <w:ind w:left="5620" w:hanging="120"/>
        <w:spacing w:after="0"/>
        <w:tabs>
          <w:tab w:leader="none" w:pos="5620" w:val="left"/>
        </w:tabs>
        <w:numPr>
          <w:ilvl w:val="2"/>
          <w:numId w:val="184"/>
        </w:numPr>
        <w:rPr>
          <w:rFonts w:ascii="Arial" w:cs="Arial" w:eastAsia="Arial" w:hAnsi="Arial"/>
          <w:sz w:val="20"/>
          <w:szCs w:val="20"/>
          <w:color w:val="auto"/>
        </w:rPr>
      </w:pPr>
      <w:r>
        <w:rPr>
          <w:rFonts w:ascii="Arial" w:cs="Arial" w:eastAsia="Arial" w:hAnsi="Arial"/>
          <w:sz w:val="20"/>
          <w:szCs w:val="20"/>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6" w:right="279" w:bottom="1440" w:gutter="0" w:footer="0" w:header="0"/>
        </w:sectPr>
      </w:pPr>
    </w:p>
    <w:bookmarkStart w:id="267" w:name="page268"/>
    <w:bookmarkEnd w:id="267"/>
    <w:p>
      <w:pPr>
        <w:ind w:left="2172" w:hanging="875"/>
        <w:spacing w:after="0"/>
        <w:tabs>
          <w:tab w:leader="none" w:pos="2172" w:val="left"/>
        </w:tabs>
        <w:numPr>
          <w:ilvl w:val="1"/>
          <w:numId w:val="185"/>
        </w:numPr>
        <w:rPr>
          <w:rFonts w:ascii="Arial" w:cs="Arial" w:eastAsia="Arial" w:hAnsi="Arial"/>
          <w:sz w:val="20"/>
          <w:szCs w:val="20"/>
          <w:color w:val="auto"/>
        </w:rPr>
      </w:pPr>
      <w:r>
        <w:rPr>
          <w:rFonts w:ascii="Arial" w:cs="Arial" w:eastAsia="Arial" w:hAnsi="Arial"/>
          <w:sz w:val="20"/>
          <w:szCs w:val="20"/>
          <w:i w:val="1"/>
          <w:iCs w:val="1"/>
          <w:u w:val="single" w:color="auto"/>
          <w:color w:val="auto"/>
        </w:rPr>
        <w:t>Procedures for Issuance and Increases in the Amounts of Letters of Credit</w:t>
      </w:r>
      <w:r>
        <w:rPr>
          <w:rFonts w:ascii="Arial" w:cs="Arial" w:eastAsia="Arial" w:hAnsi="Arial"/>
          <w:sz w:val="20"/>
          <w:szCs w:val="20"/>
          <w:color w:val="auto"/>
        </w:rPr>
        <w:t>.</w:t>
      </w:r>
    </w:p>
    <w:p>
      <w:pPr>
        <w:spacing w:after="0" w:line="134" w:lineRule="exact"/>
        <w:rPr>
          <w:rFonts w:ascii="Arial" w:cs="Arial" w:eastAsia="Arial" w:hAnsi="Arial"/>
          <w:sz w:val="20"/>
          <w:szCs w:val="20"/>
          <w:color w:val="auto"/>
        </w:rPr>
      </w:pPr>
    </w:p>
    <w:p>
      <w:pPr>
        <w:ind w:left="-8" w:right="80" w:firstLine="1467"/>
        <w:spacing w:after="0" w:line="297" w:lineRule="auto"/>
        <w:tabs>
          <w:tab w:leader="none" w:pos="2124" w:val="left"/>
        </w:tabs>
        <w:numPr>
          <w:ilvl w:val="2"/>
          <w:numId w:val="185"/>
        </w:numPr>
        <w:rPr>
          <w:rFonts w:ascii="Arial" w:cs="Arial" w:eastAsia="Arial" w:hAnsi="Arial"/>
          <w:sz w:val="18"/>
          <w:szCs w:val="18"/>
          <w:color w:val="auto"/>
        </w:rPr>
      </w:pPr>
      <w:r>
        <w:rPr>
          <w:rFonts w:ascii="Arial" w:cs="Arial" w:eastAsia="Arial" w:hAnsi="Arial"/>
          <w:sz w:val="18"/>
          <w:szCs w:val="18"/>
          <w:color w:val="auto"/>
        </w:rPr>
        <w:t xml:space="preserve">Each Letter of Credit shall be issued or amended, as the case may be, upon the request of the applicable Borrower delivered to the applicable L/C Issuer (with a copy to the Administrative Agent) substantially in the form of </w:t>
      </w:r>
      <w:r>
        <w:rPr>
          <w:rFonts w:ascii="Arial" w:cs="Arial" w:eastAsia="Arial" w:hAnsi="Arial"/>
          <w:sz w:val="18"/>
          <w:szCs w:val="18"/>
          <w:u w:val="single" w:color="auto"/>
          <w:color w:val="auto"/>
        </w:rPr>
        <w:t>Exhibit A-3</w:t>
      </w:r>
      <w:r>
        <w:rPr>
          <w:rFonts w:ascii="Arial" w:cs="Arial" w:eastAsia="Arial" w:hAnsi="Arial"/>
          <w:sz w:val="18"/>
          <w:szCs w:val="18"/>
          <w:color w:val="auto"/>
        </w:rPr>
        <w:t xml:space="preserve"> hereto (or in such other form from time to time in use by the applicable L/C Issuer) (a “</w:t>
      </w:r>
      <w:r>
        <w:rPr>
          <w:rFonts w:ascii="Arial" w:cs="Arial" w:eastAsia="Arial" w:hAnsi="Arial"/>
          <w:sz w:val="18"/>
          <w:szCs w:val="18"/>
          <w:u w:val="single" w:color="auto"/>
          <w:color w:val="auto"/>
        </w:rPr>
        <w:t>Letter of Credit Request</w:t>
      </w:r>
      <w:r>
        <w:rPr>
          <w:rFonts w:ascii="Arial" w:cs="Arial" w:eastAsia="Arial" w:hAnsi="Arial"/>
          <w:sz w:val="18"/>
          <w:szCs w:val="18"/>
          <w:color w:val="auto"/>
        </w:rPr>
        <w:t>”), appropriately completed and signed by a Responsible Officer of such Borrower. Such Letter of Credit Request may be sent by facsimile, by United States mail, by overnight courier, by electronic transmission using the system provided by the applicable L/C Issuer, by personal delivery or by any other means acceptable to the applicable L/C Issuer. Such Letter of Credit Request must be received by the L/C Issuer and the Administrative Agent not later than 2:00 P.M. at least four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Request shall specify in form and detail reasonably satisfactory to the L/C Issuer: (A) the proposed issuance date of the requested Letter of Credit (which shall be a Business Day); (B) the amount thereof; (C) the expiry date thereof,</w:t>
      </w:r>
    </w:p>
    <w:p>
      <w:pPr>
        <w:spacing w:after="0" w:line="4" w:lineRule="exact"/>
        <w:rPr>
          <w:rFonts w:ascii="Arial" w:cs="Arial" w:eastAsia="Arial" w:hAnsi="Arial"/>
          <w:sz w:val="18"/>
          <w:szCs w:val="18"/>
          <w:color w:val="auto"/>
        </w:rPr>
      </w:pPr>
    </w:p>
    <w:p>
      <w:pPr>
        <w:ind w:left="332" w:hanging="332"/>
        <w:spacing w:after="0"/>
        <w:tabs>
          <w:tab w:leader="none" w:pos="33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name and address of the beneficiary thereof; (E) the documents to be presented by such beneficiary in case of any drawing thereunder;</w:t>
      </w:r>
    </w:p>
    <w:p>
      <w:pPr>
        <w:spacing w:after="0" w:line="72" w:lineRule="exact"/>
        <w:rPr>
          <w:rFonts w:ascii="Arial" w:cs="Arial" w:eastAsia="Arial" w:hAnsi="Arial"/>
          <w:sz w:val="16"/>
          <w:szCs w:val="16"/>
          <w:color w:val="auto"/>
        </w:rPr>
      </w:pPr>
    </w:p>
    <w:p>
      <w:pPr>
        <w:ind w:left="-8" w:right="20" w:firstLine="8"/>
        <w:spacing w:after="0" w:line="304" w:lineRule="auto"/>
        <w:tabs>
          <w:tab w:leader="none" w:pos="28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full text of any certificate to be presented by such beneficiary in case of any drawing thereunder; and (G) such other matters as the L/C Issuer may require. In the case of a request for an amendment of any outstanding Letter of Credit, such Letter of Credit Request shall specify in form and detail satisfactory to the L/C Issuer: (A) the Letter of Credit to be amended; (B) the proposed date of amendment thereof (which shall be a Business Day); (C) the nature of the proposed amendment; and (D) such other matters as the L/C Issuer may require. If requested by the applicable L/C Issuer, the applicable Borrower shall also submit a Letter of Credit Application on such L/C Issuer’s standard form in connection with any request for the issuance or increase in the stated amount of a Letter of Credit. Additionally, the applicable Borrower shall furnish to the L/C Issuer and the Administrative Agent such other documents and information pertaining to such requested Letter of Credit issuance or amendment, including any L/C Documents, as the L/C Issuer or the Administrative Agent may require.</w:t>
      </w:r>
    </w:p>
    <w:p>
      <w:pPr>
        <w:spacing w:after="0" w:line="63" w:lineRule="exact"/>
        <w:rPr>
          <w:rFonts w:ascii="Arial" w:cs="Arial" w:eastAsia="Arial" w:hAnsi="Arial"/>
          <w:sz w:val="18"/>
          <w:szCs w:val="18"/>
          <w:color w:val="auto"/>
        </w:rPr>
      </w:pPr>
    </w:p>
    <w:p>
      <w:pPr>
        <w:ind w:left="-8" w:firstLine="1467"/>
        <w:spacing w:after="0" w:line="304" w:lineRule="auto"/>
        <w:tabs>
          <w:tab w:leader="none" w:pos="2178" w:val="left"/>
        </w:tabs>
        <w:numPr>
          <w:ilvl w:val="2"/>
          <w:numId w:val="187"/>
        </w:numPr>
        <w:rPr>
          <w:rFonts w:ascii="Arial" w:cs="Arial" w:eastAsia="Arial" w:hAnsi="Arial"/>
          <w:sz w:val="18"/>
          <w:szCs w:val="18"/>
          <w:color w:val="auto"/>
        </w:rPr>
      </w:pPr>
      <w:r>
        <w:rPr>
          <w:rFonts w:ascii="Arial" w:cs="Arial" w:eastAsia="Arial" w:hAnsi="Arial"/>
          <w:sz w:val="18"/>
          <w:szCs w:val="18"/>
          <w:color w:val="auto"/>
        </w:rPr>
        <w:t xml:space="preserve">Promptly after receipt of any Letter of Credit Request, the L/C Issuer will confirm with the Administrative Agent (by telephone or in writing) that the Administrative Agent has received a copy of such Letter of Credit Request from the applicable Borrower and, if not, the L/C Issuer will provide the Administrative Agent with a copy thereof. Unless the L/C Issuer has received written notice from any Revolving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not then be satisfied, then, subject to the terms and conditions thereof, the L/C Issuer shall, on the requested date, issue a Letter of Credit for the account of such Borrower (or jointly for the account of any Borrower and Parent or the applicable Subsidiary) or enter into the applicable amendment, as the case may be, in each case in accordance with the L/C Issuer’s usual and customary business practices.</w:t>
      </w:r>
    </w:p>
    <w:p>
      <w:pPr>
        <w:spacing w:after="0" w:line="63" w:lineRule="exact"/>
        <w:rPr>
          <w:rFonts w:ascii="Arial" w:cs="Arial" w:eastAsia="Arial" w:hAnsi="Arial"/>
          <w:sz w:val="18"/>
          <w:szCs w:val="18"/>
          <w:color w:val="auto"/>
        </w:rPr>
      </w:pPr>
    </w:p>
    <w:p>
      <w:pPr>
        <w:ind w:left="-8" w:right="20" w:firstLine="1467"/>
        <w:spacing w:after="0" w:line="270" w:lineRule="auto"/>
        <w:tabs>
          <w:tab w:leader="none" w:pos="2233" w:val="left"/>
        </w:tabs>
        <w:numPr>
          <w:ilvl w:val="2"/>
          <w:numId w:val="187"/>
        </w:numPr>
        <w:rPr>
          <w:rFonts w:ascii="Arial" w:cs="Arial" w:eastAsia="Arial" w:hAnsi="Arial"/>
          <w:sz w:val="20"/>
          <w:szCs w:val="20"/>
          <w:color w:val="auto"/>
        </w:rPr>
      </w:pPr>
      <w:r>
        <w:rPr>
          <w:rFonts w:ascii="Arial" w:cs="Arial" w:eastAsia="Arial" w:hAnsi="Arial"/>
          <w:sz w:val="20"/>
          <w:szCs w:val="20"/>
          <w:color w:val="auto"/>
        </w:rPr>
        <w:t>If a Borrower so requests in any applicable Letter of Credit Request, the L/C Issuer may, in its sole and absolute discretion, agree to issue a Letter of Credit that has automatic extension provisions (each, an “</w:t>
      </w:r>
      <w:r>
        <w:rPr>
          <w:rFonts w:ascii="Arial" w:cs="Arial" w:eastAsia="Arial" w:hAnsi="Arial"/>
          <w:sz w:val="20"/>
          <w:szCs w:val="20"/>
          <w:u w:val="single" w:color="auto"/>
          <w:color w:val="auto"/>
        </w:rPr>
        <w:t>Auto-Extension Letter of 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20"/>
          <w:szCs w:val="20"/>
          <w:u w:val="single" w:color="auto"/>
          <w:color w:val="auto"/>
        </w:rPr>
        <w:t>Non-Extension Notice Date</w:t>
      </w:r>
      <w:r>
        <w:rPr>
          <w:rFonts w:ascii="Arial" w:cs="Arial" w:eastAsia="Arial" w:hAnsi="Arial"/>
          <w:sz w:val="20"/>
          <w:szCs w:val="20"/>
          <w:color w:val="auto"/>
        </w:rPr>
        <w:t>”) in each such twelve-month period to be agreed upon at the time such Letter of Credit is issued. Unless otherwise directed by the L/C Issuer, the applicable Borrower shall not be required to make a specific request to the L/C Issuer for any such extension. Once an Auto-Extension Letter of Credit has been issued, the Revolving Lenders shall be deemed to have authorized (but may not require) the L/C Issuer to permit the</w:t>
      </w:r>
    </w:p>
    <w:p>
      <w:pPr>
        <w:spacing w:after="0" w:line="200" w:lineRule="exact"/>
        <w:rPr>
          <w:rFonts w:ascii="Arial" w:cs="Arial" w:eastAsia="Arial" w:hAnsi="Arial"/>
          <w:sz w:val="20"/>
          <w:szCs w:val="20"/>
          <w:color w:val="auto"/>
        </w:rPr>
      </w:pPr>
    </w:p>
    <w:p>
      <w:pPr>
        <w:spacing w:after="0" w:line="336" w:lineRule="exact"/>
        <w:rPr>
          <w:rFonts w:ascii="Arial" w:cs="Arial" w:eastAsia="Arial" w:hAnsi="Arial"/>
          <w:sz w:val="20"/>
          <w:szCs w:val="20"/>
          <w:color w:val="auto"/>
        </w:rPr>
      </w:pPr>
    </w:p>
    <w:p>
      <w:pPr>
        <w:ind w:left="5612" w:hanging="120"/>
        <w:spacing w:after="0"/>
        <w:tabs>
          <w:tab w:leader="none" w:pos="5612" w:val="left"/>
        </w:tabs>
        <w:numPr>
          <w:ilvl w:val="3"/>
          <w:numId w:val="187"/>
        </w:numPr>
        <w:rPr>
          <w:rFonts w:ascii="Arial" w:cs="Arial" w:eastAsia="Arial" w:hAnsi="Arial"/>
          <w:sz w:val="20"/>
          <w:szCs w:val="20"/>
          <w:color w:val="auto"/>
        </w:rPr>
      </w:pPr>
      <w:r>
        <w:rPr>
          <w:rFonts w:ascii="Arial" w:cs="Arial" w:eastAsia="Arial" w:hAnsi="Arial"/>
          <w:sz w:val="20"/>
          <w:szCs w:val="20"/>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72"/>
          </w:cols>
          <w:pgMar w:left="248" w:top="379" w:right="279" w:bottom="1440" w:gutter="0" w:footer="0" w:header="0"/>
        </w:sectPr>
      </w:pPr>
    </w:p>
    <w:bookmarkStart w:id="268" w:name="page269"/>
    <w:bookmarkEnd w:id="268"/>
    <w:p>
      <w:pPr>
        <w:ind w:right="20"/>
        <w:spacing w:after="0" w:line="306" w:lineRule="auto"/>
        <w:rPr>
          <w:sz w:val="20"/>
          <w:szCs w:val="20"/>
          <w:color w:val="auto"/>
        </w:rPr>
      </w:pPr>
      <w:r>
        <w:rPr>
          <w:rFonts w:ascii="Arial" w:cs="Arial" w:eastAsia="Arial" w:hAnsi="Arial"/>
          <w:sz w:val="16"/>
          <w:szCs w:val="16"/>
          <w:color w:val="auto"/>
        </w:rPr>
        <w:t xml:space="preserve">extension of such Letter of Credit at any time to an expiry date not later than the Letter of Credit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L/C Issuer shall not permit any such extension if (A) the L/C Issuer has determined that it would not be permitted, or would have no obligation, at such time to issue such Letter of Credit in its revised form (as extended) under the terms hereof (by reason of the provisions of subsection (c)</w:t>
      </w:r>
    </w:p>
    <w:p>
      <w:pPr>
        <w:spacing w:after="0" w:line="1" w:lineRule="exact"/>
        <w:rPr>
          <w:sz w:val="20"/>
          <w:szCs w:val="20"/>
          <w:color w:val="auto"/>
        </w:rPr>
      </w:pPr>
    </w:p>
    <w:p>
      <w:pPr>
        <w:ind w:right="40" w:firstLine="8"/>
        <w:spacing w:after="0"/>
        <w:tabs>
          <w:tab w:leader="none" w:pos="23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or (ii) above or otherwise) or (B) it has received notice (which may be by telephone or in writing) on or before the day that is five Business Days before the Non-Extension Notice Date (x) from the Administrative Agent that the Required Revolving Lenders have elected not to permit such extension or (y) from the Administrative Agent, any Revolving Lender or any Loan Party that one or more of the applicable conditions specified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are not then satisfied (for the avoidance of doubt, the provision of any such notice to the L/C Issuer pursuant to this clause (y) shall not relieve any Revolving Lender of its obligation to fund its share of any such Letter of Credit that is not extended, to the extent such Letter of Credit is drawn under the terms of this Agreement), and in each such case directing the L/C Issuer not to permit such extension.</w:t>
      </w:r>
    </w:p>
    <w:p>
      <w:pPr>
        <w:spacing w:after="0" w:line="170" w:lineRule="exact"/>
        <w:rPr>
          <w:rFonts w:ascii="Arial" w:cs="Arial" w:eastAsia="Arial" w:hAnsi="Arial"/>
          <w:sz w:val="20"/>
          <w:szCs w:val="20"/>
          <w:color w:val="auto"/>
        </w:rPr>
      </w:pPr>
    </w:p>
    <w:p>
      <w:pPr>
        <w:ind w:firstLine="1467"/>
        <w:spacing w:after="0" w:line="301" w:lineRule="auto"/>
        <w:tabs>
          <w:tab w:leader="none" w:pos="2231" w:val="left"/>
        </w:tabs>
        <w:numPr>
          <w:ilvl w:val="2"/>
          <w:numId w:val="188"/>
        </w:numPr>
        <w:rPr>
          <w:rFonts w:ascii="Arial" w:cs="Arial" w:eastAsia="Arial" w:hAnsi="Arial"/>
          <w:sz w:val="18"/>
          <w:szCs w:val="18"/>
          <w:color w:val="auto"/>
        </w:rPr>
      </w:pPr>
      <w:r>
        <w:rPr>
          <w:rFonts w:ascii="Arial" w:cs="Arial" w:eastAsia="Arial" w:hAnsi="Arial"/>
          <w:sz w:val="18"/>
          <w:szCs w:val="18"/>
          <w:color w:val="auto"/>
        </w:rPr>
        <w:t>If any Borrower so requests in any applicable Letter of Credit Request, the L/C Issuer may, in its sole discretion, agree to issue a Letter of Credit that permits the automatic reinstatement of all or a portion of the stated amount thereof after any drawing thereunder (each, an “</w:t>
      </w:r>
      <w:r>
        <w:rPr>
          <w:rFonts w:ascii="Arial" w:cs="Arial" w:eastAsia="Arial" w:hAnsi="Arial"/>
          <w:sz w:val="18"/>
          <w:szCs w:val="18"/>
          <w:u w:val="single" w:color="auto"/>
          <w:color w:val="auto"/>
        </w:rPr>
        <w:t>Auto-Reinstatement Letter of Credit</w:t>
      </w:r>
      <w:r>
        <w:rPr>
          <w:rFonts w:ascii="Arial" w:cs="Arial" w:eastAsia="Arial" w:hAnsi="Arial"/>
          <w:sz w:val="18"/>
          <w:szCs w:val="18"/>
          <w:color w:val="auto"/>
        </w:rPr>
        <w:t>”). Unless otherwise directed by the L/C Issuer, the Borrowers shall not be required to make a specific request to the L/C Issuer to permit such reinstatement. Once an Auto-Reinstatement Letter of Credit has been issued, except as provided in the following sentence, the Revolving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 to reinstate all or any portion of the stated amount thereof after a drawing thereunder by giving notice of such non-reinstatement within a specified number of days after such drawing (the “</w:t>
      </w:r>
      <w:r>
        <w:rPr>
          <w:rFonts w:ascii="Arial" w:cs="Arial" w:eastAsia="Arial" w:hAnsi="Arial"/>
          <w:sz w:val="18"/>
          <w:szCs w:val="18"/>
          <w:u w:val="single" w:color="auto"/>
          <w:color w:val="auto"/>
        </w:rPr>
        <w:t>Non-Reinstatement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Deadline</w:t>
      </w:r>
      <w:r>
        <w:rPr>
          <w:rFonts w:ascii="Arial" w:cs="Arial" w:eastAsia="Arial" w:hAnsi="Arial"/>
          <w:sz w:val="18"/>
          <w:szCs w:val="18"/>
          <w:color w:val="auto"/>
        </w:rPr>
        <w:t>”), the L/C Issuer shall not permit such reinstatement if it has received a notice (which may be by telephone or in writing) on or before the day that is seven (7) Business Days before the Non-Reinstatement Deadline (A) from the Administrative Agent that the Required Revolving Lenders have elected not to permit such reinstatement or (B) from the Administrative Agent, any Lender or the Borrowers that one or more of the applicable conditions specified in Section 4.02 is not then satisfied (treating such reinstatement as an L/C Credit Extension for purposes of this clause) and, in each case, directing the L/C Issuer not to permit such reinstatement.</w:t>
      </w:r>
    </w:p>
    <w:p>
      <w:pPr>
        <w:spacing w:after="0" w:line="136" w:lineRule="exact"/>
        <w:rPr>
          <w:rFonts w:ascii="Arial" w:cs="Arial" w:eastAsia="Arial" w:hAnsi="Arial"/>
          <w:sz w:val="18"/>
          <w:szCs w:val="18"/>
          <w:color w:val="auto"/>
        </w:rPr>
      </w:pPr>
    </w:p>
    <w:p>
      <w:pPr>
        <w:ind w:right="40" w:firstLine="1467"/>
        <w:spacing w:after="0" w:line="278" w:lineRule="auto"/>
        <w:tabs>
          <w:tab w:leader="none" w:pos="2175" w:val="left"/>
        </w:tabs>
        <w:numPr>
          <w:ilvl w:val="2"/>
          <w:numId w:val="188"/>
        </w:numPr>
        <w:rPr>
          <w:rFonts w:ascii="Arial" w:cs="Arial" w:eastAsia="Arial" w:hAnsi="Arial"/>
          <w:sz w:val="20"/>
          <w:szCs w:val="20"/>
          <w:color w:val="auto"/>
        </w:rPr>
      </w:pPr>
      <w:r>
        <w:rPr>
          <w:rFonts w:ascii="Arial" w:cs="Arial" w:eastAsia="Arial" w:hAnsi="Arial"/>
          <w:sz w:val="20"/>
          <w:szCs w:val="20"/>
          <w:color w:val="auto"/>
        </w:rPr>
        <w:t>Promptly after its delivery of any Letter of Credit or any amendment to a Letter of Credit to an advising bank with respect thereto or to the beneficiary thereof, the L/C Issuer will also deliver to the applicable Borrower and the Administrative Agent a true and complete copy of such Letter of Credit or amendment.</w:t>
      </w:r>
    </w:p>
    <w:p>
      <w:pPr>
        <w:spacing w:after="0" w:line="146" w:lineRule="exact"/>
        <w:rPr>
          <w:rFonts w:ascii="Arial" w:cs="Arial" w:eastAsia="Arial" w:hAnsi="Arial"/>
          <w:sz w:val="20"/>
          <w:szCs w:val="20"/>
          <w:color w:val="auto"/>
        </w:rPr>
      </w:pPr>
    </w:p>
    <w:p>
      <w:pPr>
        <w:ind w:firstLine="1305"/>
        <w:spacing w:after="0" w:line="285" w:lineRule="auto"/>
        <w:tabs>
          <w:tab w:leader="none" w:pos="2175" w:val="left"/>
        </w:tabs>
        <w:numPr>
          <w:ilvl w:val="1"/>
          <w:numId w:val="188"/>
        </w:numPr>
        <w:rPr>
          <w:rFonts w:ascii="Arial" w:cs="Arial" w:eastAsia="Arial" w:hAnsi="Arial"/>
          <w:sz w:val="19"/>
          <w:szCs w:val="19"/>
          <w:color w:val="auto"/>
        </w:rPr>
      </w:pPr>
      <w:r>
        <w:rPr>
          <w:rFonts w:ascii="Arial" w:cs="Arial" w:eastAsia="Arial" w:hAnsi="Arial"/>
          <w:sz w:val="19"/>
          <w:szCs w:val="19"/>
          <w:i w:val="1"/>
          <w:iCs w:val="1"/>
          <w:u w:val="single" w:color="auto"/>
          <w:color w:val="auto"/>
        </w:rPr>
        <w:t>Purchase and Sale of Letter of Credit Participation</w:t>
      </w:r>
      <w:r>
        <w:rPr>
          <w:rFonts w:ascii="Arial" w:cs="Arial" w:eastAsia="Arial" w:hAnsi="Arial"/>
          <w:sz w:val="19"/>
          <w:szCs w:val="19"/>
          <w:color w:val="auto"/>
        </w:rPr>
        <w:t>. Immediately upon the issuance by an L/C Issuer of a Letter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Credit, such L/C Issuer shall be deemed, without further action by any party hereto, to have sold to each Revolving Lender, and each Revolving Lender shall be deemed, without further action by any party hereto, to have purchased from such L/C Issuer, without recourse or warranty, an undivided Participation Interest in such Letter of Credit and the related L/C Obligations in the proportion its Revolving Commitment Percentage bears to the Revolving Committed Amount (although any fronting fee payable under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shall be payable directly to the Administrative Agent for the account of the applicable L/C Issuer, and the Lenders (other than such L/C Issuer) shall have no right to receive any portion of any such fronting fee) and any security therefor or guaranty pertaining thereto. Upon any change in the Revolving Commitments pursuant to </w:t>
      </w:r>
      <w:r>
        <w:rPr>
          <w:rFonts w:ascii="Arial" w:cs="Arial" w:eastAsia="Arial" w:hAnsi="Arial"/>
          <w:sz w:val="19"/>
          <w:szCs w:val="19"/>
          <w:u w:val="single" w:color="auto"/>
          <w:color w:val="auto"/>
        </w:rPr>
        <w:t>Section 10.06</w:t>
      </w:r>
      <w:r>
        <w:rPr>
          <w:rFonts w:ascii="Arial" w:cs="Arial" w:eastAsia="Arial" w:hAnsi="Arial"/>
          <w:sz w:val="19"/>
          <w:szCs w:val="19"/>
          <w:color w:val="auto"/>
        </w:rPr>
        <w:t>, there shall be an automatic adjustment to the Participation Interests in all outstanding Letters of Credit and all L/C Obligations to reflect the adjusted Revolving Commitments of the assigning and assignee Lenders or of all Lenders having Revolving Commitments, as the case may be.</w:t>
      </w:r>
    </w:p>
    <w:p>
      <w:pPr>
        <w:spacing w:after="0" w:line="200" w:lineRule="exact"/>
        <w:rPr>
          <w:rFonts w:ascii="Arial" w:cs="Arial" w:eastAsia="Arial" w:hAnsi="Arial"/>
          <w:sz w:val="19"/>
          <w:szCs w:val="19"/>
          <w:color w:val="auto"/>
        </w:rPr>
      </w:pPr>
    </w:p>
    <w:p>
      <w:pPr>
        <w:spacing w:after="0" w:line="392" w:lineRule="exact"/>
        <w:rPr>
          <w:rFonts w:ascii="Arial" w:cs="Arial" w:eastAsia="Arial" w:hAnsi="Arial"/>
          <w:sz w:val="19"/>
          <w:szCs w:val="19"/>
          <w:color w:val="auto"/>
        </w:rPr>
      </w:pPr>
    </w:p>
    <w:p>
      <w:pPr>
        <w:ind w:left="5620" w:hanging="120"/>
        <w:spacing w:after="0"/>
        <w:tabs>
          <w:tab w:leader="none" w:pos="5620" w:val="left"/>
        </w:tabs>
        <w:numPr>
          <w:ilvl w:val="3"/>
          <w:numId w:val="188"/>
        </w:numPr>
        <w:rPr>
          <w:rFonts w:ascii="Arial" w:cs="Arial" w:eastAsia="Arial" w:hAnsi="Arial"/>
          <w:sz w:val="20"/>
          <w:szCs w:val="20"/>
          <w:color w:val="auto"/>
        </w:rPr>
      </w:pPr>
      <w:r>
        <w:rPr>
          <w:rFonts w:ascii="Arial" w:cs="Arial" w:eastAsia="Arial" w:hAnsi="Arial"/>
          <w:sz w:val="20"/>
          <w:szCs w:val="20"/>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69" w:name="page270"/>
    <w:bookmarkEnd w:id="269"/>
    <w:p>
      <w:pPr>
        <w:ind w:left="980" w:hanging="875"/>
        <w:spacing w:after="0"/>
        <w:tabs>
          <w:tab w:leader="none" w:pos="980" w:val="left"/>
        </w:tabs>
        <w:numPr>
          <w:ilvl w:val="0"/>
          <w:numId w:val="189"/>
        </w:numPr>
        <w:rPr>
          <w:rFonts w:ascii="Arial" w:cs="Arial" w:eastAsia="Arial" w:hAnsi="Arial"/>
          <w:sz w:val="20"/>
          <w:szCs w:val="20"/>
          <w:color w:val="auto"/>
        </w:rPr>
      </w:pPr>
      <w:r>
        <w:rPr>
          <w:rFonts w:ascii="Arial" w:cs="Arial" w:eastAsia="Arial" w:hAnsi="Arial"/>
          <w:sz w:val="20"/>
          <w:szCs w:val="20"/>
          <w:i w:val="1"/>
          <w:iCs w:val="1"/>
          <w:u w:val="single" w:color="auto"/>
          <w:color w:val="auto"/>
        </w:rPr>
        <w:t>Drawings and Reimbursements; Funding of Participations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200" w:right="80" w:firstLine="1467"/>
        <w:spacing w:after="0" w:line="307" w:lineRule="auto"/>
        <w:tabs>
          <w:tab w:leader="none" w:pos="93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under such Letter of Credit, the applicable L/C Issuer shall promptly notify the applicable Borrower and the Administrative Agent thereof and shall determine in accordance with the terms of such Letter of Credit whether such drawing should be honored. If the L/C Issuer determines that any such drawing shall be honored, such L/C Issuer shall make available to such beneficiary in accordance with the terms of such Letter of Credit the amount of the drawing and shall notify the applicable Borrower and the Administrative Agent as to the amount to be paid as a result of such drawing and the payment date (which date shall be one Business Day after the date of the drawing) (each such date, an “</w:t>
      </w:r>
      <w:r>
        <w:rPr>
          <w:rFonts w:ascii="Arial" w:cs="Arial" w:eastAsia="Arial" w:hAnsi="Arial"/>
          <w:sz w:val="18"/>
          <w:szCs w:val="18"/>
          <w:u w:val="single" w:color="auto"/>
          <w:color w:val="auto"/>
        </w:rPr>
        <w:t>Honor Date</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1200" w:firstLine="1467"/>
        <w:spacing w:after="0" w:line="303" w:lineRule="auto"/>
        <w:tabs>
          <w:tab w:leader="none" w:pos="986"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The applicable Borrower shall be irrevocably and unconditionally obligated forthwith to reimburse each L/C Issuer or each L/C Issuer through the Administrative Agent for any amounts paid by such L/C Issuer upon any drawing under any Letter of Credit, together with any and all reasonable charges and expenses which the L/C Issuer may pay or incur relative to such drawing. Such reimbursement payment shall be due and payable on the same day as the Honor Date if notice is received prior to 11:00 A.M. or the next Business Day after the Honor Date otherwise. In addition, such Borrower agrees to pay to the L/C Issuer interest, payable on demand, on any and all amounts not paid by such Borrower to the L/C Issuer when due under this subsection (e)(ii), for each day from and including the date when such amount becomes due to but excluding the date such amount is paid in full, whether before or after judgment, at a rate per annum equal to the Default Rate. Each reimbursement and other payment to be made by such Borrower pursuant to this clause (ii) shall be made to the L/C Issuer in Federal or other funds immediately available to it at its address referred to in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133" w:lineRule="exact"/>
        <w:rPr>
          <w:rFonts w:ascii="Arial" w:cs="Arial" w:eastAsia="Arial" w:hAnsi="Arial"/>
          <w:sz w:val="18"/>
          <w:szCs w:val="18"/>
          <w:color w:val="auto"/>
        </w:rPr>
      </w:pPr>
    </w:p>
    <w:p>
      <w:pPr>
        <w:ind w:left="-1200" w:right="140" w:firstLine="1467"/>
        <w:spacing w:after="0" w:line="278" w:lineRule="auto"/>
        <w:tabs>
          <w:tab w:leader="none" w:pos="1041" w:val="left"/>
        </w:tabs>
        <w:numPr>
          <w:ilvl w:val="1"/>
          <w:numId w:val="189"/>
        </w:numPr>
        <w:rPr>
          <w:rFonts w:ascii="Arial" w:cs="Arial" w:eastAsia="Arial" w:hAnsi="Arial"/>
          <w:sz w:val="20"/>
          <w:szCs w:val="20"/>
          <w:color w:val="auto"/>
        </w:rPr>
      </w:pPr>
      <w:r>
        <w:rPr>
          <w:rFonts w:ascii="Arial" w:cs="Arial" w:eastAsia="Arial" w:hAnsi="Arial"/>
          <w:sz w:val="20"/>
          <w:szCs w:val="20"/>
          <w:color w:val="auto"/>
        </w:rPr>
        <w:t xml:space="preserve">Subject to the satisfaction of all applicable conditions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a Borrower may, at its option, utilize the Swing Line Commitment or the Revolving Commitments, or make other arrangements for payment satisfactory to the L/C Issuer, for the reimbursement of all L/C Disbursements as required by clause (ii) above.</w:t>
      </w:r>
    </w:p>
    <w:p>
      <w:pPr>
        <w:spacing w:after="0" w:line="146" w:lineRule="exact"/>
        <w:rPr>
          <w:rFonts w:ascii="Arial" w:cs="Arial" w:eastAsia="Arial" w:hAnsi="Arial"/>
          <w:sz w:val="20"/>
          <w:szCs w:val="20"/>
          <w:color w:val="auto"/>
        </w:rPr>
      </w:pPr>
    </w:p>
    <w:p>
      <w:pPr>
        <w:ind w:left="-1200" w:right="20" w:firstLine="1467"/>
        <w:spacing w:after="0" w:line="302" w:lineRule="auto"/>
        <w:tabs>
          <w:tab w:leader="none" w:pos="1031"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With respect to any L/C Disbursements that have not been reimbursed by the applicable Borrower when due under clauses (ii) and (iii) above (an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the Administrative Agent shall promptly notify each Revolving Lender of the Honor Date, the amount of the Unreimbursed Amount and the amount of such Revolving Lender’s pro rata share thereof and such Revolving Lender’s pro rata share of such unreimbursed L/C Disbursement (determined by the proportion its Revolving Commitment Percentage bears to the aggregate Revolving Committed Amount). In such event, such Borrower shall be deemed to have requested an “</w:t>
      </w:r>
      <w:r>
        <w:rPr>
          <w:rFonts w:ascii="Arial" w:cs="Arial" w:eastAsia="Arial" w:hAnsi="Arial"/>
          <w:sz w:val="18"/>
          <w:szCs w:val="18"/>
          <w:u w:val="single" w:color="auto"/>
          <w:color w:val="auto"/>
        </w:rPr>
        <w:t>L/C Borrowing</w:t>
      </w:r>
      <w:r>
        <w:rPr>
          <w:rFonts w:ascii="Arial" w:cs="Arial" w:eastAsia="Arial" w:hAnsi="Arial"/>
          <w:sz w:val="18"/>
          <w:szCs w:val="18"/>
          <w:color w:val="auto"/>
        </w:rPr>
        <w:t xml:space="preserve">” of Revolving Loans that are Base Rate Loans to be disbursed on the next Business Day following the Honor Date in an aggregate amount in Dollars equal to the Unreimbursed Amount, without regard to the minimum and multiples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but subject to the amount of the unutilized portion of the Revolving Commitments and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the delivery of a Notice of Borrowing), and each such Revolving Lender hereby agrees to make a Revolving Loan (which shall be initially funded as a Base Rate Loan) in an amount equal to such Lender’s Revolving Commitment Percentage of the Unreimbursed Amount outstanding on the date notice is given. Any such notice given by the Administrative Agent given pursuant to this clause (iv) may be given by telephone if immediately confirmed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129" w:lineRule="exact"/>
        <w:rPr>
          <w:rFonts w:ascii="Arial" w:cs="Arial" w:eastAsia="Arial" w:hAnsi="Arial"/>
          <w:sz w:val="18"/>
          <w:szCs w:val="18"/>
          <w:color w:val="auto"/>
        </w:rPr>
      </w:pPr>
    </w:p>
    <w:p>
      <w:pPr>
        <w:ind w:left="-1200" w:right="60" w:firstLine="1467"/>
        <w:spacing w:after="0" w:line="322" w:lineRule="auto"/>
        <w:tabs>
          <w:tab w:leader="none" w:pos="97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Each Revolving Lender (including any Revolving Lender acting as L/C Issuer in respect of any Unreimbursed Amount) shall, upon any notice from the Administrative Agent pursuant to clause (iv) above, make the amount of its Revolving Loan available to the Administrative Agent in Dollars in Federal or other immediately available funds, at the Administrative Agent’s Office, not later</w:t>
      </w:r>
    </w:p>
    <w:p>
      <w:pPr>
        <w:spacing w:after="0" w:line="200" w:lineRule="exact"/>
        <w:rPr>
          <w:rFonts w:ascii="Arial" w:cs="Arial" w:eastAsia="Arial" w:hAnsi="Arial"/>
          <w:sz w:val="18"/>
          <w:szCs w:val="18"/>
          <w:color w:val="auto"/>
        </w:rPr>
      </w:pPr>
    </w:p>
    <w:p>
      <w:pPr>
        <w:spacing w:after="0" w:line="263" w:lineRule="exact"/>
        <w:rPr>
          <w:rFonts w:ascii="Arial" w:cs="Arial" w:eastAsia="Arial" w:hAnsi="Arial"/>
          <w:sz w:val="18"/>
          <w:szCs w:val="18"/>
          <w:color w:val="auto"/>
        </w:rPr>
      </w:pPr>
    </w:p>
    <w:p>
      <w:pPr>
        <w:ind w:left="4420" w:hanging="120"/>
        <w:spacing w:after="0"/>
        <w:tabs>
          <w:tab w:leader="none" w:pos="4420" w:val="left"/>
        </w:tabs>
        <w:numPr>
          <w:ilvl w:val="2"/>
          <w:numId w:val="189"/>
        </w:numPr>
        <w:rPr>
          <w:rFonts w:ascii="Arial" w:cs="Arial" w:eastAsia="Arial" w:hAnsi="Arial"/>
          <w:sz w:val="20"/>
          <w:szCs w:val="20"/>
          <w:color w:val="auto"/>
        </w:rPr>
      </w:pPr>
      <w:r>
        <w:rPr>
          <w:rFonts w:ascii="Arial" w:cs="Arial" w:eastAsia="Arial" w:hAnsi="Arial"/>
          <w:sz w:val="20"/>
          <w:szCs w:val="20"/>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48895</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00"/>
          </w:cols>
          <w:pgMar w:left="1440" w:top="379" w:right="259" w:bottom="1440" w:gutter="0" w:footer="0" w:header="0"/>
        </w:sectPr>
      </w:pPr>
    </w:p>
    <w:bookmarkStart w:id="270" w:name="page271"/>
    <w:bookmarkEnd w:id="270"/>
    <w:p>
      <w:pPr>
        <w:ind w:right="220"/>
        <w:spacing w:after="0" w:line="274" w:lineRule="auto"/>
        <w:rPr>
          <w:sz w:val="20"/>
          <w:szCs w:val="20"/>
          <w:color w:val="auto"/>
        </w:rPr>
      </w:pPr>
      <w:r>
        <w:rPr>
          <w:rFonts w:ascii="Arial" w:cs="Arial" w:eastAsia="Arial" w:hAnsi="Arial"/>
          <w:sz w:val="20"/>
          <w:szCs w:val="20"/>
          <w:color w:val="auto"/>
        </w:rPr>
        <w:t>than 1:00 P.M. on the Business Day specified in such notice, whereupon, subject to clause (vi) below, each Revolving Lender that so makes funds available shall be deemed to have made a Revolving Base Rate Loan to the applicable Borrower in such amount. The Administrative Agent shall remit the funds so received (and the Administrative Agent may apply Cash Collateral provided for this purpose) to the applicable L/C Issuer.</w:t>
      </w:r>
    </w:p>
    <w:p>
      <w:pPr>
        <w:spacing w:after="0" w:line="57" w:lineRule="exact"/>
        <w:rPr>
          <w:sz w:val="20"/>
          <w:szCs w:val="20"/>
          <w:color w:val="auto"/>
        </w:rPr>
      </w:pPr>
    </w:p>
    <w:p>
      <w:pPr>
        <w:ind w:left="2240" w:hanging="773"/>
        <w:spacing w:after="0"/>
        <w:tabs>
          <w:tab w:leader="none" w:pos="22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With respect to any Unreimbursed Amount that is not fully refinanced by an L/C Borrowing pursuant to clauses</w:t>
      </w:r>
    </w:p>
    <w:p>
      <w:pPr>
        <w:spacing w:after="0" w:line="49" w:lineRule="exact"/>
        <w:rPr>
          <w:rFonts w:ascii="Arial" w:cs="Arial" w:eastAsia="Arial" w:hAnsi="Arial"/>
          <w:sz w:val="18"/>
          <w:szCs w:val="18"/>
          <w:color w:val="auto"/>
        </w:rPr>
      </w:pPr>
    </w:p>
    <w:p>
      <w:pPr>
        <w:ind w:right="160" w:firstLine="8"/>
        <w:spacing w:after="0" w:line="297" w:lineRule="auto"/>
        <w:tabs>
          <w:tab w:leader="none" w:pos="33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and (v) above because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cannot be satisfied or for any other reason, the Administrative Agent shall promptly notify each Revolving Lender (other than the relevant L/C Issuer), and each such Revolving Lender shall promptly and unconditionally pay to the Administrative Agent, for the account of such L/C Issuer, such Revolving Lender’s pro rata share of such Unreimbursed Amount (determined by the proportion its Revolving Commitment Percentage bears to the aggregate Revolving Committed Amount) in Dollars in Federal or other immediately available funds. Such payment from the Revolving Lenders shall be due (i) at or before 1:00 P.M. on the date the Administrative Agent so notifies a Revolving Lender, if such notice is given at or before 10:00 A.M. on such date or</w:t>
      </w:r>
    </w:p>
    <w:p>
      <w:pPr>
        <w:spacing w:after="0" w:line="2" w:lineRule="exact"/>
        <w:rPr>
          <w:rFonts w:ascii="Arial" w:cs="Arial" w:eastAsia="Arial" w:hAnsi="Arial"/>
          <w:sz w:val="18"/>
          <w:szCs w:val="18"/>
          <w:color w:val="auto"/>
        </w:rPr>
      </w:pPr>
    </w:p>
    <w:p>
      <w:pPr>
        <w:ind w:right="20" w:firstLine="8"/>
        <w:spacing w:after="0" w:line="285" w:lineRule="auto"/>
        <w:tabs>
          <w:tab w:leader="none" w:pos="291" w:val="left"/>
        </w:tabs>
        <w:numPr>
          <w:ilvl w:val="0"/>
          <w:numId w:val="192"/>
        </w:numPr>
        <w:rPr>
          <w:rFonts w:ascii="Arial" w:cs="Arial" w:eastAsia="Arial" w:hAnsi="Arial"/>
          <w:sz w:val="19"/>
          <w:szCs w:val="19"/>
          <w:color w:val="auto"/>
        </w:rPr>
      </w:pPr>
      <w:r>
        <w:rPr>
          <w:rFonts w:ascii="Arial" w:cs="Arial" w:eastAsia="Arial" w:hAnsi="Arial"/>
          <w:sz w:val="19"/>
          <w:szCs w:val="19"/>
          <w:color w:val="auto"/>
        </w:rPr>
        <w:t>at or before 10:00 A.M. on the next succeeding Business Day, together with interest on such amount for each day from and including the date of such drawing to but excluding the day such payment is due from such Revolving Lender at the Federal Funds Rate for such day (which funds the Administrative Agent shall promptly remit to the applicable L/C Issuer). Each payment by a Revolving Lender to the Administrative Agent for the account of an L/C Issuer in respect of an Unreimbursed Amount shall constitute a payment in respect of its Participation Interest in the related Letter of Credit purchased pursuant to subsection (d) above. The failure of any Revolving Lender to make available to the Administrative Agent for the account of an L/C Issuer its pro rata share of any Unreimbursed Amount shall not relieve any other Revolving Lender of its obligation hereunder to make available to the Administrative Agent for the account of such L/C Issuer its pro rata share of any payment made under any Letter of Credit on the date required, as specified above, but no such Lender shall be responsible for the failure of any other Lender to make available to the Administrative Agent for the account of the L/C Issuer such other Lender’s pro rata share of any such payment. Upon payment in full of all amounts payable by a Lender under this clause (vi), such Lender shall be subrogated to the rights of the L/C Issuer against the applicable Borrower to the extent of such Lender’s pro rata share of the related L/C Obligation so paid (including interest accrued thereon).</w:t>
      </w:r>
    </w:p>
    <w:p>
      <w:pPr>
        <w:spacing w:after="0" w:line="46" w:lineRule="exact"/>
        <w:rPr>
          <w:rFonts w:ascii="Arial" w:cs="Arial" w:eastAsia="Arial" w:hAnsi="Arial"/>
          <w:sz w:val="19"/>
          <w:szCs w:val="19"/>
          <w:color w:val="auto"/>
        </w:rPr>
      </w:pPr>
    </w:p>
    <w:p>
      <w:pPr>
        <w:ind w:firstLine="1467"/>
        <w:spacing w:after="0" w:line="285" w:lineRule="auto"/>
        <w:tabs>
          <w:tab w:leader="none" w:pos="2285" w:val="left"/>
        </w:tabs>
        <w:numPr>
          <w:ilvl w:val="1"/>
          <w:numId w:val="192"/>
        </w:numPr>
        <w:rPr>
          <w:rFonts w:ascii="Arial" w:cs="Arial" w:eastAsia="Arial" w:hAnsi="Arial"/>
          <w:sz w:val="19"/>
          <w:szCs w:val="19"/>
          <w:color w:val="auto"/>
        </w:rPr>
      </w:pPr>
      <w:r>
        <w:rPr>
          <w:rFonts w:ascii="Arial" w:cs="Arial" w:eastAsia="Arial" w:hAnsi="Arial"/>
          <w:sz w:val="19"/>
          <w:szCs w:val="19"/>
          <w:color w:val="auto"/>
        </w:rPr>
        <w:t xml:space="preserve">Each Revolving Lender’s obligation to make Revolving Loans pursuant to clause (iv) above and to make payments in respect of its Participation Interests in Unreimbursed Amounts pursuant to clause (vi) above shall be absolute and unconditional and shall not be affected by any circumstance, including: (A) any setoff, counterclaim, recoupment, defense or other right which such Lender may have against the L/C Issuer, the applicable Borrower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Revolving Lender’s obligation to make Revolving Loans as a part of an L/C Borrowing pursuant to clause (iv) above is subject to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(other than delivery by the applicable Borrower of a Notice of Borrowing). No such making by a Revolving Lender of a Revolving Loan or a payment by a Revolving Lender of an amount in respect of its Participation Interest in Unreimbursed Amounts shall relieve or otherwise impair the obligation of such Borrower to reimburse the L/C Issuer for the amount of any payment made by the L/C Issuer under any Letter of Credit, together with interest as provided herein.</w:t>
      </w:r>
    </w:p>
    <w:p>
      <w:pPr>
        <w:spacing w:after="0" w:line="52" w:lineRule="exact"/>
        <w:rPr>
          <w:rFonts w:ascii="Arial" w:cs="Arial" w:eastAsia="Arial" w:hAnsi="Arial"/>
          <w:sz w:val="19"/>
          <w:szCs w:val="19"/>
          <w:color w:val="auto"/>
        </w:rPr>
      </w:pPr>
    </w:p>
    <w:p>
      <w:pPr>
        <w:jc w:val="both"/>
        <w:ind w:right="100" w:firstLine="1467"/>
        <w:spacing w:after="0" w:line="322" w:lineRule="auto"/>
        <w:tabs>
          <w:tab w:leader="none" w:pos="234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If any Revolving Lender fails to make available to the Administrative Agent for the account of an L/C Issuer any amount required to be paid by such Revolving Lender pursuant to the foregoing provisions of this subsection (e) by the time specified therefor, then, without limiting the other provisions of this Agreement, the applicable L/C Issuer shall be entitled to recover from such Revolving</w:t>
      </w:r>
    </w:p>
    <w:p>
      <w:pPr>
        <w:spacing w:after="0" w:line="200" w:lineRule="exact"/>
        <w:rPr>
          <w:rFonts w:ascii="Arial" w:cs="Arial" w:eastAsia="Arial" w:hAnsi="Arial"/>
          <w:sz w:val="18"/>
          <w:szCs w:val="18"/>
          <w:color w:val="auto"/>
        </w:rPr>
      </w:pPr>
    </w:p>
    <w:p>
      <w:pPr>
        <w:spacing w:after="0" w:line="263" w:lineRule="exact"/>
        <w:rPr>
          <w:rFonts w:ascii="Arial" w:cs="Arial" w:eastAsia="Arial" w:hAnsi="Arial"/>
          <w:sz w:val="18"/>
          <w:szCs w:val="18"/>
          <w:color w:val="auto"/>
        </w:rPr>
      </w:pPr>
    </w:p>
    <w:p>
      <w:pPr>
        <w:ind w:left="5620" w:hanging="120"/>
        <w:spacing w:after="0"/>
        <w:tabs>
          <w:tab w:leader="none" w:pos="5620" w:val="left"/>
        </w:tabs>
        <w:numPr>
          <w:ilvl w:val="2"/>
          <w:numId w:val="192"/>
        </w:numPr>
        <w:rPr>
          <w:rFonts w:ascii="Arial" w:cs="Arial" w:eastAsia="Arial" w:hAnsi="Arial"/>
          <w:sz w:val="20"/>
          <w:szCs w:val="20"/>
          <w:color w:val="auto"/>
        </w:rPr>
      </w:pPr>
      <w:r>
        <w:rPr>
          <w:rFonts w:ascii="Arial" w:cs="Arial" w:eastAsia="Arial" w:hAnsi="Arial"/>
          <w:sz w:val="20"/>
          <w:szCs w:val="20"/>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271" w:name="page272"/>
    <w:bookmarkEnd w:id="271"/>
    <w:p>
      <w:pPr>
        <w:ind w:right="40"/>
        <w:spacing w:after="0" w:line="272" w:lineRule="auto"/>
        <w:rPr>
          <w:sz w:val="20"/>
          <w:szCs w:val="20"/>
          <w:color w:val="auto"/>
        </w:rPr>
      </w:pPr>
      <w:r>
        <w:rPr>
          <w:rFonts w:ascii="Arial" w:cs="Arial" w:eastAsia="Arial" w:hAnsi="Arial"/>
          <w:sz w:val="18"/>
          <w:szCs w:val="18"/>
          <w:color w:val="auto"/>
        </w:rPr>
        <w:t>Lender (acting through the Administrative Agent), on demand, such amount with interest thereon for the period from the date such payment is required to the date on which such payment is immediately available to the applicable L/C Issuer at a rate per annum equal to the greater of the Federal Funds Rate and a rate determined by the applicable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Revolving Loan included in the relevant Revolving Borrowing or Participation Interest in respect of the relevant L/C Borrowing as the case may be. Any payment made by any Lender after 3:00 P.M. on any Business Day shall be deemed for purposes of the preceding sentence to have been made on the next succeeding Business Day. A certificate of the applicable L/C Issuer submitted to any Revolving Lender (through the Administrative Agent) with respect to any amounts owing under this clause (viii) shall be conclusive absent manifest error.</w:t>
      </w:r>
    </w:p>
    <w:p>
      <w:pPr>
        <w:spacing w:after="0" w:line="144" w:lineRule="exact"/>
        <w:rPr>
          <w:sz w:val="20"/>
          <w:szCs w:val="20"/>
          <w:color w:val="auto"/>
        </w:rPr>
      </w:pPr>
    </w:p>
    <w:p>
      <w:pPr>
        <w:ind w:left="2160" w:hanging="855"/>
        <w:spacing w:after="0"/>
        <w:tabs>
          <w:tab w:leader="none" w:pos="2160" w:val="left"/>
        </w:tabs>
        <w:numPr>
          <w:ilvl w:val="0"/>
          <w:numId w:val="193"/>
        </w:numPr>
        <w:rPr>
          <w:rFonts w:ascii="Arial" w:cs="Arial" w:eastAsia="Arial" w:hAnsi="Arial"/>
          <w:sz w:val="20"/>
          <w:szCs w:val="20"/>
          <w:color w:val="auto"/>
        </w:rPr>
      </w:pPr>
      <w:r>
        <w:rPr>
          <w:rFonts w:ascii="Arial" w:cs="Arial" w:eastAsia="Arial" w:hAnsi="Arial"/>
          <w:sz w:val="20"/>
          <w:szCs w:val="20"/>
          <w:i w:val="1"/>
          <w:iCs w:val="1"/>
          <w:u w:val="single" w:color="auto"/>
          <w:color w:val="auto"/>
        </w:rPr>
        <w:t>Repayment of Funded Participations in Respect of Drawn Letters of Credit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right="100" w:firstLine="1467"/>
        <w:spacing w:after="0" w:line="307" w:lineRule="auto"/>
        <w:tabs>
          <w:tab w:leader="none" w:pos="213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Whenever the Administrative Agent receives a payment of an L/C Obligation as to which the Administrative Agent has received for the account of an L/C Issuer any payments from the Revolving Lenders pursuant to subsection (e) above (whether directly from the applicable Borrower or otherwise, including proceeds of cash collateral applied thereto by the Administrative Agent), the Administrative Agent shall promptly pay to each Revolving Lender which has paid its pro rata share thereof an amount equal to such Lender’s pro rata share of the amount thereof (appropriately adjusted, in the case of interest payments, to reflect the period of time during which the payments from the Revolving Lenders were received) in the same funds as those received by the Administrative Agent.</w:t>
      </w:r>
    </w:p>
    <w:p>
      <w:pPr>
        <w:spacing w:after="0" w:line="126" w:lineRule="exact"/>
        <w:rPr>
          <w:rFonts w:ascii="Arial" w:cs="Arial" w:eastAsia="Arial" w:hAnsi="Arial"/>
          <w:sz w:val="18"/>
          <w:szCs w:val="18"/>
          <w:color w:val="auto"/>
        </w:rPr>
      </w:pPr>
    </w:p>
    <w:p>
      <w:pPr>
        <w:ind w:firstLine="1467"/>
        <w:spacing w:after="0" w:line="287" w:lineRule="auto"/>
        <w:tabs>
          <w:tab w:leader="none" w:pos="2186" w:val="left"/>
        </w:tabs>
        <w:numPr>
          <w:ilvl w:val="1"/>
          <w:numId w:val="193"/>
        </w:numPr>
        <w:rPr>
          <w:rFonts w:ascii="Arial" w:cs="Arial" w:eastAsia="Arial" w:hAnsi="Arial"/>
          <w:sz w:val="19"/>
          <w:szCs w:val="19"/>
          <w:color w:val="auto"/>
        </w:rPr>
      </w:pPr>
      <w:r>
        <w:rPr>
          <w:rFonts w:ascii="Arial" w:cs="Arial" w:eastAsia="Arial" w:hAnsi="Arial"/>
          <w:sz w:val="19"/>
          <w:szCs w:val="19"/>
          <w:color w:val="auto"/>
        </w:rPr>
        <w:t xml:space="preserve">If any payment received by the Administrative Agent for the account of an L/C Issuer pursuant to clause (i) above is required to be returned under any of the circumstances described in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(including pursuant to any settlement entered into by such L/C Issuer in its discretion), each Revolving Lender shall pay to the Administrative Agent for the account of such L/C Issuer its pro rata share thereof (determined by the proportion its Revolving Commitment Percentage bears to the aggregate Revolving Committed Amount) on demand of the Administrative Agent, plus interest thereon from the date of such demand to the date such amount is returned by such Revolving Lender, at a rate per annum equal to the Federal Funds Rate for such day. The obligations of the Lenders under this clause shall survive the payment in full of the Obligations and termination of this Agreement.</w:t>
      </w:r>
    </w:p>
    <w:p>
      <w:pPr>
        <w:spacing w:after="0" w:line="142" w:lineRule="exact"/>
        <w:rPr>
          <w:rFonts w:ascii="Arial" w:cs="Arial" w:eastAsia="Arial" w:hAnsi="Arial"/>
          <w:sz w:val="19"/>
          <w:szCs w:val="19"/>
          <w:color w:val="auto"/>
        </w:rPr>
      </w:pPr>
    </w:p>
    <w:p>
      <w:pPr>
        <w:ind w:right="80" w:firstLine="1305"/>
        <w:spacing w:after="0" w:line="274" w:lineRule="auto"/>
        <w:tabs>
          <w:tab w:leader="none" w:pos="2175" w:val="left"/>
        </w:tabs>
        <w:numPr>
          <w:ilvl w:val="0"/>
          <w:numId w:val="193"/>
        </w:numPr>
        <w:rPr>
          <w:rFonts w:ascii="Arial" w:cs="Arial" w:eastAsia="Arial" w:hAnsi="Arial"/>
          <w:sz w:val="20"/>
          <w:szCs w:val="20"/>
          <w:color w:val="auto"/>
        </w:rPr>
      </w:pPr>
      <w:r>
        <w:rPr>
          <w:rFonts w:ascii="Arial" w:cs="Arial" w:eastAsia="Arial" w:hAnsi="Arial"/>
          <w:sz w:val="20"/>
          <w:szCs w:val="20"/>
          <w:i w:val="1"/>
          <w:iCs w:val="1"/>
          <w:u w:val="single" w:color="auto"/>
          <w:color w:val="auto"/>
        </w:rPr>
        <w:t>Obligations Absolute</w:t>
      </w:r>
      <w:r>
        <w:rPr>
          <w:rFonts w:ascii="Arial" w:cs="Arial" w:eastAsia="Arial" w:hAnsi="Arial"/>
          <w:sz w:val="20"/>
          <w:szCs w:val="20"/>
          <w:color w:val="auto"/>
        </w:rPr>
        <w:t>. The obligations of each Borrower under</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Sections 2.05(e)(i)</w:t>
      </w:r>
      <w:r>
        <w:rPr>
          <w:rFonts w:ascii="Arial" w:cs="Arial" w:eastAsia="Arial" w:hAnsi="Arial"/>
          <w:sz w:val="20"/>
          <w:szCs w:val="20"/>
          <w:i w:val="1"/>
          <w:iCs w:val="1"/>
          <w:color w:val="auto"/>
        </w:rPr>
        <w:t xml:space="preserve"> </w:t>
      </w:r>
      <w:r>
        <w:rPr>
          <w:rFonts w:ascii="Arial" w:cs="Arial" w:eastAsia="Arial" w:hAnsi="Arial"/>
          <w:sz w:val="20"/>
          <w:szCs w:val="20"/>
          <w:color w:val="auto"/>
        </w:rPr>
        <w:t>and</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2.05(e)(ii)</w:t>
      </w:r>
      <w:r>
        <w:rPr>
          <w:rFonts w:ascii="Arial" w:cs="Arial" w:eastAsia="Arial" w:hAnsi="Arial"/>
          <w:sz w:val="20"/>
          <w:szCs w:val="20"/>
          <w:i w:val="1"/>
          <w:iCs w:val="1"/>
          <w:color w:val="auto"/>
        </w:rPr>
        <w:t xml:space="preserve"> </w:t>
      </w:r>
      <w:r>
        <w:rPr>
          <w:rFonts w:ascii="Arial" w:cs="Arial" w:eastAsia="Arial" w:hAnsi="Arial"/>
          <w:sz w:val="20"/>
          <w:szCs w:val="20"/>
          <w:color w:val="auto"/>
        </w:rPr>
        <w:t>above shall be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absolute (subject to the right to bring subsequent claims subject to the limitations set forth in </w:t>
      </w:r>
      <w:r>
        <w:rPr>
          <w:rFonts w:ascii="Arial" w:cs="Arial" w:eastAsia="Arial" w:hAnsi="Arial"/>
          <w:sz w:val="20"/>
          <w:szCs w:val="20"/>
          <w:u w:val="single" w:color="auto"/>
          <w:color w:val="auto"/>
        </w:rPr>
        <w:t>Section 2.05(l)(v)</w:t>
      </w:r>
      <w:r>
        <w:rPr>
          <w:rFonts w:ascii="Arial" w:cs="Arial" w:eastAsia="Arial" w:hAnsi="Arial"/>
          <w:sz w:val="20"/>
          <w:szCs w:val="20"/>
          <w:color w:val="auto"/>
        </w:rPr>
        <w:t>) and unconditional and shall be performed strictly in accordance with the terms of this Agreement, ISP and UCP, as applicable, under all circumstances whatsoever, including, without limitation, the following circumstances:</w:t>
      </w:r>
    </w:p>
    <w:p>
      <w:pPr>
        <w:spacing w:after="0" w:line="151" w:lineRule="exact"/>
        <w:rPr>
          <w:rFonts w:ascii="Arial" w:cs="Arial" w:eastAsia="Arial" w:hAnsi="Arial"/>
          <w:sz w:val="20"/>
          <w:szCs w:val="20"/>
          <w:color w:val="auto"/>
        </w:rPr>
      </w:pPr>
    </w:p>
    <w:p>
      <w:pPr>
        <w:ind w:left="2140" w:hanging="673"/>
        <w:spacing w:after="0"/>
        <w:tabs>
          <w:tab w:leader="none" w:pos="2140" w:val="left"/>
        </w:tabs>
        <w:numPr>
          <w:ilvl w:val="1"/>
          <w:numId w:val="193"/>
        </w:numPr>
        <w:rPr>
          <w:rFonts w:ascii="Arial" w:cs="Arial" w:eastAsia="Arial" w:hAnsi="Arial"/>
          <w:sz w:val="19"/>
          <w:szCs w:val="19"/>
          <w:color w:val="auto"/>
        </w:rPr>
      </w:pPr>
      <w:r>
        <w:rPr>
          <w:rFonts w:ascii="Arial" w:cs="Arial" w:eastAsia="Arial" w:hAnsi="Arial"/>
          <w:sz w:val="19"/>
          <w:szCs w:val="19"/>
          <w:color w:val="auto"/>
        </w:rPr>
        <w:t>any lack of validity or enforceability of such Letter of Credit, this Agreement or any other Loan Document;</w:t>
      </w:r>
    </w:p>
    <w:p>
      <w:pPr>
        <w:spacing w:after="0" w:line="213" w:lineRule="exact"/>
        <w:rPr>
          <w:rFonts w:ascii="Arial" w:cs="Arial" w:eastAsia="Arial" w:hAnsi="Arial"/>
          <w:sz w:val="19"/>
          <w:szCs w:val="19"/>
          <w:color w:val="auto"/>
        </w:rPr>
      </w:pPr>
    </w:p>
    <w:p>
      <w:pPr>
        <w:ind w:left="660" w:right="260" w:firstLine="807"/>
        <w:spacing w:after="0" w:line="289" w:lineRule="auto"/>
        <w:tabs>
          <w:tab w:leader="none" w:pos="2198" w:val="left"/>
        </w:tabs>
        <w:numPr>
          <w:ilvl w:val="1"/>
          <w:numId w:val="193"/>
        </w:numPr>
        <w:rPr>
          <w:rFonts w:ascii="Arial" w:cs="Arial" w:eastAsia="Arial" w:hAnsi="Arial"/>
          <w:sz w:val="20"/>
          <w:szCs w:val="20"/>
          <w:color w:val="auto"/>
        </w:rPr>
      </w:pPr>
      <w:r>
        <w:rPr>
          <w:rFonts w:ascii="Arial" w:cs="Arial" w:eastAsia="Arial" w:hAnsi="Arial"/>
          <w:sz w:val="20"/>
          <w:szCs w:val="20"/>
          <w:color w:val="auto"/>
        </w:rPr>
        <w:t>any amendment or waiver of or any consent to departure from all or any of the provisions of this Agreement, any Letter of Credit or any other Loan Document;</w:t>
      </w:r>
    </w:p>
    <w:p>
      <w:pPr>
        <w:spacing w:after="0" w:line="134" w:lineRule="exact"/>
        <w:rPr>
          <w:rFonts w:ascii="Arial" w:cs="Arial" w:eastAsia="Arial" w:hAnsi="Arial"/>
          <w:sz w:val="20"/>
          <w:szCs w:val="20"/>
          <w:color w:val="auto"/>
        </w:rPr>
      </w:pPr>
    </w:p>
    <w:p>
      <w:pPr>
        <w:ind w:left="660" w:right="20" w:firstLine="807"/>
        <w:spacing w:after="0" w:line="289" w:lineRule="auto"/>
        <w:tabs>
          <w:tab w:leader="none" w:pos="2253" w:val="left"/>
        </w:tabs>
        <w:numPr>
          <w:ilvl w:val="1"/>
          <w:numId w:val="193"/>
        </w:numPr>
        <w:rPr>
          <w:rFonts w:ascii="Arial" w:cs="Arial" w:eastAsia="Arial" w:hAnsi="Arial"/>
          <w:sz w:val="20"/>
          <w:szCs w:val="20"/>
          <w:color w:val="auto"/>
        </w:rPr>
      </w:pPr>
      <w:r>
        <w:rPr>
          <w:rFonts w:ascii="Arial" w:cs="Arial" w:eastAsia="Arial" w:hAnsi="Arial"/>
          <w:sz w:val="20"/>
          <w:szCs w:val="20"/>
          <w:color w:val="auto"/>
        </w:rPr>
        <w:t>the use which may be made of the Letter of Credit by, or any acts or omission of, a beneficiary of a Letter of Credit (or any Person for whom the beneficiary may be acting);</w:t>
      </w: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p>
      <w:pPr>
        <w:ind w:left="5620" w:hanging="120"/>
        <w:spacing w:after="0"/>
        <w:tabs>
          <w:tab w:leader="none" w:pos="5620" w:val="left"/>
        </w:tabs>
        <w:numPr>
          <w:ilvl w:val="2"/>
          <w:numId w:val="193"/>
        </w:numPr>
        <w:rPr>
          <w:rFonts w:ascii="Arial" w:cs="Arial" w:eastAsia="Arial" w:hAnsi="Arial"/>
          <w:sz w:val="20"/>
          <w:szCs w:val="20"/>
          <w:color w:val="auto"/>
        </w:rPr>
      </w:pPr>
      <w:r>
        <w:rPr>
          <w:rFonts w:ascii="Arial" w:cs="Arial" w:eastAsia="Arial" w:hAnsi="Arial"/>
          <w:sz w:val="20"/>
          <w:szCs w:val="20"/>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72" w:name="page273"/>
    <w:bookmarkEnd w:id="272"/>
    <w:p>
      <w:pPr>
        <w:ind w:left="660" w:right="200" w:firstLine="807"/>
        <w:spacing w:after="0" w:line="293" w:lineRule="auto"/>
        <w:tabs>
          <w:tab w:leader="none" w:pos="2242"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the existence of any claim, counterclaim, setoff, defense or other rights that Parent or any Subsidiary may have at any time against a beneficiary or any transferee of a Letter of Credit (or any Person for whom the beneficiary or transferee may be acting), any L/C Issuer or any other Person, whether in connection with this Agreement, the transactions contemplated hereby or by any Letter of Credit or any document related hereto or thereto or any unrelated transaction;</w:t>
      </w:r>
    </w:p>
    <w:p>
      <w:pPr>
        <w:spacing w:after="0" w:line="135" w:lineRule="exact"/>
        <w:rPr>
          <w:rFonts w:ascii="Arial" w:cs="Arial" w:eastAsia="Arial" w:hAnsi="Arial"/>
          <w:sz w:val="19"/>
          <w:szCs w:val="19"/>
          <w:color w:val="auto"/>
        </w:rPr>
      </w:pPr>
    </w:p>
    <w:p>
      <w:pPr>
        <w:ind w:left="660" w:right="120" w:firstLine="807"/>
        <w:spacing w:after="0" w:line="378" w:lineRule="auto"/>
        <w:tabs>
          <w:tab w:leader="none" w:pos="218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any draft, demand, certificate, statement or any other document presented under a Letter of Credit proving to be forged, fraudulent, invalid or insufficient in any respect or any statement therein being untrue or inaccurate in any respect whatsoever, or any loss or delay in the transmission or otherwise of any document required in order to make a drawing under such Letter of Credit;</w:t>
      </w:r>
    </w:p>
    <w:p>
      <w:pPr>
        <w:spacing w:after="0" w:line="76" w:lineRule="exact"/>
        <w:rPr>
          <w:rFonts w:ascii="Arial" w:cs="Arial" w:eastAsia="Arial" w:hAnsi="Arial"/>
          <w:sz w:val="16"/>
          <w:szCs w:val="16"/>
          <w:color w:val="auto"/>
        </w:rPr>
      </w:pPr>
    </w:p>
    <w:p>
      <w:pPr>
        <w:ind w:left="660" w:right="100" w:firstLine="807"/>
        <w:spacing w:after="0" w:line="289" w:lineRule="auto"/>
        <w:tabs>
          <w:tab w:leader="none" w:pos="224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waiver by the L/C Issuer of any requirement that exists for the L/C Issuer’s protection and not the protection of the Borrowers or any waiver by the L/C Issuer which does not in fact materially prejudice the Borrowers;</w:t>
      </w:r>
    </w:p>
    <w:p>
      <w:pPr>
        <w:spacing w:after="0" w:line="135" w:lineRule="exact"/>
        <w:rPr>
          <w:sz w:val="20"/>
          <w:szCs w:val="20"/>
          <w:color w:val="auto"/>
        </w:rPr>
      </w:pPr>
    </w:p>
    <w:p>
      <w:pPr>
        <w:ind w:left="2180" w:hanging="713"/>
        <w:spacing w:after="0"/>
        <w:tabs>
          <w:tab w:leader="none" w:pos="21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honor of a demand for payment presented electronically even if such Letter of Credit requires that demand be in the</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form of a draft;</w:t>
      </w:r>
    </w:p>
    <w:p>
      <w:pPr>
        <w:spacing w:after="0" w:line="202" w:lineRule="exact"/>
        <w:rPr>
          <w:rFonts w:ascii="Arial" w:cs="Arial" w:eastAsia="Arial" w:hAnsi="Arial"/>
          <w:sz w:val="18"/>
          <w:szCs w:val="18"/>
          <w:color w:val="auto"/>
        </w:rPr>
      </w:pPr>
    </w:p>
    <w:p>
      <w:pPr>
        <w:ind w:left="660" w:right="20" w:firstLine="807"/>
        <w:spacing w:after="0" w:line="278" w:lineRule="auto"/>
        <w:tabs>
          <w:tab w:leader="none" w:pos="2242" w:val="left"/>
        </w:tabs>
        <w:numPr>
          <w:ilvl w:val="0"/>
          <w:numId w:val="195"/>
        </w:numPr>
        <w:rPr>
          <w:rFonts w:ascii="Arial" w:cs="Arial" w:eastAsia="Arial" w:hAnsi="Arial"/>
          <w:sz w:val="20"/>
          <w:szCs w:val="20"/>
          <w:color w:val="auto"/>
        </w:rPr>
      </w:pPr>
      <w:r>
        <w:rPr>
          <w:rFonts w:ascii="Arial" w:cs="Arial" w:eastAsia="Arial" w:hAnsi="Arial"/>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46" w:lineRule="exact"/>
        <w:rPr>
          <w:rFonts w:ascii="Arial" w:cs="Arial" w:eastAsia="Arial" w:hAnsi="Arial"/>
          <w:sz w:val="20"/>
          <w:szCs w:val="20"/>
          <w:color w:val="auto"/>
        </w:rPr>
      </w:pPr>
    </w:p>
    <w:p>
      <w:pPr>
        <w:ind w:left="660" w:right="260" w:firstLine="807"/>
        <w:spacing w:after="0" w:line="289" w:lineRule="auto"/>
        <w:tabs>
          <w:tab w:leader="none" w:pos="2297" w:val="left"/>
        </w:tabs>
        <w:numPr>
          <w:ilvl w:val="0"/>
          <w:numId w:val="195"/>
        </w:numPr>
        <w:rPr>
          <w:rFonts w:ascii="Arial" w:cs="Arial" w:eastAsia="Arial" w:hAnsi="Arial"/>
          <w:sz w:val="20"/>
          <w:szCs w:val="20"/>
          <w:color w:val="auto"/>
        </w:rPr>
      </w:pPr>
      <w:r>
        <w:rPr>
          <w:rFonts w:ascii="Arial" w:cs="Arial" w:eastAsia="Arial" w:hAnsi="Arial"/>
          <w:sz w:val="20"/>
          <w:szCs w:val="20"/>
          <w:color w:val="auto"/>
        </w:rPr>
        <w:t>any payment by the L/C Issuer under a Letter of Credit against presentation of a draft or certificate that does not strictly comply with the terms of such Letter of Credit;</w:t>
      </w:r>
    </w:p>
    <w:p>
      <w:pPr>
        <w:spacing w:after="0" w:line="134" w:lineRule="exact"/>
        <w:rPr>
          <w:rFonts w:ascii="Arial" w:cs="Arial" w:eastAsia="Arial" w:hAnsi="Arial"/>
          <w:sz w:val="20"/>
          <w:szCs w:val="20"/>
          <w:color w:val="auto"/>
        </w:rPr>
      </w:pPr>
    </w:p>
    <w:p>
      <w:pPr>
        <w:jc w:val="both"/>
        <w:ind w:left="660" w:right="180" w:firstLine="807"/>
        <w:spacing w:after="0" w:line="274" w:lineRule="auto"/>
        <w:tabs>
          <w:tab w:leader="none" w:pos="2352" w:val="left"/>
        </w:tabs>
        <w:numPr>
          <w:ilvl w:val="0"/>
          <w:numId w:val="195"/>
        </w:numPr>
        <w:rPr>
          <w:rFonts w:ascii="Arial" w:cs="Arial" w:eastAsia="Arial" w:hAnsi="Arial"/>
          <w:sz w:val="20"/>
          <w:szCs w:val="20"/>
          <w:color w:val="auto"/>
        </w:rPr>
      </w:pPr>
      <w:r>
        <w:rPr>
          <w:rFonts w:ascii="Arial" w:cs="Arial" w:eastAsia="Arial" w:hAnsi="Arial"/>
          <w:sz w:val="20"/>
          <w:szCs w:val="20"/>
          <w:color w:val="auto"/>
        </w:rPr>
        <w:t>any payment made by the L/C Issuer under such Letter of Credit to any Person purporting to be a trustee in bankruptcy, debtor-in-possession, assignee for the benefit of creditors, liquidator, examiner, receiver or other representative of or successor to any beneficiary or any transferee of such Letter of Credit, including any arising in connection with any proceeding under any Insolvency or Liquidation Proceeding; or</w:t>
      </w:r>
    </w:p>
    <w:p>
      <w:pPr>
        <w:spacing w:after="0" w:line="151" w:lineRule="exact"/>
        <w:rPr>
          <w:rFonts w:ascii="Arial" w:cs="Arial" w:eastAsia="Arial" w:hAnsi="Arial"/>
          <w:sz w:val="20"/>
          <w:szCs w:val="20"/>
          <w:color w:val="auto"/>
        </w:rPr>
      </w:pPr>
    </w:p>
    <w:p>
      <w:pPr>
        <w:ind w:left="660" w:right="300" w:firstLine="807"/>
        <w:spacing w:after="0" w:line="278" w:lineRule="auto"/>
        <w:tabs>
          <w:tab w:leader="none" w:pos="2242" w:val="left"/>
        </w:tabs>
        <w:numPr>
          <w:ilvl w:val="0"/>
          <w:numId w:val="195"/>
        </w:numPr>
        <w:rPr>
          <w:rFonts w:ascii="Arial" w:cs="Arial" w:eastAsia="Arial" w:hAnsi="Arial"/>
          <w:sz w:val="20"/>
          <w:szCs w:val="20"/>
          <w:color w:val="auto"/>
        </w:rPr>
      </w:pPr>
      <w:r>
        <w:rPr>
          <w:rFonts w:ascii="Arial" w:cs="Arial" w:eastAsia="Arial" w:hAnsi="Arial"/>
          <w:sz w:val="20"/>
          <w:szCs w:val="20"/>
          <w:color w:val="auto"/>
        </w:rPr>
        <w:t>any other act or omission to act or delay of any kind by any L/C Issuer or any other Person or any other event or circumstance whatsoever that might, but for the provisions of this clause (ix), constitute a legal or equitable discharge of each Borrower’s obligations hereunder;</w:t>
      </w:r>
    </w:p>
    <w:p>
      <w:pPr>
        <w:spacing w:after="0" w:line="133" w:lineRule="exact"/>
        <w:rPr>
          <w:sz w:val="20"/>
          <w:szCs w:val="20"/>
          <w:color w:val="auto"/>
        </w:rPr>
      </w:pPr>
    </w:p>
    <w:p>
      <w:pPr>
        <w:spacing w:after="0" w:line="282"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excuse any L/C Issuer from liability to the applicable Borrower to the extent of any direct damages (as opposed to punitive or consequential damages or lost profits, claims in respect of which are waived by such Borrower to the extent permitted by applicable Law) suffered by such Borrower that are caused by acts or omissions by such L/C Issuer constituting gross negligence or willful misconduct on the part of such L/C Issuer (as determined by a court of competent jurisdiction in a final non-appealable judgment).</w:t>
      </w:r>
    </w:p>
    <w:p>
      <w:pPr>
        <w:spacing w:after="0" w:line="121" w:lineRule="exact"/>
        <w:rPr>
          <w:sz w:val="20"/>
          <w:szCs w:val="20"/>
          <w:color w:val="auto"/>
        </w:rPr>
      </w:pPr>
    </w:p>
    <w:p>
      <w:pPr>
        <w:ind w:right="80" w:firstLine="1297"/>
        <w:spacing w:after="0" w:line="246" w:lineRule="auto"/>
        <w:rPr>
          <w:sz w:val="20"/>
          <w:szCs w:val="20"/>
          <w:color w:val="auto"/>
        </w:rPr>
      </w:pPr>
      <w:r>
        <w:rPr>
          <w:rFonts w:ascii="Arial" w:cs="Arial" w:eastAsia="Arial" w:hAnsi="Arial"/>
          <w:sz w:val="20"/>
          <w:szCs w:val="20"/>
          <w:color w:val="auto"/>
        </w:rPr>
        <w:t>Each Borrower shall promptly examine a copy of each Letter of Credit and each amendment thereto that is delivered to it and, in the event of any claim of noncompliance with such Borrower’s instructions or other irregularity, such Borrower will promptly notify the L/C Issuer. Each Borrower shall be conclusively deemed to have waived any such claim against the L/C Issuer and its correspondents unless such notice is given as aforesaid.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273" w:name="page274"/>
    <w:bookmarkEnd w:id="273"/>
    <w:p>
      <w:pPr>
        <w:ind w:firstLine="1305"/>
        <w:spacing w:after="0" w:line="299" w:lineRule="auto"/>
        <w:tabs>
          <w:tab w:leader="none" w:pos="2175" w:val="left"/>
        </w:tabs>
        <w:numPr>
          <w:ilvl w:val="0"/>
          <w:numId w:val="196"/>
        </w:numPr>
        <w:rPr>
          <w:rFonts w:ascii="Arial" w:cs="Arial" w:eastAsia="Arial" w:hAnsi="Arial"/>
          <w:sz w:val="18"/>
          <w:szCs w:val="18"/>
          <w:color w:val="auto"/>
        </w:rPr>
      </w:pPr>
      <w:r>
        <w:rPr>
          <w:rFonts w:ascii="Arial" w:cs="Arial" w:eastAsia="Arial" w:hAnsi="Arial"/>
          <w:sz w:val="18"/>
          <w:szCs w:val="18"/>
          <w:i w:val="1"/>
          <w:iCs w:val="1"/>
          <w:u w:val="single" w:color="auto"/>
          <w:color w:val="auto"/>
        </w:rPr>
        <w:t>Role of L/C Issuers; Reliance</w:t>
      </w:r>
      <w:r>
        <w:rPr>
          <w:rFonts w:ascii="Arial" w:cs="Arial" w:eastAsia="Arial" w:hAnsi="Arial"/>
          <w:sz w:val="18"/>
          <w:szCs w:val="18"/>
          <w:color w:val="auto"/>
        </w:rPr>
        <w:t>. Each Revolving Lender and each Borrower agree that the relevant L/C Issuer shall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Agents or their respective Related Parties or any of the respective correspondents, participants or assignees of the L/C Issuer shall be liable to any Lender for: (i) any action taken or omitted in connection herewith at the request or with the approval of the Revolving Lenders or the Required Revolving Lenders, as applicable; (ii) any action taken or omitted in the absence of gross negligence or willful misconduct as determined by a court of competent jurisdiction in a final and nonappealable judgment; or (iii) the due execution, effectiveness, validity or enforceability of any document or instrument related to any Letter of Credit or L/C Document. Each Borrower hereby assumes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assumption is not intended to, and shall not, preclude each Borrower’s pursuing such rights and remedies as it may have against the beneficiary or transferee at law or under any other agreement. None of the L/C Issuer, the Agents or any of their respective Related Parties, or any of the respective correspondents, participants or assignees of the L/C Issuer, shall be liable or responsible for any of the matters described in clauses (i) through (viii) of subsection (g) of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anything in such clauses to the contrary notwithstanding, a Borrower may have a claim against the L/C Issuer, and the L/C Issuer may be liable to such Borrower, to the extent, but only to the extent, of any direct, as opposed to consequential or exemplary, damages suffered by such Borrower which are determined by a court of competent jurisdiction in a final and nonappealable judgment to have been caused by the L/C Issuer’s willful misconduct or gross negligence or the L/C Issuer’s willful or grossly negligent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Arial" w:cs="Arial" w:eastAsia="Arial" w:hAnsi="Arial"/>
          <w:sz w:val="18"/>
          <w:szCs w:val="18"/>
          <w:u w:val="single" w:color="auto"/>
          <w:color w:val="auto"/>
        </w:rPr>
        <w:t>SWIFT</w:t>
      </w:r>
      <w:r>
        <w:rPr>
          <w:rFonts w:ascii="Arial" w:cs="Arial" w:eastAsia="Arial" w:hAnsi="Arial"/>
          <w:sz w:val="18"/>
          <w:szCs w:val="18"/>
          <w:color w:val="auto"/>
        </w:rPr>
        <w:t>”) message or overnight courier, or any other commercially reasonable means of communicating with a beneficiary.</w:t>
      </w:r>
    </w:p>
    <w:p>
      <w:pPr>
        <w:spacing w:after="0" w:line="145" w:lineRule="exact"/>
        <w:rPr>
          <w:rFonts w:ascii="Arial" w:cs="Arial" w:eastAsia="Arial" w:hAnsi="Arial"/>
          <w:sz w:val="18"/>
          <w:szCs w:val="18"/>
          <w:color w:val="auto"/>
        </w:rPr>
      </w:pPr>
    </w:p>
    <w:p>
      <w:pPr>
        <w:ind w:right="100" w:firstLine="1305"/>
        <w:spacing w:after="0" w:line="285" w:lineRule="auto"/>
        <w:tabs>
          <w:tab w:leader="none" w:pos="2132" w:val="left"/>
        </w:tabs>
        <w:numPr>
          <w:ilvl w:val="0"/>
          <w:numId w:val="196"/>
        </w:numPr>
        <w:rPr>
          <w:rFonts w:ascii="Arial" w:cs="Arial" w:eastAsia="Arial" w:hAnsi="Arial"/>
          <w:sz w:val="19"/>
          <w:szCs w:val="19"/>
          <w:color w:val="auto"/>
        </w:rPr>
      </w:pPr>
      <w:r>
        <w:rPr>
          <w:rFonts w:ascii="Arial" w:cs="Arial" w:eastAsia="Arial" w:hAnsi="Arial"/>
          <w:sz w:val="19"/>
          <w:szCs w:val="19"/>
          <w:i w:val="1"/>
          <w:iCs w:val="1"/>
          <w:u w:val="single" w:color="auto"/>
          <w:color w:val="auto"/>
        </w:rPr>
        <w:t>Applicability of ISP and UCP</w:t>
      </w:r>
      <w:r>
        <w:rPr>
          <w:rFonts w:ascii="Arial" w:cs="Arial" w:eastAsia="Arial" w:hAnsi="Arial"/>
          <w:sz w:val="19"/>
          <w:szCs w:val="19"/>
          <w:color w:val="auto"/>
        </w:rPr>
        <w:t>. Unless otherwise expressly agreed by the L/C Issuer and the applicable Borrower</w:t>
      </w:r>
      <w:r>
        <w:rPr>
          <w:rFonts w:ascii="Arial" w:cs="Arial" w:eastAsia="Arial" w:hAnsi="Arial"/>
          <w:sz w:val="19"/>
          <w:szCs w:val="19"/>
          <w:i w:val="1"/>
          <w:iCs w:val="1"/>
          <w:color w:val="auto"/>
        </w:rPr>
        <w:t xml:space="preserve"> </w:t>
      </w:r>
      <w:r>
        <w:rPr>
          <w:rFonts w:ascii="Arial" w:cs="Arial" w:eastAsia="Arial" w:hAnsi="Arial"/>
          <w:sz w:val="19"/>
          <w:szCs w:val="19"/>
          <w:color w:val="auto"/>
        </w:rPr>
        <w:t>when a Letter of Credit is issued (i) the rules of the ISP shall apply to each standby Letter of Credit and (ii) the rules of the UCP, as most recently published by the International Chamber of Commerce at the time of issuance shall apply to each commercial Letter of Credit. Notwithstanding the foregoing, the L/C Issuer shall not be responsible to Parent or any Borrower for, and the L/C Issuer’s rights and remedies against Parent or any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47" w:lineRule="exact"/>
        <w:rPr>
          <w:rFonts w:ascii="Arial" w:cs="Arial" w:eastAsia="Arial" w:hAnsi="Arial"/>
          <w:sz w:val="19"/>
          <w:szCs w:val="19"/>
          <w:color w:val="auto"/>
        </w:rPr>
      </w:pPr>
    </w:p>
    <w:p>
      <w:pPr>
        <w:ind w:left="2140" w:hanging="835"/>
        <w:spacing w:after="0"/>
        <w:tabs>
          <w:tab w:leader="none" w:pos="2140" w:val="left"/>
        </w:tabs>
        <w:numPr>
          <w:ilvl w:val="0"/>
          <w:numId w:val="196"/>
        </w:numPr>
        <w:rPr>
          <w:rFonts w:ascii="Arial" w:cs="Arial" w:eastAsia="Arial" w:hAnsi="Arial"/>
          <w:sz w:val="19"/>
          <w:szCs w:val="19"/>
          <w:color w:val="auto"/>
        </w:rPr>
      </w:pPr>
      <w:r>
        <w:rPr>
          <w:rFonts w:ascii="Arial" w:cs="Arial" w:eastAsia="Arial" w:hAnsi="Arial"/>
          <w:sz w:val="19"/>
          <w:szCs w:val="19"/>
          <w:i w:val="1"/>
          <w:iCs w:val="1"/>
          <w:u w:val="single" w:color="auto"/>
          <w:color w:val="auto"/>
        </w:rPr>
        <w:t>Conflict with L/C Documents</w:t>
      </w:r>
      <w:r>
        <w:rPr>
          <w:rFonts w:ascii="Arial" w:cs="Arial" w:eastAsia="Arial" w:hAnsi="Arial"/>
          <w:sz w:val="19"/>
          <w:szCs w:val="19"/>
          <w:color w:val="auto"/>
        </w:rPr>
        <w:t>. In the event of any conflict between this Agreement and any L/C Document, this</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Agreement shall govern.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7" w:lineRule="exact"/>
        <w:rPr>
          <w:rFonts w:ascii="Arial" w:cs="Arial" w:eastAsia="Arial" w:hAnsi="Arial"/>
          <w:sz w:val="19"/>
          <w:szCs w:val="19"/>
          <w:color w:val="auto"/>
        </w:rPr>
      </w:pPr>
    </w:p>
    <w:p>
      <w:pPr>
        <w:ind w:left="5620" w:hanging="120"/>
        <w:spacing w:after="0"/>
        <w:tabs>
          <w:tab w:leader="none" w:pos="5620" w:val="left"/>
        </w:tabs>
        <w:numPr>
          <w:ilvl w:val="1"/>
          <w:numId w:val="196"/>
        </w:numPr>
        <w:rPr>
          <w:rFonts w:ascii="Arial" w:cs="Arial" w:eastAsia="Arial" w:hAnsi="Arial"/>
          <w:sz w:val="20"/>
          <w:szCs w:val="20"/>
          <w:color w:val="auto"/>
        </w:rPr>
      </w:pPr>
      <w:r>
        <w:rPr>
          <w:rFonts w:ascii="Arial" w:cs="Arial" w:eastAsia="Arial" w:hAnsi="Arial"/>
          <w:sz w:val="20"/>
          <w:szCs w:val="20"/>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274" w:name="page275"/>
    <w:bookmarkEnd w:id="274"/>
    <w:p>
      <w:pPr>
        <w:ind w:left="-1200" w:right="20" w:firstLine="1305"/>
        <w:spacing w:after="0" w:line="310" w:lineRule="auto"/>
        <w:tabs>
          <w:tab w:leader="none" w:pos="975" w:val="left"/>
        </w:tabs>
        <w:numPr>
          <w:ilvl w:val="0"/>
          <w:numId w:val="197"/>
        </w:numPr>
        <w:rPr>
          <w:rFonts w:ascii="Arial" w:cs="Arial" w:eastAsia="Arial" w:hAnsi="Arial"/>
          <w:sz w:val="18"/>
          <w:szCs w:val="18"/>
          <w:color w:val="auto"/>
        </w:rPr>
      </w:pPr>
      <w:r>
        <w:rPr>
          <w:rFonts w:ascii="Arial" w:cs="Arial" w:eastAsia="Arial" w:hAnsi="Arial"/>
          <w:sz w:val="18"/>
          <w:szCs w:val="18"/>
          <w:i w:val="1"/>
          <w:iCs w:val="1"/>
          <w:u w:val="single" w:color="auto"/>
          <w:color w:val="auto"/>
        </w:rPr>
        <w:t>Letters of Credit Issued for Parent or Subsidiaries</w:t>
      </w:r>
      <w:r>
        <w:rPr>
          <w:rFonts w:ascii="Arial" w:cs="Arial" w:eastAsia="Arial" w:hAnsi="Arial"/>
          <w:sz w:val="18"/>
          <w:szCs w:val="18"/>
          <w:color w:val="auto"/>
        </w:rPr>
        <w:t>. Notwithstanding that a Letter of Credit issued or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is in support of any obligations of, or is for the account of, Parent or a Subsidiary of Parent (other than the applicable Borrower), the applicable Borrower shall be obligated to reimburse the applicable L/C Issuer hereunder for any and all drawings under such Letter of Credit. Each Borrower hereby acknowledges that the issuance of Letters of Credit for the account of Parent or Subsidiaries inures to the benefit of such Borrower, and that such Borrower’s business derives benefits from the businesses of Parent or such Subsidiaries.</w:t>
      </w:r>
    </w:p>
    <w:p>
      <w:pPr>
        <w:spacing w:after="0" w:line="121" w:lineRule="exact"/>
        <w:rPr>
          <w:rFonts w:ascii="Arial" w:cs="Arial" w:eastAsia="Arial" w:hAnsi="Arial"/>
          <w:sz w:val="18"/>
          <w:szCs w:val="18"/>
          <w:color w:val="auto"/>
        </w:rPr>
      </w:pPr>
    </w:p>
    <w:p>
      <w:pPr>
        <w:ind w:left="940" w:hanging="835"/>
        <w:spacing w:after="0"/>
        <w:tabs>
          <w:tab w:leader="none" w:pos="940" w:val="left"/>
        </w:tabs>
        <w:numPr>
          <w:ilvl w:val="0"/>
          <w:numId w:val="197"/>
        </w:numPr>
        <w:rPr>
          <w:rFonts w:ascii="Arial" w:cs="Arial" w:eastAsia="Arial" w:hAnsi="Arial"/>
          <w:sz w:val="20"/>
          <w:szCs w:val="20"/>
          <w:color w:val="auto"/>
        </w:rPr>
      </w:pPr>
      <w:r>
        <w:rPr>
          <w:rFonts w:ascii="Arial" w:cs="Arial" w:eastAsia="Arial" w:hAnsi="Arial"/>
          <w:sz w:val="20"/>
          <w:szCs w:val="20"/>
          <w:i w:val="1"/>
          <w:iCs w:val="1"/>
          <w:u w:val="single" w:color="auto"/>
          <w:color w:val="auto"/>
        </w:rPr>
        <w:t>Indemnification of L/C Issuer</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200" w:right="320" w:firstLine="1467"/>
        <w:spacing w:after="0" w:line="288" w:lineRule="auto"/>
        <w:tabs>
          <w:tab w:leader="none" w:pos="932" w:val="left"/>
        </w:tabs>
        <w:numPr>
          <w:ilvl w:val="1"/>
          <w:numId w:val="197"/>
        </w:numPr>
        <w:rPr>
          <w:rFonts w:ascii="Arial" w:cs="Arial" w:eastAsia="Arial" w:hAnsi="Arial"/>
          <w:sz w:val="19"/>
          <w:szCs w:val="19"/>
          <w:color w:val="auto"/>
        </w:rPr>
      </w:pPr>
      <w:r>
        <w:rPr>
          <w:rFonts w:ascii="Arial" w:cs="Arial" w:eastAsia="Arial" w:hAnsi="Arial"/>
          <w:sz w:val="19"/>
          <w:szCs w:val="19"/>
          <w:color w:val="auto"/>
        </w:rPr>
        <w:t>In addition to its other obligations under this Agreement, each Borrower hereby agrees to protect, indemnify, pay and save each L/C Issuer harmless from and against any and all claims, demands, liabilities, damages, losses, costs, charges and expenses (including reasonable out-of-pocket fees, charges and disbursements of counsel) that such L/C Issuer may incur or be subject to as a consequence, direct or indirect, of (A) the issuance of any Letter of Credit or (B) the failure of such L/C Issuer to honor a drawing under a Letter of Credit as a result of any act or omission, whether rightful or wrongful, of any present or future de jure or de facto government or Governmental Authority (all such acts or omissions herein called “</w:t>
      </w:r>
      <w:r>
        <w:rPr>
          <w:rFonts w:ascii="Arial" w:cs="Arial" w:eastAsia="Arial" w:hAnsi="Arial"/>
          <w:sz w:val="19"/>
          <w:szCs w:val="19"/>
          <w:u w:val="single" w:color="auto"/>
          <w:color w:val="auto"/>
        </w:rPr>
        <w:t>Government Acts</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ind w:left="-1200" w:firstLine="1467"/>
        <w:spacing w:after="0" w:line="285" w:lineRule="auto"/>
        <w:tabs>
          <w:tab w:leader="none" w:pos="986" w:val="left"/>
        </w:tabs>
        <w:numPr>
          <w:ilvl w:val="1"/>
          <w:numId w:val="197"/>
        </w:numPr>
        <w:rPr>
          <w:rFonts w:ascii="Arial" w:cs="Arial" w:eastAsia="Arial" w:hAnsi="Arial"/>
          <w:sz w:val="19"/>
          <w:szCs w:val="19"/>
          <w:color w:val="auto"/>
        </w:rPr>
      </w:pPr>
      <w:r>
        <w:rPr>
          <w:rFonts w:ascii="Arial" w:cs="Arial" w:eastAsia="Arial" w:hAnsi="Arial"/>
          <w:sz w:val="19"/>
          <w:szCs w:val="19"/>
          <w:color w:val="auto"/>
        </w:rPr>
        <w:t>As between the applicable Borrower and each L/C Issuer, such Borrower shall assume all risks of the acts or omissions of or the misuse of any Letter of Credit by the beneficiary thereof. The L/C Issuer shall not be responsible for: (A) the form, validity, sufficiency, accuracy, genuineness or legal effect of any document submitted by any party in connection with the application for and issuance of any Letter of Credit, even if it should in fact prove to be in any or all respects invalid, insufficient, inaccurate, fraudulent or forged; (B) the validity or sufficiency of any instrument transferring or assigning or purporting to transfer or assign any Letter of Credit or the rights or benefits thereunder or proceeds thereof, in whole or in part, that may prove to be invalid or ineffective for any reason; (C) failure of the beneficiary of a Letter of Credit to comply fully with conditions required in order to draw upon a Letter of Credit; (D) errors, omissions, interruptions or delays in transmission or delivery of any messages, by mail, cable, telegraph, telex or otherwise, whether or not they be in cipher; (E) errors in interpretation of technical terms; (F) any loss or delay in the transmission or otherwise of any documents required in order to make a drawing under a Letter of Credit or of the proceeds thereof; and (G) any consequences arising from causes beyond the control of the L/C Issuer, including, without limitation, any Government Acts. None of the above shall affect, impair, or prevent the vesting of the L/C Issuer’s rights or powers hereunder.</w:t>
      </w:r>
    </w:p>
    <w:p>
      <w:pPr>
        <w:spacing w:after="0" w:line="141" w:lineRule="exact"/>
        <w:rPr>
          <w:rFonts w:ascii="Arial" w:cs="Arial" w:eastAsia="Arial" w:hAnsi="Arial"/>
          <w:sz w:val="19"/>
          <w:szCs w:val="19"/>
          <w:color w:val="auto"/>
        </w:rPr>
      </w:pPr>
    </w:p>
    <w:p>
      <w:pPr>
        <w:ind w:left="-1200" w:right="40" w:firstLine="1467"/>
        <w:spacing w:after="0" w:line="305" w:lineRule="auto"/>
        <w:tabs>
          <w:tab w:leader="none" w:pos="104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In furtherance and extension and not in limitation of the specific provisions hereinabove set forth, any action taken or omitted by an L/C Issuer, under or in connection with any Letter of Credit or the related certificates, if taken or omitted in good faith, shall not put the L/C Issuer under any resulting liability to any Borrower or any other Loan Party. It is the intention of the parties that this Agreement shall be construed and applied to protect and indemnify the L/C Issuer against any and all risks involved in the issuance of any Letter of Credit, all of which risks are hereby assumed by the Loan Parties, including, without limitation, any and all risks, whether rightful or wrongful, of any present or future Government Acts. The L/C Issuer shall not, in any way, be liable for any failure by the L/C Issuer or anyone else to pay any drawing under any Letter of Credit as a result of any Government Acts or any other cause beyond the control of the L/C Issuer.</w:t>
      </w:r>
    </w:p>
    <w:p>
      <w:pPr>
        <w:spacing w:after="0" w:line="130" w:lineRule="exact"/>
        <w:rPr>
          <w:rFonts w:ascii="Arial" w:cs="Arial" w:eastAsia="Arial" w:hAnsi="Arial"/>
          <w:sz w:val="18"/>
          <w:szCs w:val="18"/>
          <w:color w:val="auto"/>
        </w:rPr>
      </w:pPr>
    </w:p>
    <w:p>
      <w:pPr>
        <w:jc w:val="both"/>
        <w:ind w:left="-1200" w:right="120" w:firstLine="1467"/>
        <w:spacing w:after="0" w:line="278" w:lineRule="auto"/>
        <w:tabs>
          <w:tab w:leader="none" w:pos="1031" w:val="left"/>
        </w:tabs>
        <w:numPr>
          <w:ilvl w:val="1"/>
          <w:numId w:val="197"/>
        </w:numPr>
        <w:rPr>
          <w:rFonts w:ascii="Arial" w:cs="Arial" w:eastAsia="Arial" w:hAnsi="Arial"/>
          <w:sz w:val="20"/>
          <w:szCs w:val="20"/>
          <w:color w:val="auto"/>
        </w:rPr>
      </w:pPr>
      <w:r>
        <w:rPr>
          <w:rFonts w:ascii="Arial" w:cs="Arial" w:eastAsia="Arial" w:hAnsi="Arial"/>
          <w:sz w:val="20"/>
          <w:szCs w:val="20"/>
          <w:color w:val="auto"/>
        </w:rPr>
        <w:t xml:space="preserve">Nothing in this subsection (l) is intended to limit the Reimbursement Obligation of any Borrower contained in this </w:t>
      </w:r>
      <w:r>
        <w:rPr>
          <w:rFonts w:ascii="Arial" w:cs="Arial" w:eastAsia="Arial" w:hAnsi="Arial"/>
          <w:sz w:val="20"/>
          <w:szCs w:val="20"/>
          <w:u w:val="single" w:color="auto"/>
          <w:color w:val="auto"/>
        </w:rPr>
        <w:t>Section 2.05</w:t>
      </w:r>
      <w:r>
        <w:rPr>
          <w:rFonts w:ascii="Arial" w:cs="Arial" w:eastAsia="Arial" w:hAnsi="Arial"/>
          <w:sz w:val="20"/>
          <w:szCs w:val="20"/>
          <w:color w:val="auto"/>
        </w:rPr>
        <w:t>. The obligations of any Borrower under this subsection (l) shall survive the termination of this Agreement. No act or omission of any current or prior beneficiary</w:t>
      </w:r>
    </w:p>
    <w:p>
      <w:pPr>
        <w:spacing w:after="0" w:line="200" w:lineRule="exact"/>
        <w:rPr>
          <w:rFonts w:ascii="Arial" w:cs="Arial" w:eastAsia="Arial" w:hAnsi="Arial"/>
          <w:sz w:val="20"/>
          <w:szCs w:val="20"/>
          <w:color w:val="auto"/>
        </w:rPr>
      </w:pPr>
    </w:p>
    <w:p>
      <w:pPr>
        <w:spacing w:after="0" w:line="391" w:lineRule="exact"/>
        <w:rPr>
          <w:rFonts w:ascii="Arial" w:cs="Arial" w:eastAsia="Arial" w:hAnsi="Arial"/>
          <w:sz w:val="20"/>
          <w:szCs w:val="20"/>
          <w:color w:val="auto"/>
        </w:rPr>
      </w:pPr>
    </w:p>
    <w:p>
      <w:pPr>
        <w:ind w:left="4420" w:hanging="120"/>
        <w:spacing w:after="0"/>
        <w:tabs>
          <w:tab w:leader="none" w:pos="4420" w:val="left"/>
        </w:tabs>
        <w:numPr>
          <w:ilvl w:val="2"/>
          <w:numId w:val="197"/>
        </w:numPr>
        <w:rPr>
          <w:rFonts w:ascii="Arial" w:cs="Arial" w:eastAsia="Arial" w:hAnsi="Arial"/>
          <w:sz w:val="20"/>
          <w:szCs w:val="20"/>
          <w:color w:val="auto"/>
        </w:rPr>
      </w:pPr>
      <w:r>
        <w:rPr>
          <w:rFonts w:ascii="Arial" w:cs="Arial" w:eastAsia="Arial" w:hAnsi="Arial"/>
          <w:sz w:val="20"/>
          <w:szCs w:val="20"/>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48895</wp:posOffset>
            </wp:positionV>
            <wp:extent cx="72720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79" w:right="23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color w:val="auto"/>
        </w:rPr>
        <w:t>of a Letter of Credit shall in any way affect or impair the rights of any L/C Issuer to enforce any right, power or benefit under this Agreement.</w:t>
      </w:r>
    </w:p>
    <w:p>
      <w:pPr>
        <w:spacing w:after="0" w:line="212" w:lineRule="exact"/>
        <w:rPr>
          <w:sz w:val="20"/>
          <w:szCs w:val="20"/>
          <w:color w:val="auto"/>
        </w:rPr>
      </w:pPr>
    </w:p>
    <w:p>
      <w:pPr>
        <w:ind w:right="40" w:firstLine="1467"/>
        <w:spacing w:after="0" w:line="310" w:lineRule="auto"/>
        <w:tabs>
          <w:tab w:leader="none" w:pos="2175" w:val="left"/>
        </w:tabs>
        <w:numPr>
          <w:ilvl w:val="2"/>
          <w:numId w:val="19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subsection (l), no Borrower shall have obligation to indemnify any L/C Issuer in respect of any liability incurred by such L/C Issuer arising solely out of the gross negligence or willful misconduct of such L/C Issuer, as determined by a court of competent jurisdiction in a final and nonappealable judgment. Nothing in this Agreement shall relieve any L/C Issuer of any liability to a Borrower in respect of any action taken by such L/C Issuer which action constitutes gross negligence or willful misconduct of such L/C Issuer, as determined by a court of competent jurisdiction in a final and nonappealable judgment.</w:t>
      </w:r>
    </w:p>
    <w:p>
      <w:pPr>
        <w:spacing w:after="0" w:line="121" w:lineRule="exact"/>
        <w:rPr>
          <w:rFonts w:ascii="Arial" w:cs="Arial" w:eastAsia="Arial" w:hAnsi="Arial"/>
          <w:sz w:val="18"/>
          <w:szCs w:val="18"/>
          <w:color w:val="auto"/>
        </w:rPr>
      </w:pPr>
    </w:p>
    <w:p>
      <w:pPr>
        <w:ind w:right="40" w:firstLine="1305"/>
        <w:spacing w:after="0" w:line="300" w:lineRule="auto"/>
        <w:tabs>
          <w:tab w:leader="none" w:pos="2231" w:val="left"/>
        </w:tabs>
        <w:numPr>
          <w:ilvl w:val="1"/>
          <w:numId w:val="199"/>
        </w:numPr>
        <w:rPr>
          <w:rFonts w:ascii="Arial" w:cs="Arial" w:eastAsia="Arial" w:hAnsi="Arial"/>
          <w:sz w:val="18"/>
          <w:szCs w:val="18"/>
          <w:color w:val="auto"/>
        </w:rPr>
      </w:pPr>
      <w:r>
        <w:rPr>
          <w:rFonts w:ascii="Arial" w:cs="Arial" w:eastAsia="Arial" w:hAnsi="Arial"/>
          <w:sz w:val="18"/>
          <w:szCs w:val="18"/>
          <w:i w:val="1"/>
          <w:iCs w:val="1"/>
          <w:u w:val="single" w:color="auto"/>
          <w:color w:val="auto"/>
        </w:rPr>
        <w:t>Resignation of an L/C Issuer</w:t>
      </w:r>
      <w:r>
        <w:rPr>
          <w:rFonts w:ascii="Arial" w:cs="Arial" w:eastAsia="Arial" w:hAnsi="Arial"/>
          <w:sz w:val="18"/>
          <w:szCs w:val="18"/>
          <w:color w:val="auto"/>
        </w:rPr>
        <w:t>. An L/C Issuer may resign at any time by giving 30 days’ notice to the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Agent, the Revolving Lenders and the Lead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such resignation shall not affect the rights or obligations of the L/C Issuer with respect to Letters of Credit issued by it prior to such resignation. Upon any such resignation, the Lead Borrower shall (within 60 days after such notice of resignation) either appoint a successor or terminate the unutilized L/C Commitment of such L/C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Lead Borrower elects to terminate such unutilized L/C Commitment, the Lead Borrower may at any time thereafter that the Revolving Commitments are in effect reinstate such L/C Commitment in connection with the appointment of another L/C Issuer. Upon the acceptance of any appointment as an L/C Issuer hereunder by a successor L/C Issuer, such successor shall succeed to and become vested with all the interests, rights and obligations of the retiring L/C Issuer and the retiring L/C Issuer shall be discharged from its obligations to issue Letters of Credit hereunder. The acceptance of any appointment as L/C Issuer hereunder by a successor L/C Issuer shall be evidenced by an agreement entered into by such successor, in a form reasonably satisfactory to the Lead Borrower and the Administrative Agent, and, from and after the effective date of such agreement, (i) such successor shall be a party hereto and have all the rights and obligations of an L/C Issuer under this Agreement and the other Loan Documents and (ii) references herein and in the other Loan Documents to the “L/C Issuer” shall be deemed to refer to such successor or to any previous L/C Issuer, or to such successor and all previous L/C Issuers, as the context shall require. After the resignation of an L/C Issuer hereunder, the retiring L/C Issuer shall remain a party hereto and shall continue to have all the rights and obligations of an L/C Issuer under this Agreement and the other Loan Documents with respect to Letters of Credit issued by it prior to such resignation, but shall not be required to issue additional Letters of Credit.</w:t>
      </w:r>
    </w:p>
    <w:p>
      <w:pPr>
        <w:spacing w:after="0" w:line="141" w:lineRule="exact"/>
        <w:rPr>
          <w:rFonts w:ascii="Arial" w:cs="Arial" w:eastAsia="Arial" w:hAnsi="Arial"/>
          <w:sz w:val="18"/>
          <w:szCs w:val="18"/>
          <w:color w:val="auto"/>
        </w:rPr>
      </w:pPr>
    </w:p>
    <w:p>
      <w:pPr>
        <w:ind w:left="2180" w:hanging="875"/>
        <w:spacing w:after="0"/>
        <w:tabs>
          <w:tab w:leader="none" w:pos="2180" w:val="left"/>
        </w:tabs>
        <w:numPr>
          <w:ilvl w:val="1"/>
          <w:numId w:val="199"/>
        </w:numPr>
        <w:rPr>
          <w:rFonts w:ascii="Arial" w:cs="Arial" w:eastAsia="Arial" w:hAnsi="Arial"/>
          <w:sz w:val="18"/>
          <w:szCs w:val="18"/>
          <w:color w:val="auto"/>
        </w:rPr>
      </w:pPr>
      <w:r>
        <w:rPr>
          <w:rFonts w:ascii="Arial" w:cs="Arial" w:eastAsia="Arial" w:hAnsi="Arial"/>
          <w:sz w:val="18"/>
          <w:szCs w:val="18"/>
          <w:i w:val="1"/>
          <w:iCs w:val="1"/>
          <w:u w:val="single" w:color="auto"/>
          <w:color w:val="auto"/>
        </w:rPr>
        <w:t>Reporting</w:t>
      </w:r>
      <w:r>
        <w:rPr>
          <w:rFonts w:ascii="Arial" w:cs="Arial" w:eastAsia="Arial" w:hAnsi="Arial"/>
          <w:sz w:val="18"/>
          <w:szCs w:val="18"/>
          <w:color w:val="auto"/>
        </w:rPr>
        <w:t>. Each L/C Issuer (other than the Administrative Agent) will report in writing to the Administrative Agent</w:t>
      </w:r>
    </w:p>
    <w:p>
      <w:pPr>
        <w:spacing w:after="0" w:line="49" w:lineRule="exact"/>
        <w:rPr>
          <w:rFonts w:ascii="Arial" w:cs="Arial" w:eastAsia="Arial" w:hAnsi="Arial"/>
          <w:sz w:val="18"/>
          <w:szCs w:val="18"/>
          <w:color w:val="auto"/>
        </w:rPr>
      </w:pPr>
    </w:p>
    <w:p>
      <w:pPr>
        <w:ind w:firstLine="8"/>
        <w:spacing w:after="0" w:line="334" w:lineRule="auto"/>
        <w:tabs>
          <w:tab w:leader="none" w:pos="23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on the first Business Day of each month, the aggregate face amount of Letters of Credit issued by it and outstanding as of the last Business Day of the preceding month, (ii) on or prior to each Business Day on which such L/C Issuer expects to issue, amend, renew or extend any Letter of Credit, the date of such issuance or amendment, and the aggregate face amount of Letters of Credit to be issued, amended, renewed or extended by it and outstanding after giving effect to such issuance, amendment, renewal or extension (and such L/C Issuer shall advise the Administrative Agent on such Business Day whether such issuance, amendment, renewal or extension occurred and whether the amount thereof changed), (iii) on each Business Day on which such L/C Issuer makes any L/C Disbursement, the date and amount of such L/C Disbursement,</w:t>
      </w:r>
    </w:p>
    <w:p>
      <w:pPr>
        <w:spacing w:after="0" w:line="3" w:lineRule="exact"/>
        <w:rPr>
          <w:rFonts w:ascii="Arial" w:cs="Arial" w:eastAsia="Arial" w:hAnsi="Arial"/>
          <w:sz w:val="16"/>
          <w:szCs w:val="16"/>
          <w:color w:val="auto"/>
        </w:rPr>
      </w:pPr>
    </w:p>
    <w:p>
      <w:pPr>
        <w:ind w:right="120" w:firstLine="8"/>
        <w:spacing w:after="0" w:line="278" w:lineRule="auto"/>
        <w:tabs>
          <w:tab w:leader="none" w:pos="335" w:val="left"/>
        </w:tabs>
        <w:numPr>
          <w:ilvl w:val="0"/>
          <w:numId w:val="201"/>
        </w:numPr>
        <w:rPr>
          <w:rFonts w:ascii="Arial" w:cs="Arial" w:eastAsia="Arial" w:hAnsi="Arial"/>
          <w:sz w:val="20"/>
          <w:szCs w:val="20"/>
          <w:color w:val="auto"/>
        </w:rPr>
      </w:pPr>
      <w:r>
        <w:rPr>
          <w:rFonts w:ascii="Arial" w:cs="Arial" w:eastAsia="Arial" w:hAnsi="Arial"/>
          <w:sz w:val="20"/>
          <w:szCs w:val="20"/>
          <w:color w:val="auto"/>
        </w:rPr>
        <w:t>on any Business Day on which a Borrower, as applicable, fails to reimburse an L/C Disbursement required to be reimbursed to such L/C Issuer on such day, the date and amount of such failure and (v) on any other Business Day, such other information as the Administrative Agent shall reasonably request as to the Letters of Credit issued by such L/C Issuer.</w:t>
      </w:r>
    </w:p>
    <w:p>
      <w:pPr>
        <w:spacing w:after="0" w:line="200" w:lineRule="exact"/>
        <w:rPr>
          <w:rFonts w:ascii="Arial" w:cs="Arial" w:eastAsia="Arial" w:hAnsi="Arial"/>
          <w:sz w:val="20"/>
          <w:szCs w:val="20"/>
          <w:color w:val="auto"/>
        </w:rPr>
      </w:pPr>
    </w:p>
    <w:p>
      <w:pPr>
        <w:spacing w:after="0" w:line="391" w:lineRule="exact"/>
        <w:rPr>
          <w:rFonts w:ascii="Arial" w:cs="Arial" w:eastAsia="Arial" w:hAnsi="Arial"/>
          <w:sz w:val="20"/>
          <w:szCs w:val="20"/>
          <w:color w:val="auto"/>
        </w:rPr>
      </w:pPr>
    </w:p>
    <w:p>
      <w:pPr>
        <w:ind w:left="5620" w:hanging="120"/>
        <w:spacing w:after="0"/>
        <w:tabs>
          <w:tab w:leader="none" w:pos="5620" w:val="left"/>
        </w:tabs>
        <w:numPr>
          <w:ilvl w:val="3"/>
          <w:numId w:val="201"/>
        </w:numPr>
        <w:rPr>
          <w:rFonts w:ascii="Arial" w:cs="Arial" w:eastAsia="Arial" w:hAnsi="Arial"/>
          <w:sz w:val="20"/>
          <w:szCs w:val="20"/>
          <w:color w:val="auto"/>
        </w:rPr>
      </w:pPr>
      <w:r>
        <w:rPr>
          <w:rFonts w:ascii="Arial" w:cs="Arial" w:eastAsia="Arial" w:hAnsi="Arial"/>
          <w:sz w:val="20"/>
          <w:szCs w:val="20"/>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76" w:name="page277"/>
    <w:bookmarkEnd w:id="276"/>
    <w:p>
      <w:pPr>
        <w:ind w:left="100"/>
        <w:spacing w:after="0"/>
        <w:tabs>
          <w:tab w:leader="none" w:pos="1300" w:val="left"/>
        </w:tabs>
        <w:rPr>
          <w:sz w:val="20"/>
          <w:szCs w:val="20"/>
          <w:color w:val="auto"/>
        </w:rPr>
      </w:pPr>
      <w:r>
        <w:rPr>
          <w:rFonts w:ascii="Arial" w:cs="Arial" w:eastAsia="Arial" w:hAnsi="Arial"/>
          <w:sz w:val="20"/>
          <w:szCs w:val="20"/>
          <w:b w:val="1"/>
          <w:bCs w:val="1"/>
          <w:color w:val="auto"/>
        </w:rPr>
        <w:t>Section 2.06</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195" w:lineRule="exact"/>
        <w:rPr>
          <w:sz w:val="20"/>
          <w:szCs w:val="20"/>
          <w:color w:val="auto"/>
        </w:rPr>
      </w:pPr>
    </w:p>
    <w:p>
      <w:pPr>
        <w:ind w:left="-1200" w:right="40" w:firstLine="1305"/>
        <w:spacing w:after="0" w:line="305" w:lineRule="auto"/>
        <w:tabs>
          <w:tab w:leader="none" w:pos="964" w:val="left"/>
        </w:tabs>
        <w:numPr>
          <w:ilvl w:val="0"/>
          <w:numId w:val="202"/>
        </w:numPr>
        <w:rPr>
          <w:rFonts w:ascii="Arial" w:cs="Arial" w:eastAsia="Arial" w:hAnsi="Arial"/>
          <w:sz w:val="18"/>
          <w:szCs w:val="18"/>
          <w:color w:val="auto"/>
        </w:rPr>
      </w:pPr>
      <w:r>
        <w:rPr>
          <w:rFonts w:ascii="Arial" w:cs="Arial" w:eastAsia="Arial" w:hAnsi="Arial"/>
          <w:sz w:val="18"/>
          <w:szCs w:val="18"/>
          <w:i w:val="1"/>
          <w:iCs w:val="1"/>
          <w:u w:val="single" w:color="auto"/>
          <w:color w:val="auto"/>
        </w:rPr>
        <w:t>Rate Options Applicable to Loans</w:t>
      </w:r>
      <w:r>
        <w:rPr>
          <w:rFonts w:ascii="Arial" w:cs="Arial" w:eastAsia="Arial" w:hAnsi="Arial"/>
          <w:sz w:val="18"/>
          <w:szCs w:val="18"/>
          <w:color w:val="auto"/>
        </w:rPr>
        <w:t>. Each Borrowing (other than a Swing Line Borrowing, which shall be made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maintained as Base Rate Loans) shall be comprised of Base Rate Loans or Eurodollar Loans, as the applicable Borrower may request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Borrowings of more than one Type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Borrower may not request any Borrowing that, if made, would result in an aggregate of more than ten separate Groups of Eurodollar Loans being outstanding hereunder at any one time. For this purpose, Loans having different Interest Periods, regardless of whether commencing on the same date, shall be considered separate Groups. Interest hereunder shall be due and payable in accordance with the terms hereof before and after judgment and before and after the commencement of any proceeding under any Insolvency or Liquidation Proceeding.</w:t>
      </w:r>
    </w:p>
    <w:p>
      <w:pPr>
        <w:spacing w:after="0" w:line="130" w:lineRule="exact"/>
        <w:rPr>
          <w:rFonts w:ascii="Arial" w:cs="Arial" w:eastAsia="Arial" w:hAnsi="Arial"/>
          <w:sz w:val="18"/>
          <w:szCs w:val="18"/>
          <w:color w:val="auto"/>
        </w:rPr>
      </w:pPr>
    </w:p>
    <w:p>
      <w:pPr>
        <w:ind w:left="-1200" w:right="40" w:firstLine="1305"/>
        <w:spacing w:after="0" w:line="305" w:lineRule="auto"/>
        <w:tabs>
          <w:tab w:leader="none" w:pos="975" w:val="left"/>
        </w:tabs>
        <w:numPr>
          <w:ilvl w:val="0"/>
          <w:numId w:val="202"/>
        </w:numPr>
        <w:rPr>
          <w:rFonts w:ascii="Arial" w:cs="Arial" w:eastAsia="Arial" w:hAnsi="Arial"/>
          <w:sz w:val="18"/>
          <w:szCs w:val="18"/>
          <w:color w:val="auto"/>
        </w:rPr>
      </w:pPr>
      <w:r>
        <w:rPr>
          <w:rFonts w:ascii="Arial" w:cs="Arial" w:eastAsia="Arial" w:hAnsi="Arial"/>
          <w:sz w:val="18"/>
          <w:szCs w:val="18"/>
          <w:i w:val="1"/>
          <w:iCs w:val="1"/>
          <w:u w:val="single" w:color="auto"/>
          <w:color w:val="auto"/>
        </w:rPr>
        <w:t>Rates Applicable to Loans</w:t>
      </w:r>
      <w:r>
        <w:rPr>
          <w:rFonts w:ascii="Arial" w:cs="Arial" w:eastAsia="Arial" w:hAnsi="Arial"/>
          <w:sz w:val="18"/>
          <w:szCs w:val="18"/>
          <w:color w:val="auto"/>
        </w:rPr>
        <w:t>. Subject to the provisions of subsection (c) below, (i) each Eurodollar Loan shall bear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on the outstanding principal amount thereof for each Interest Period applicable thereto at a rate per annum equal to the sum of the Adjusted Eurodollar Rate for such Interest Period plus the then Applicable Margin for Eurodollar Loans, (ii) each Base Rate Loan shall bear interest on the outstanding principal amount thereof for each day from the date such Loan is made as, or converted into, a Base Rate Loan until it becomes due or is converted into a Loan of any other Type, at a rate per annum equal to the Base Rate for such day plus the then Applicable Margin for Base Rate Loans, and (iii) each Swing Line Loan shall bear interest on the outstanding principal amount thereof from the applicable borrowing date at a rate per annum equal to the Base Rate plus the then Applicable Margin for Swing Line Loans.</w:t>
      </w:r>
    </w:p>
    <w:p>
      <w:pPr>
        <w:spacing w:after="0" w:line="130" w:lineRule="exact"/>
        <w:rPr>
          <w:rFonts w:ascii="Arial" w:cs="Arial" w:eastAsia="Arial" w:hAnsi="Arial"/>
          <w:sz w:val="18"/>
          <w:szCs w:val="18"/>
          <w:color w:val="auto"/>
        </w:rPr>
      </w:pPr>
    </w:p>
    <w:p>
      <w:pPr>
        <w:ind w:left="-1200" w:right="80" w:firstLine="1305"/>
        <w:spacing w:after="0" w:line="274" w:lineRule="auto"/>
        <w:tabs>
          <w:tab w:leader="none" w:pos="964" w:val="left"/>
        </w:tabs>
        <w:numPr>
          <w:ilvl w:val="0"/>
          <w:numId w:val="202"/>
        </w:numPr>
        <w:rPr>
          <w:rFonts w:ascii="Arial" w:cs="Arial" w:eastAsia="Arial" w:hAnsi="Arial"/>
          <w:sz w:val="20"/>
          <w:szCs w:val="20"/>
          <w:color w:val="auto"/>
        </w:rPr>
      </w:pPr>
      <w:r>
        <w:rPr>
          <w:rFonts w:ascii="Arial" w:cs="Arial" w:eastAsia="Arial" w:hAnsi="Arial"/>
          <w:sz w:val="20"/>
          <w:szCs w:val="20"/>
          <w:i w:val="1"/>
          <w:iCs w:val="1"/>
          <w:u w:val="single" w:color="auto"/>
          <w:color w:val="auto"/>
        </w:rPr>
        <w:t>Additional Interest</w:t>
      </w:r>
      <w:r>
        <w:rPr>
          <w:rFonts w:ascii="Arial" w:cs="Arial" w:eastAsia="Arial" w:hAnsi="Arial"/>
          <w:sz w:val="20"/>
          <w:szCs w:val="20"/>
          <w:color w:val="auto"/>
        </w:rPr>
        <w:t>. If any Loan or interest thereon or any fee described in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2.11</w:t>
      </w:r>
      <w:r>
        <w:rPr>
          <w:rFonts w:ascii="Arial" w:cs="Arial" w:eastAsia="Arial" w:hAnsi="Arial"/>
          <w:sz w:val="20"/>
          <w:szCs w:val="20"/>
          <w:i w:val="1"/>
          <w:iCs w:val="1"/>
          <w:color w:val="auto"/>
        </w:rPr>
        <w:t xml:space="preserve"> </w:t>
      </w:r>
      <w:r>
        <w:rPr>
          <w:rFonts w:ascii="Arial" w:cs="Arial" w:eastAsia="Arial" w:hAnsi="Arial"/>
          <w:sz w:val="20"/>
          <w:szCs w:val="20"/>
          <w:color w:val="auto"/>
        </w:rPr>
        <w:t>due and owing is not paid</w:t>
      </w:r>
      <w:r>
        <w:rPr>
          <w:rFonts w:ascii="Arial" w:cs="Arial" w:eastAsia="Arial" w:hAnsi="Arial"/>
          <w:sz w:val="20"/>
          <w:szCs w:val="20"/>
          <w:i w:val="1"/>
          <w:iCs w:val="1"/>
          <w:color w:val="auto"/>
        </w:rPr>
        <w:t xml:space="preserve"> </w:t>
      </w:r>
      <w:r>
        <w:rPr>
          <w:rFonts w:ascii="Arial" w:cs="Arial" w:eastAsia="Arial" w:hAnsi="Arial"/>
          <w:sz w:val="20"/>
          <w:szCs w:val="20"/>
          <w:color w:val="auto"/>
        </w:rPr>
        <w:t>when due (without regard to any applicable grace periods), whether at stated maturity, by acceleration or otherwise, such overdue amount shall thereafter bear interest at a fluctuating interest rate per annum at all times equal to the Default Rate to the fullest extent permitted by applicable Laws.</w:t>
      </w:r>
    </w:p>
    <w:p>
      <w:pPr>
        <w:spacing w:after="0" w:line="151" w:lineRule="exact"/>
        <w:rPr>
          <w:rFonts w:ascii="Arial" w:cs="Arial" w:eastAsia="Arial" w:hAnsi="Arial"/>
          <w:sz w:val="20"/>
          <w:szCs w:val="20"/>
          <w:color w:val="auto"/>
        </w:rPr>
      </w:pPr>
    </w:p>
    <w:p>
      <w:pPr>
        <w:ind w:left="-1200" w:right="100" w:firstLine="1305"/>
        <w:spacing w:after="0" w:line="363" w:lineRule="auto"/>
        <w:tabs>
          <w:tab w:leader="none" w:pos="975" w:val="left"/>
        </w:tabs>
        <w:numPr>
          <w:ilvl w:val="0"/>
          <w:numId w:val="202"/>
        </w:numPr>
        <w:rPr>
          <w:rFonts w:ascii="Arial" w:cs="Arial" w:eastAsia="Arial" w:hAnsi="Arial"/>
          <w:sz w:val="16"/>
          <w:szCs w:val="16"/>
          <w:color w:val="auto"/>
        </w:rPr>
      </w:pPr>
      <w:r>
        <w:rPr>
          <w:rFonts w:ascii="Arial" w:cs="Arial" w:eastAsia="Arial" w:hAnsi="Arial"/>
          <w:sz w:val="16"/>
          <w:szCs w:val="16"/>
          <w:i w:val="1"/>
          <w:iCs w:val="1"/>
          <w:u w:val="single" w:color="auto"/>
          <w:color w:val="auto"/>
        </w:rPr>
        <w:t>Interest Payments</w:t>
      </w:r>
      <w:r>
        <w:rPr>
          <w:rFonts w:ascii="Arial" w:cs="Arial" w:eastAsia="Arial" w:hAnsi="Arial"/>
          <w:sz w:val="16"/>
          <w:szCs w:val="16"/>
          <w:color w:val="auto"/>
        </w:rPr>
        <w:t>. Interest on each Loan shall be due and payable in arrears on each Interest Payment Date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thereto and at such other times as may be specified herein. Interest hereunder shall be due and payable in accordance with the terms hereof before and after judgment, and before and after the commencement of any proceeding under any Insolvency or Liquidation Proceeding. Accrued and unpaid interest on past due amounts (including interest on past due interest) shall be due and payable upon demand.</w:t>
      </w:r>
    </w:p>
    <w:p>
      <w:pPr>
        <w:spacing w:after="0" w:line="88" w:lineRule="exact"/>
        <w:rPr>
          <w:rFonts w:ascii="Arial" w:cs="Arial" w:eastAsia="Arial" w:hAnsi="Arial"/>
          <w:sz w:val="16"/>
          <w:szCs w:val="16"/>
          <w:color w:val="auto"/>
        </w:rPr>
      </w:pPr>
    </w:p>
    <w:p>
      <w:pPr>
        <w:ind w:left="-1200" w:firstLine="1305"/>
        <w:spacing w:after="0" w:line="271" w:lineRule="auto"/>
        <w:tabs>
          <w:tab w:leader="none" w:pos="964" w:val="left"/>
        </w:tabs>
        <w:numPr>
          <w:ilvl w:val="0"/>
          <w:numId w:val="202"/>
        </w:numPr>
        <w:rPr>
          <w:rFonts w:ascii="Arial" w:cs="Arial" w:eastAsia="Arial" w:hAnsi="Arial"/>
          <w:sz w:val="20"/>
          <w:szCs w:val="20"/>
          <w:color w:val="auto"/>
        </w:rPr>
      </w:pPr>
      <w:r>
        <w:rPr>
          <w:rFonts w:ascii="Arial" w:cs="Arial" w:eastAsia="Arial" w:hAnsi="Arial"/>
          <w:sz w:val="20"/>
          <w:szCs w:val="20"/>
          <w:i w:val="1"/>
          <w:iCs w:val="1"/>
          <w:u w:val="single" w:color="auto"/>
          <w:color w:val="auto"/>
        </w:rPr>
        <w:t>Determination and Notice of Interest Rates</w:t>
      </w:r>
      <w:r>
        <w:rPr>
          <w:rFonts w:ascii="Arial" w:cs="Arial" w:eastAsia="Arial" w:hAnsi="Arial"/>
          <w:sz w:val="20"/>
          <w:szCs w:val="20"/>
          <w:color w:val="auto"/>
        </w:rPr>
        <w:t>. The Administrative Agent shall promptly notify the applicable</w:t>
      </w:r>
      <w:r>
        <w:rPr>
          <w:rFonts w:ascii="Arial" w:cs="Arial" w:eastAsia="Arial" w:hAnsi="Arial"/>
          <w:sz w:val="20"/>
          <w:szCs w:val="20"/>
          <w:i w:val="1"/>
          <w:iCs w:val="1"/>
          <w:color w:val="auto"/>
        </w:rPr>
        <w:t xml:space="preserve"> </w:t>
      </w:r>
      <w:r>
        <w:rPr>
          <w:rFonts w:ascii="Arial" w:cs="Arial" w:eastAsia="Arial" w:hAnsi="Arial"/>
          <w:sz w:val="20"/>
          <w:szCs w:val="20"/>
          <w:color w:val="auto"/>
        </w:rPr>
        <w:t>Borrower and the Lenders of the interest rate applicable to any Interest Period for Eurodollar Loans upon determination of such interest rate. At any time when Base Rate Loans are outstanding, the Administrative Agent shall notify the applicable Borrower and the Lenders of any change in the “prime rate” used in determining the Base Rate promptly following the public announcement of such change. Any notice with respect to Eurodollar Loans shall, without the necessity of the Administrative Agent so stating in such notice, be subject to the provisions of the definition of “Applicable Margin” providing for adjustments in the Applicable Margin applicable to such Loans after the beginning of the Interest Period applicable thereto.</w:t>
      </w:r>
    </w:p>
    <w:p>
      <w:pPr>
        <w:spacing w:after="0" w:line="351" w:lineRule="exact"/>
        <w:rPr>
          <w:sz w:val="20"/>
          <w:szCs w:val="20"/>
          <w:color w:val="auto"/>
        </w:rPr>
      </w:pPr>
    </w:p>
    <w:p>
      <w:pPr>
        <w:ind w:left="100"/>
        <w:spacing w:after="0"/>
        <w:tabs>
          <w:tab w:leader="none" w:pos="1300" w:val="left"/>
        </w:tabs>
        <w:rPr>
          <w:sz w:val="20"/>
          <w:szCs w:val="20"/>
          <w:color w:val="auto"/>
        </w:rPr>
      </w:pPr>
      <w:r>
        <w:rPr>
          <w:rFonts w:ascii="Arial" w:cs="Arial" w:eastAsia="Arial" w:hAnsi="Arial"/>
          <w:sz w:val="20"/>
          <w:szCs w:val="20"/>
          <w:b w:val="1"/>
          <w:bCs w:val="1"/>
          <w:color w:val="auto"/>
        </w:rPr>
        <w:t>Section 2.07</w:t>
      </w:r>
      <w:r>
        <w:rPr>
          <w:sz w:val="20"/>
          <w:szCs w:val="20"/>
          <w:color w:val="auto"/>
        </w:rPr>
        <w:tab/>
      </w:r>
      <w:r>
        <w:rPr>
          <w:rFonts w:ascii="Arial" w:cs="Arial" w:eastAsia="Arial" w:hAnsi="Arial"/>
          <w:sz w:val="16"/>
          <w:szCs w:val="16"/>
          <w:u w:val="single" w:color="auto"/>
          <w:color w:val="auto"/>
        </w:rPr>
        <w:t>Extension and Conversion</w:t>
      </w:r>
      <w:r>
        <w:rPr>
          <w:rFonts w:ascii="Arial" w:cs="Arial" w:eastAsia="Arial" w:hAnsi="Arial"/>
          <w:sz w:val="16"/>
          <w:szCs w:val="16"/>
          <w:color w:val="auto"/>
        </w:rPr>
        <w:t>.</w:t>
      </w:r>
    </w:p>
    <w:p>
      <w:pPr>
        <w:spacing w:after="0" w:line="195" w:lineRule="exact"/>
        <w:rPr>
          <w:sz w:val="20"/>
          <w:szCs w:val="20"/>
          <w:color w:val="auto"/>
        </w:rPr>
      </w:pPr>
    </w:p>
    <w:p>
      <w:pPr>
        <w:ind w:left="-1200" w:right="20" w:firstLine="1305"/>
        <w:spacing w:after="0" w:line="289" w:lineRule="auto"/>
        <w:tabs>
          <w:tab w:leader="none" w:pos="964" w:val="left"/>
        </w:tabs>
        <w:numPr>
          <w:ilvl w:val="0"/>
          <w:numId w:val="203"/>
        </w:numPr>
        <w:rPr>
          <w:rFonts w:ascii="Arial" w:cs="Arial" w:eastAsia="Arial" w:hAnsi="Arial"/>
          <w:sz w:val="20"/>
          <w:szCs w:val="20"/>
          <w:color w:val="auto"/>
        </w:rPr>
      </w:pPr>
      <w:r>
        <w:rPr>
          <w:rFonts w:ascii="Arial" w:cs="Arial" w:eastAsia="Arial" w:hAnsi="Arial"/>
          <w:sz w:val="20"/>
          <w:szCs w:val="20"/>
          <w:i w:val="1"/>
          <w:iCs w:val="1"/>
          <w:u w:val="single" w:color="auto"/>
          <w:color w:val="auto"/>
        </w:rPr>
        <w:t>Continuation and Conversion Options</w:t>
      </w:r>
      <w:r>
        <w:rPr>
          <w:rFonts w:ascii="Arial" w:cs="Arial" w:eastAsia="Arial" w:hAnsi="Arial"/>
          <w:sz w:val="20"/>
          <w:szCs w:val="20"/>
          <w:color w:val="auto"/>
        </w:rPr>
        <w:t>. The Loans included in each Borrowing shall bear interest initially at the type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of rate allowed by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and as specified by the applicable</w:t>
      </w: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p>
      <w:pPr>
        <w:ind w:left="4420" w:hanging="120"/>
        <w:spacing w:after="0"/>
        <w:tabs>
          <w:tab w:leader="none" w:pos="4420" w:val="left"/>
        </w:tabs>
        <w:numPr>
          <w:ilvl w:val="1"/>
          <w:numId w:val="203"/>
        </w:numPr>
        <w:rPr>
          <w:rFonts w:ascii="Arial" w:cs="Arial" w:eastAsia="Arial" w:hAnsi="Arial"/>
          <w:sz w:val="20"/>
          <w:szCs w:val="20"/>
          <w:color w:val="auto"/>
        </w:rPr>
      </w:pPr>
      <w:r>
        <w:rPr>
          <w:rFonts w:ascii="Arial" w:cs="Arial" w:eastAsia="Arial" w:hAnsi="Arial"/>
          <w:sz w:val="20"/>
          <w:szCs w:val="20"/>
          <w:color w:val="auto"/>
        </w:rPr>
        <w:t>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48895</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00"/>
          </w:cols>
          <w:pgMar w:left="1440" w:top="576" w:right="259" w:bottom="1440" w:gutter="0" w:footer="0" w:header="0"/>
        </w:sectPr>
      </w:pPr>
    </w:p>
    <w:bookmarkStart w:id="277" w:name="page278"/>
    <w:bookmarkEnd w:id="277"/>
    <w:p>
      <w:pPr>
        <w:jc w:val="both"/>
        <w:ind w:right="260"/>
        <w:spacing w:after="0" w:line="250" w:lineRule="auto"/>
        <w:rPr>
          <w:sz w:val="20"/>
          <w:szCs w:val="20"/>
          <w:color w:val="auto"/>
        </w:rPr>
      </w:pPr>
      <w:r>
        <w:rPr>
          <w:rFonts w:ascii="Arial" w:cs="Arial" w:eastAsia="Arial" w:hAnsi="Arial"/>
          <w:sz w:val="20"/>
          <w:szCs w:val="20"/>
          <w:color w:val="auto"/>
        </w:rPr>
        <w:t xml:space="preserve">Borrower in the applicable Notice of Borrowing. Thereafter, such Borrower shall have the option, on any Business Day, to elect to change or continue the type of interest rate borne by each Group of Loans (subject in each case to the provisions of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2.07(d)</w:t>
      </w:r>
      <w:r>
        <w:rPr>
          <w:rFonts w:ascii="Arial" w:cs="Arial" w:eastAsia="Arial" w:hAnsi="Arial"/>
          <w:sz w:val="20"/>
          <w:szCs w:val="20"/>
          <w:color w:val="auto"/>
        </w:rPr>
        <w:t>), as follows:</w:t>
      </w:r>
    </w:p>
    <w:p>
      <w:pPr>
        <w:spacing w:after="0" w:line="159" w:lineRule="exact"/>
        <w:rPr>
          <w:sz w:val="20"/>
          <w:szCs w:val="20"/>
          <w:color w:val="auto"/>
        </w:rPr>
      </w:pPr>
    </w:p>
    <w:p>
      <w:pPr>
        <w:ind w:left="2140" w:hanging="673"/>
        <w:spacing w:after="0"/>
        <w:tabs>
          <w:tab w:leader="none" w:pos="21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such Loans are Base Rate Loans, such Borrower may elect to convert such Loans to Eurodollar Loans as of any</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Business Day; and</w:t>
      </w:r>
    </w:p>
    <w:p>
      <w:pPr>
        <w:spacing w:after="0" w:line="202" w:lineRule="exact"/>
        <w:rPr>
          <w:rFonts w:ascii="Arial" w:cs="Arial" w:eastAsia="Arial" w:hAnsi="Arial"/>
          <w:sz w:val="18"/>
          <w:szCs w:val="18"/>
          <w:color w:val="auto"/>
        </w:rPr>
      </w:pPr>
    </w:p>
    <w:p>
      <w:pPr>
        <w:ind w:left="660" w:right="40" w:firstLine="807"/>
        <w:spacing w:after="0" w:line="322" w:lineRule="auto"/>
        <w:tabs>
          <w:tab w:leader="none" w:pos="219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if such Loans are Eurodollar Loans, such Borrower may elect to convert such Loans to Base Rate Loans or elect to continue such Loans as Eurodollar Loans for an additional Interest Period, subject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in the case of any such conversion or continuation effective on any day other than the last day of the then current Interest Period applicable to such Loans.</w:t>
      </w:r>
    </w:p>
    <w:p>
      <w:pPr>
        <w:spacing w:after="0" w:line="99"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 xml:space="preserve">Each such election shall be made by delivering a notice, substantially in the form of </w:t>
      </w:r>
      <w:r>
        <w:rPr>
          <w:rFonts w:ascii="Arial" w:cs="Arial" w:eastAsia="Arial" w:hAnsi="Arial"/>
          <w:sz w:val="20"/>
          <w:szCs w:val="20"/>
          <w:u w:val="single" w:color="auto"/>
          <w:color w:val="auto"/>
        </w:rPr>
        <w:t>Exhibit A-2</w:t>
      </w:r>
      <w:r>
        <w:rPr>
          <w:rFonts w:ascii="Arial" w:cs="Arial" w:eastAsia="Arial" w:hAnsi="Arial"/>
          <w:sz w:val="20"/>
          <w:szCs w:val="20"/>
          <w:color w:val="auto"/>
        </w:rPr>
        <w:t xml:space="preserve"> hereto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 (a “</w:t>
      </w:r>
      <w:r>
        <w:rPr>
          <w:rFonts w:ascii="Arial" w:cs="Arial" w:eastAsia="Arial" w:hAnsi="Arial"/>
          <w:sz w:val="20"/>
          <w:szCs w:val="20"/>
          <w:u w:val="single" w:color="auto"/>
          <w:color w:val="auto"/>
        </w:rPr>
        <w:t>Notice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Extension/Conversion</w:t>
      </w:r>
      <w:r>
        <w:rPr>
          <w:rFonts w:ascii="Arial" w:cs="Arial" w:eastAsia="Arial" w:hAnsi="Arial"/>
          <w:sz w:val="20"/>
          <w:szCs w:val="20"/>
          <w:color w:val="auto"/>
        </w:rPr>
        <w:t xml:space="preserve">”) (which may be by telephone if promptly confirmed in writing), which notice shall not thereafter be revocable by the applicable Borrower, to the Administrative Agent not later than 12:00 Noon on the third Business Day before the conversion or continuation selected in such notice is to be effective. A Notice of Extension/Conversion may, if it so specifies, apply to only a portion of the aggregate principal amount of the relevant Group of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portion is allocated ratably among the Loans comprising such Group and (ii) the portion to which such Notice of Borrowing applies, and the remaining portion to which it does not apply, are each $5,000,000 or any larger multiple of $1,000,000.</w:t>
      </w:r>
    </w:p>
    <w:p>
      <w:pPr>
        <w:spacing w:after="0" w:line="168" w:lineRule="exact"/>
        <w:rPr>
          <w:sz w:val="20"/>
          <w:szCs w:val="20"/>
          <w:color w:val="auto"/>
        </w:rPr>
      </w:pPr>
    </w:p>
    <w:p>
      <w:pPr>
        <w:ind w:left="2180" w:hanging="875"/>
        <w:spacing w:after="0"/>
        <w:tabs>
          <w:tab w:leader="none" w:pos="2180" w:val="left"/>
        </w:tabs>
        <w:numPr>
          <w:ilvl w:val="0"/>
          <w:numId w:val="205"/>
        </w:numPr>
        <w:rPr>
          <w:rFonts w:ascii="Arial" w:cs="Arial" w:eastAsia="Arial" w:hAnsi="Arial"/>
          <w:sz w:val="20"/>
          <w:szCs w:val="20"/>
          <w:color w:val="auto"/>
        </w:rPr>
      </w:pPr>
      <w:r>
        <w:rPr>
          <w:rFonts w:ascii="Arial" w:cs="Arial" w:eastAsia="Arial" w:hAnsi="Arial"/>
          <w:sz w:val="20"/>
          <w:szCs w:val="20"/>
          <w:i w:val="1"/>
          <w:iCs w:val="1"/>
          <w:u w:val="single" w:color="auto"/>
          <w:color w:val="auto"/>
        </w:rPr>
        <w:t>Contents of Notice of Extension/Conversion</w:t>
      </w:r>
      <w:r>
        <w:rPr>
          <w:rFonts w:ascii="Arial" w:cs="Arial" w:eastAsia="Arial" w:hAnsi="Arial"/>
          <w:sz w:val="20"/>
          <w:szCs w:val="20"/>
          <w:color w:val="auto"/>
        </w:rPr>
        <w:t>. Each Notice of Extension/ Conversion shall specify:</w:t>
      </w:r>
    </w:p>
    <w:p>
      <w:pPr>
        <w:spacing w:after="0" w:line="202" w:lineRule="exact"/>
        <w:rPr>
          <w:rFonts w:ascii="Arial" w:cs="Arial" w:eastAsia="Arial" w:hAnsi="Arial"/>
          <w:sz w:val="20"/>
          <w:szCs w:val="20"/>
          <w:color w:val="auto"/>
        </w:rPr>
      </w:pPr>
    </w:p>
    <w:p>
      <w:pPr>
        <w:ind w:left="2140" w:hanging="673"/>
        <w:spacing w:after="0"/>
        <w:tabs>
          <w:tab w:leader="none" w:pos="2140" w:val="left"/>
        </w:tabs>
        <w:numPr>
          <w:ilvl w:val="1"/>
          <w:numId w:val="205"/>
        </w:numPr>
        <w:rPr>
          <w:rFonts w:ascii="Arial" w:cs="Arial" w:eastAsia="Arial" w:hAnsi="Arial"/>
          <w:sz w:val="20"/>
          <w:szCs w:val="20"/>
          <w:color w:val="auto"/>
        </w:rPr>
      </w:pPr>
      <w:r>
        <w:rPr>
          <w:rFonts w:ascii="Arial" w:cs="Arial" w:eastAsia="Arial" w:hAnsi="Arial"/>
          <w:sz w:val="20"/>
          <w:szCs w:val="20"/>
          <w:color w:val="auto"/>
        </w:rPr>
        <w:t>the Group of Loans (or portion thereof) to which such notice applies;</w:t>
      </w:r>
    </w:p>
    <w:p>
      <w:pPr>
        <w:spacing w:after="0" w:line="202" w:lineRule="exact"/>
        <w:rPr>
          <w:rFonts w:ascii="Arial" w:cs="Arial" w:eastAsia="Arial" w:hAnsi="Arial"/>
          <w:sz w:val="20"/>
          <w:szCs w:val="20"/>
          <w:color w:val="auto"/>
        </w:rPr>
      </w:pPr>
    </w:p>
    <w:p>
      <w:pPr>
        <w:ind w:left="660" w:right="120" w:firstLine="807"/>
        <w:spacing w:after="0" w:line="289" w:lineRule="auto"/>
        <w:tabs>
          <w:tab w:leader="none" w:pos="2198" w:val="left"/>
        </w:tabs>
        <w:numPr>
          <w:ilvl w:val="1"/>
          <w:numId w:val="205"/>
        </w:numPr>
        <w:rPr>
          <w:rFonts w:ascii="Arial" w:cs="Arial" w:eastAsia="Arial" w:hAnsi="Arial"/>
          <w:sz w:val="20"/>
          <w:szCs w:val="20"/>
          <w:color w:val="auto"/>
        </w:rPr>
      </w:pPr>
      <w:r>
        <w:rPr>
          <w:rFonts w:ascii="Arial" w:cs="Arial" w:eastAsia="Arial" w:hAnsi="Arial"/>
          <w:sz w:val="20"/>
          <w:szCs w:val="20"/>
          <w:color w:val="auto"/>
        </w:rPr>
        <w:t xml:space="preserve">the date on which the conversion or continuation selected in such notice is to be effective, which shall comply with the applicable clause of </w:t>
      </w:r>
      <w:r>
        <w:rPr>
          <w:rFonts w:ascii="Arial" w:cs="Arial" w:eastAsia="Arial" w:hAnsi="Arial"/>
          <w:sz w:val="20"/>
          <w:szCs w:val="20"/>
          <w:u w:val="single" w:color="auto"/>
          <w:color w:val="auto"/>
        </w:rPr>
        <w:t>Section 2.07(a)</w:t>
      </w:r>
      <w:r>
        <w:rPr>
          <w:rFonts w:ascii="Arial" w:cs="Arial" w:eastAsia="Arial" w:hAnsi="Arial"/>
          <w:sz w:val="20"/>
          <w:szCs w:val="20"/>
          <w:color w:val="auto"/>
        </w:rPr>
        <w:t xml:space="preserve"> above;</w:t>
      </w:r>
    </w:p>
    <w:p>
      <w:pPr>
        <w:spacing w:after="0" w:line="134" w:lineRule="exact"/>
        <w:rPr>
          <w:rFonts w:ascii="Arial" w:cs="Arial" w:eastAsia="Arial" w:hAnsi="Arial"/>
          <w:sz w:val="20"/>
          <w:szCs w:val="20"/>
          <w:color w:val="auto"/>
        </w:rPr>
      </w:pPr>
    </w:p>
    <w:p>
      <w:pPr>
        <w:ind w:left="660" w:right="140" w:firstLine="807"/>
        <w:spacing w:after="0" w:line="289" w:lineRule="auto"/>
        <w:tabs>
          <w:tab w:leader="none" w:pos="2253" w:val="left"/>
        </w:tabs>
        <w:numPr>
          <w:ilvl w:val="1"/>
          <w:numId w:val="205"/>
        </w:numPr>
        <w:rPr>
          <w:rFonts w:ascii="Arial" w:cs="Arial" w:eastAsia="Arial" w:hAnsi="Arial"/>
          <w:sz w:val="20"/>
          <w:szCs w:val="20"/>
          <w:color w:val="auto"/>
        </w:rPr>
      </w:pPr>
      <w:r>
        <w:rPr>
          <w:rFonts w:ascii="Arial" w:cs="Arial" w:eastAsia="Arial" w:hAnsi="Arial"/>
          <w:sz w:val="20"/>
          <w:szCs w:val="20"/>
          <w:color w:val="auto"/>
        </w:rPr>
        <w:t>if the Loans comprising such Group are to be converted, the new Type of Loans and, if the Loans being converted are to be Eurodollar Loans, the duration of the next succeeding Interest Period applicable thereto; and</w:t>
      </w:r>
    </w:p>
    <w:p>
      <w:pPr>
        <w:spacing w:after="0" w:line="134" w:lineRule="exact"/>
        <w:rPr>
          <w:rFonts w:ascii="Arial" w:cs="Arial" w:eastAsia="Arial" w:hAnsi="Arial"/>
          <w:sz w:val="20"/>
          <w:szCs w:val="20"/>
          <w:color w:val="auto"/>
        </w:rPr>
      </w:pPr>
    </w:p>
    <w:p>
      <w:pPr>
        <w:ind w:left="660" w:right="660" w:firstLine="807"/>
        <w:spacing w:after="0" w:line="289" w:lineRule="auto"/>
        <w:tabs>
          <w:tab w:leader="none" w:pos="2242" w:val="left"/>
        </w:tabs>
        <w:numPr>
          <w:ilvl w:val="1"/>
          <w:numId w:val="205"/>
        </w:numPr>
        <w:rPr>
          <w:rFonts w:ascii="Arial" w:cs="Arial" w:eastAsia="Arial" w:hAnsi="Arial"/>
          <w:sz w:val="20"/>
          <w:szCs w:val="20"/>
          <w:color w:val="auto"/>
        </w:rPr>
      </w:pPr>
      <w:r>
        <w:rPr>
          <w:rFonts w:ascii="Arial" w:cs="Arial" w:eastAsia="Arial" w:hAnsi="Arial"/>
          <w:sz w:val="20"/>
          <w:szCs w:val="20"/>
          <w:color w:val="auto"/>
        </w:rPr>
        <w:t>if such Loans are to be continued as Eurodollar Loans for an additional Interest Period, the duration of such additional Interest Period.</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Each Interest Period specified in a Notice of Extension/Conversion shall comply with the provisions of the definition of the term “Interest Period.” If no Notice of Extension/Conversion is timely received prior to the end of an Interest Period for any Group of Eurodollar Loans, the applicable Borrower shall be deemed to have elected that such Group be converted to Base Rate Loans as of the last day of such Interest Period.</w:t>
      </w:r>
    </w:p>
    <w:p>
      <w:pPr>
        <w:spacing w:after="0" w:line="91" w:lineRule="exact"/>
        <w:rPr>
          <w:sz w:val="20"/>
          <w:szCs w:val="20"/>
          <w:color w:val="auto"/>
        </w:rPr>
      </w:pPr>
    </w:p>
    <w:p>
      <w:pPr>
        <w:ind w:firstLine="1305"/>
        <w:spacing w:after="0" w:line="289" w:lineRule="auto"/>
        <w:tabs>
          <w:tab w:leader="none" w:pos="2164" w:val="left"/>
        </w:tabs>
        <w:numPr>
          <w:ilvl w:val="0"/>
          <w:numId w:val="206"/>
        </w:numPr>
        <w:rPr>
          <w:rFonts w:ascii="Arial" w:cs="Arial" w:eastAsia="Arial" w:hAnsi="Arial"/>
          <w:sz w:val="20"/>
          <w:szCs w:val="20"/>
          <w:color w:val="auto"/>
        </w:rPr>
      </w:pPr>
      <w:r>
        <w:rPr>
          <w:rFonts w:ascii="Arial" w:cs="Arial" w:eastAsia="Arial" w:hAnsi="Arial"/>
          <w:sz w:val="20"/>
          <w:szCs w:val="20"/>
          <w:i w:val="1"/>
          <w:iCs w:val="1"/>
          <w:u w:val="single" w:color="auto"/>
          <w:color w:val="auto"/>
        </w:rPr>
        <w:t>Notification to Lenders</w:t>
      </w:r>
      <w:r>
        <w:rPr>
          <w:rFonts w:ascii="Arial" w:cs="Arial" w:eastAsia="Arial" w:hAnsi="Arial"/>
          <w:sz w:val="20"/>
          <w:szCs w:val="20"/>
          <w:color w:val="auto"/>
        </w:rPr>
        <w:t>. Upon receipt of a Notice of Extension/Conversion from the applicable Borrower pursuant to</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2.07(a)</w:t>
      </w:r>
      <w:r>
        <w:rPr>
          <w:rFonts w:ascii="Arial" w:cs="Arial" w:eastAsia="Arial" w:hAnsi="Arial"/>
          <w:sz w:val="20"/>
          <w:szCs w:val="20"/>
          <w:color w:val="auto"/>
        </w:rPr>
        <w:t>, the Administrative Agent shall promptly notify each Lender of the contents thereof.</w:t>
      </w: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p>
      <w:pPr>
        <w:ind w:left="5620" w:hanging="120"/>
        <w:spacing w:after="0"/>
        <w:tabs>
          <w:tab w:leader="none" w:pos="5620" w:val="left"/>
        </w:tabs>
        <w:numPr>
          <w:ilvl w:val="1"/>
          <w:numId w:val="206"/>
        </w:numPr>
        <w:rPr>
          <w:rFonts w:ascii="Arial" w:cs="Arial" w:eastAsia="Arial" w:hAnsi="Arial"/>
          <w:sz w:val="20"/>
          <w:szCs w:val="20"/>
          <w:color w:val="auto"/>
        </w:rPr>
      </w:pPr>
      <w:r>
        <w:rPr>
          <w:rFonts w:ascii="Arial" w:cs="Arial" w:eastAsia="Arial" w:hAnsi="Arial"/>
          <w:sz w:val="20"/>
          <w:szCs w:val="20"/>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78" w:name="page279"/>
    <w:bookmarkEnd w:id="278"/>
    <w:p>
      <w:pPr>
        <w:ind w:left="-60" w:right="100" w:firstLine="1305"/>
        <w:spacing w:after="0" w:line="272" w:lineRule="auto"/>
        <w:tabs>
          <w:tab w:leader="none" w:pos="2115" w:val="left"/>
        </w:tabs>
        <w:numPr>
          <w:ilvl w:val="0"/>
          <w:numId w:val="207"/>
        </w:numPr>
        <w:rPr>
          <w:rFonts w:ascii="Arial" w:cs="Arial" w:eastAsia="Arial" w:hAnsi="Arial"/>
          <w:sz w:val="20"/>
          <w:szCs w:val="20"/>
          <w:color w:val="auto"/>
        </w:rPr>
      </w:pPr>
      <w:r>
        <w:rPr>
          <w:rFonts w:ascii="Arial" w:cs="Arial" w:eastAsia="Arial" w:hAnsi="Arial"/>
          <w:sz w:val="20"/>
          <w:szCs w:val="20"/>
          <w:i w:val="1"/>
          <w:iCs w:val="1"/>
          <w:u w:val="single" w:color="auto"/>
          <w:color w:val="auto"/>
        </w:rPr>
        <w:t>Limitation on Conversion/Continuation Options</w:t>
      </w:r>
      <w:r>
        <w:rPr>
          <w:rFonts w:ascii="Arial" w:cs="Arial" w:eastAsia="Arial" w:hAnsi="Arial"/>
          <w:sz w:val="20"/>
          <w:szCs w:val="20"/>
          <w:color w:val="auto"/>
        </w:rPr>
        <w:t>. No Borrower shall be entitled to elect to convert any Loans to, or</w:t>
      </w:r>
      <w:r>
        <w:rPr>
          <w:rFonts w:ascii="Arial" w:cs="Arial" w:eastAsia="Arial" w:hAnsi="Arial"/>
          <w:sz w:val="20"/>
          <w:szCs w:val="20"/>
          <w:i w:val="1"/>
          <w:iCs w:val="1"/>
          <w:color w:val="auto"/>
        </w:rPr>
        <w:t xml:space="preserve"> </w:t>
      </w:r>
      <w:r>
        <w:rPr>
          <w:rFonts w:ascii="Arial" w:cs="Arial" w:eastAsia="Arial" w:hAnsi="Arial"/>
          <w:sz w:val="20"/>
          <w:szCs w:val="20"/>
          <w:color w:val="auto"/>
        </w:rPr>
        <w:t>continue any Loans for an additional Interest Period as, Eurodollar Loans if the aggregate principal amount of any Group of Eurodollar Loans created or continued as a result of such election would be less than $5,000,000. If an Event of Default shall have occurred and be continuing when any Borrower delivers notice of such election to the Administrative Agent, such Borrower shall not be entitled to elect to convert any Eurodollar Loans to, or continue any Eurodollar Loans for an Interest Period as, Eurodollar Loans having an Interest Period in excess of one month.</w:t>
      </w:r>
    </w:p>
    <w:p>
      <w:pPr>
        <w:spacing w:after="0" w:line="348" w:lineRule="exact"/>
        <w:rPr>
          <w:sz w:val="20"/>
          <w:szCs w:val="20"/>
          <w:color w:val="auto"/>
        </w:rPr>
      </w:pPr>
    </w:p>
    <w:p>
      <w:pPr>
        <w:ind w:left="1240"/>
        <w:spacing w:after="0"/>
        <w:tabs>
          <w:tab w:leader="none" w:pos="2440" w:val="left"/>
        </w:tabs>
        <w:rPr>
          <w:sz w:val="20"/>
          <w:szCs w:val="20"/>
          <w:color w:val="auto"/>
        </w:rPr>
      </w:pPr>
      <w:r>
        <w:rPr>
          <w:rFonts w:ascii="Arial" w:cs="Arial" w:eastAsia="Arial" w:hAnsi="Arial"/>
          <w:sz w:val="20"/>
          <w:szCs w:val="20"/>
          <w:b w:val="1"/>
          <w:bCs w:val="1"/>
          <w:color w:val="auto"/>
        </w:rPr>
        <w:t>Section 2.08</w:t>
      </w:r>
      <w:r>
        <w:rPr>
          <w:sz w:val="20"/>
          <w:szCs w:val="20"/>
          <w:color w:val="auto"/>
        </w:rPr>
        <w:tab/>
      </w:r>
      <w:r>
        <w:rPr>
          <w:rFonts w:ascii="Arial" w:cs="Arial" w:eastAsia="Arial" w:hAnsi="Arial"/>
          <w:sz w:val="18"/>
          <w:szCs w:val="18"/>
          <w:u w:val="single" w:color="auto"/>
          <w:color w:val="auto"/>
        </w:rPr>
        <w:t>Repayment of Loans; Maturity of Loans</w:t>
      </w:r>
      <w:r>
        <w:rPr>
          <w:rFonts w:ascii="Arial" w:cs="Arial" w:eastAsia="Arial" w:hAnsi="Arial"/>
          <w:sz w:val="18"/>
          <w:szCs w:val="18"/>
          <w:color w:val="auto"/>
        </w:rPr>
        <w:t>.</w:t>
      </w:r>
    </w:p>
    <w:p>
      <w:pPr>
        <w:spacing w:after="0" w:line="195" w:lineRule="exact"/>
        <w:rPr>
          <w:sz w:val="20"/>
          <w:szCs w:val="20"/>
          <w:color w:val="auto"/>
        </w:rPr>
      </w:pPr>
    </w:p>
    <w:p>
      <w:pPr>
        <w:ind w:left="-60" w:right="120" w:firstLine="1305"/>
        <w:spacing w:after="0" w:line="278" w:lineRule="auto"/>
        <w:tabs>
          <w:tab w:leader="none" w:pos="2104" w:val="left"/>
        </w:tabs>
        <w:numPr>
          <w:ilvl w:val="0"/>
          <w:numId w:val="208"/>
        </w:numPr>
        <w:rPr>
          <w:rFonts w:ascii="Arial" w:cs="Arial" w:eastAsia="Arial" w:hAnsi="Arial"/>
          <w:sz w:val="20"/>
          <w:szCs w:val="20"/>
          <w:color w:val="auto"/>
        </w:rPr>
      </w:pPr>
      <w:r>
        <w:rPr>
          <w:rFonts w:ascii="Arial" w:cs="Arial" w:eastAsia="Arial" w:hAnsi="Arial"/>
          <w:sz w:val="20"/>
          <w:szCs w:val="20"/>
          <w:i w:val="1"/>
          <w:iCs w:val="1"/>
          <w:u w:val="single" w:color="auto"/>
          <w:color w:val="auto"/>
        </w:rPr>
        <w:t>Maturity of Revolving Loans</w:t>
      </w:r>
      <w:r>
        <w:rPr>
          <w:rFonts w:ascii="Arial" w:cs="Arial" w:eastAsia="Arial" w:hAnsi="Arial"/>
          <w:sz w:val="20"/>
          <w:szCs w:val="20"/>
          <w:color w:val="auto"/>
        </w:rPr>
        <w:t>. The Revolving Loans shall mature on the Revolving Termination Date, and any</w:t>
      </w:r>
      <w:r>
        <w:rPr>
          <w:rFonts w:ascii="Arial" w:cs="Arial" w:eastAsia="Arial" w:hAnsi="Arial"/>
          <w:sz w:val="20"/>
          <w:szCs w:val="20"/>
          <w:i w:val="1"/>
          <w:iCs w:val="1"/>
          <w:color w:val="auto"/>
        </w:rPr>
        <w:t xml:space="preserve"> </w:t>
      </w:r>
      <w:r>
        <w:rPr>
          <w:rFonts w:ascii="Arial" w:cs="Arial" w:eastAsia="Arial" w:hAnsi="Arial"/>
          <w:sz w:val="20"/>
          <w:szCs w:val="20"/>
          <w:color w:val="auto"/>
        </w:rPr>
        <w:t>Revolving Loans, Swing Line Loans and L/C Obligations then outstanding (together with accrued interest thereon and fees in respect thereof) shall be due and payable on such date.</w:t>
      </w:r>
    </w:p>
    <w:p>
      <w:pPr>
        <w:spacing w:after="0" w:line="146" w:lineRule="exact"/>
        <w:rPr>
          <w:rFonts w:ascii="Arial" w:cs="Arial" w:eastAsia="Arial" w:hAnsi="Arial"/>
          <w:sz w:val="20"/>
          <w:szCs w:val="20"/>
          <w:color w:val="auto"/>
        </w:rPr>
      </w:pPr>
    </w:p>
    <w:p>
      <w:pPr>
        <w:ind w:left="-60" w:firstLine="1305"/>
        <w:spacing w:after="0" w:line="274" w:lineRule="auto"/>
        <w:tabs>
          <w:tab w:leader="none" w:pos="2115" w:val="left"/>
        </w:tabs>
        <w:numPr>
          <w:ilvl w:val="0"/>
          <w:numId w:val="208"/>
        </w:numPr>
        <w:rPr>
          <w:rFonts w:ascii="Arial" w:cs="Arial" w:eastAsia="Arial" w:hAnsi="Arial"/>
          <w:sz w:val="20"/>
          <w:szCs w:val="20"/>
          <w:color w:val="auto"/>
        </w:rPr>
      </w:pPr>
      <w:r>
        <w:rPr>
          <w:rFonts w:ascii="Arial" w:cs="Arial" w:eastAsia="Arial" w:hAnsi="Arial"/>
          <w:sz w:val="20"/>
          <w:szCs w:val="20"/>
          <w:i w:val="1"/>
          <w:iCs w:val="1"/>
          <w:u w:val="single" w:color="auto"/>
          <w:color w:val="auto"/>
        </w:rPr>
        <w:t>Scheduled Amortization of Term Loans</w:t>
      </w:r>
      <w:r>
        <w:rPr>
          <w:rFonts w:ascii="Arial" w:cs="Arial" w:eastAsia="Arial" w:hAnsi="Arial"/>
          <w:sz w:val="20"/>
          <w:szCs w:val="20"/>
          <w:color w:val="auto"/>
        </w:rPr>
        <w:t>. Subject to adjustment as a result of prior payments in accordance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terms of this Agreement, the Lead Borrower shall repay, and there shall become due and payable (together with accrued interest thereon), on each Principal Amortization Payment Date falling in each month listed below the aggregate principal amount of Term Loans indicated opposite such month:</w:t>
      </w:r>
    </w:p>
    <w:p>
      <w:pPr>
        <w:spacing w:after="0" w:line="270" w:lineRule="exact"/>
        <w:rPr>
          <w:sz w:val="20"/>
          <w:szCs w:val="20"/>
          <w:color w:val="auto"/>
        </w:rPr>
      </w:pPr>
    </w:p>
    <w:tbl>
      <w:tblPr>
        <w:tblLayout w:type="fixed"/>
        <w:tblInd w:w="2390" w:type="dxa"/>
        <w:tblCellMar>
          <w:top w:w="0" w:type="dxa"/>
          <w:left w:w="0" w:type="dxa"/>
          <w:bottom w:w="0" w:type="dxa"/>
          <w:right w:w="0" w:type="dxa"/>
        </w:tblCellMar>
      </w:tblPr>
      <w:tr>
        <w:trPr>
          <w:trHeight w:val="253"/>
        </w:trPr>
        <w:tc>
          <w:tcPr>
            <w:tcW w:w="100" w:type="dxa"/>
            <w:vAlign w:val="bottom"/>
            <w:tcBorders>
              <w:top w:val="single" w:sz="8" w:color="auto"/>
              <w:left w:val="single" w:sz="8" w:color="00000A"/>
            </w:tcBorders>
          </w:tcPr>
          <w:p>
            <w:pPr>
              <w:spacing w:after="0"/>
              <w:rPr>
                <w:sz w:val="22"/>
                <w:szCs w:val="22"/>
                <w:color w:val="auto"/>
              </w:rPr>
            </w:pPr>
          </w:p>
        </w:tc>
        <w:tc>
          <w:tcPr>
            <w:tcW w:w="3060" w:type="dxa"/>
            <w:vAlign w:val="bottom"/>
            <w:tcBorders>
              <w:top w:val="single" w:sz="8" w:color="auto"/>
              <w:right w:val="single" w:sz="8" w:color="00000A"/>
            </w:tcBorders>
            <w:gridSpan w:val="5"/>
          </w:tcPr>
          <w:p>
            <w:pPr>
              <w:jc w:val="center"/>
              <w:ind w:right="160"/>
              <w:spacing w:after="0"/>
              <w:rPr>
                <w:sz w:val="20"/>
                <w:szCs w:val="20"/>
                <w:color w:val="auto"/>
              </w:rPr>
            </w:pPr>
            <w:r>
              <w:rPr>
                <w:rFonts w:ascii="Arial" w:cs="Arial" w:eastAsia="Arial" w:hAnsi="Arial"/>
                <w:sz w:val="20"/>
                <w:szCs w:val="20"/>
                <w:color w:val="auto"/>
                <w:w w:val="94"/>
              </w:rPr>
              <w:t>Principal Amortization</w:t>
            </w:r>
          </w:p>
        </w:tc>
        <w:tc>
          <w:tcPr>
            <w:tcW w:w="660" w:type="dxa"/>
            <w:vAlign w:val="bottom"/>
            <w:tcBorders>
              <w:top w:val="single" w:sz="8" w:color="auto"/>
            </w:tcBorders>
          </w:tcPr>
          <w:p>
            <w:pPr>
              <w:spacing w:after="0"/>
              <w:rPr>
                <w:sz w:val="22"/>
                <w:szCs w:val="22"/>
                <w:color w:val="auto"/>
              </w:rPr>
            </w:pPr>
          </w:p>
        </w:tc>
        <w:tc>
          <w:tcPr>
            <w:tcW w:w="2760" w:type="dxa"/>
            <w:vAlign w:val="bottom"/>
            <w:tcBorders>
              <w:top w:val="single" w:sz="8" w:color="auto"/>
              <w:right w:val="single" w:sz="8" w:color="00000A"/>
            </w:tcBorders>
            <w:gridSpan w:val="8"/>
          </w:tcPr>
          <w:p>
            <w:pPr>
              <w:jc w:val="center"/>
              <w:ind w:right="740"/>
              <w:spacing w:after="0"/>
              <w:rPr>
                <w:sz w:val="20"/>
                <w:szCs w:val="20"/>
                <w:color w:val="auto"/>
              </w:rPr>
            </w:pPr>
            <w:r>
              <w:rPr>
                <w:rFonts w:ascii="Arial" w:cs="Arial" w:eastAsia="Arial" w:hAnsi="Arial"/>
                <w:sz w:val="20"/>
                <w:szCs w:val="20"/>
                <w:color w:val="auto"/>
                <w:w w:val="90"/>
              </w:rPr>
              <w:t>Amortized Payment</w:t>
            </w:r>
          </w:p>
        </w:tc>
      </w:tr>
      <w:tr>
        <w:trPr>
          <w:trHeight w:val="250"/>
        </w:trPr>
        <w:tc>
          <w:tcPr>
            <w:tcW w:w="100" w:type="dxa"/>
            <w:vAlign w:val="bottom"/>
            <w:tcBorders>
              <w:left w:val="single" w:sz="8" w:color="00000A"/>
            </w:tcBorders>
          </w:tcPr>
          <w:p>
            <w:pPr>
              <w:spacing w:after="0"/>
              <w:rPr>
                <w:sz w:val="21"/>
                <w:szCs w:val="21"/>
                <w:color w:val="auto"/>
              </w:rPr>
            </w:pPr>
          </w:p>
        </w:tc>
        <w:tc>
          <w:tcPr>
            <w:tcW w:w="800" w:type="dxa"/>
            <w:vAlign w:val="bottom"/>
          </w:tcPr>
          <w:p>
            <w:pPr>
              <w:spacing w:after="0"/>
              <w:rPr>
                <w:sz w:val="21"/>
                <w:szCs w:val="21"/>
                <w:color w:val="auto"/>
              </w:rPr>
            </w:pPr>
          </w:p>
        </w:tc>
        <w:tc>
          <w:tcPr>
            <w:tcW w:w="2260" w:type="dxa"/>
            <w:vAlign w:val="bottom"/>
            <w:tcBorders>
              <w:right w:val="single" w:sz="8" w:color="00000A"/>
            </w:tcBorders>
            <w:gridSpan w:val="4"/>
          </w:tcPr>
          <w:p>
            <w:pPr>
              <w:jc w:val="center"/>
              <w:ind w:right="900"/>
              <w:spacing w:after="0"/>
              <w:rPr>
                <w:sz w:val="20"/>
                <w:szCs w:val="20"/>
                <w:color w:val="auto"/>
              </w:rPr>
            </w:pPr>
            <w:r>
              <w:rPr>
                <w:rFonts w:ascii="Arial" w:cs="Arial" w:eastAsia="Arial" w:hAnsi="Arial"/>
                <w:sz w:val="20"/>
                <w:szCs w:val="20"/>
                <w:color w:val="auto"/>
                <w:w w:val="88"/>
              </w:rPr>
              <w:t>Payment Date</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40" w:type="dxa"/>
            <w:vAlign w:val="bottom"/>
            <w:tcBorders>
              <w:right w:val="single" w:sz="8" w:color="00000A"/>
            </w:tcBorders>
            <w:gridSpan w:val="7"/>
          </w:tcPr>
          <w:p>
            <w:pPr>
              <w:jc w:val="center"/>
              <w:ind w:right="1000"/>
              <w:spacing w:after="0"/>
              <w:rPr>
                <w:sz w:val="20"/>
                <w:szCs w:val="20"/>
                <w:color w:val="auto"/>
              </w:rPr>
            </w:pPr>
            <w:r>
              <w:rPr>
                <w:rFonts w:ascii="Arial" w:cs="Arial" w:eastAsia="Arial" w:hAnsi="Arial"/>
                <w:sz w:val="20"/>
                <w:szCs w:val="20"/>
                <w:color w:val="auto"/>
                <w:w w:val="89"/>
              </w:rPr>
              <w:t>of Term Loans</w:t>
            </w:r>
          </w:p>
        </w:tc>
      </w:tr>
      <w:tr>
        <w:trPr>
          <w:trHeight w:val="23"/>
        </w:trPr>
        <w:tc>
          <w:tcPr>
            <w:tcW w:w="100" w:type="dxa"/>
            <w:vAlign w:val="bottom"/>
            <w:tcBorders>
              <w:left w:val="single" w:sz="8" w:color="00000A"/>
              <w:bottom w:val="single" w:sz="8" w:color="00000A"/>
            </w:tcBorders>
          </w:tcPr>
          <w:p>
            <w:pPr>
              <w:spacing w:after="0"/>
              <w:rPr>
                <w:sz w:val="2"/>
                <w:szCs w:val="2"/>
                <w:color w:val="auto"/>
              </w:rPr>
            </w:pPr>
          </w:p>
        </w:tc>
        <w:tc>
          <w:tcPr>
            <w:tcW w:w="80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tcBorders>
          </w:tcPr>
          <w:p>
            <w:pPr>
              <w:spacing w:after="0"/>
              <w:rPr>
                <w:sz w:val="2"/>
                <w:szCs w:val="2"/>
                <w:color w:val="auto"/>
              </w:rPr>
            </w:pPr>
          </w:p>
        </w:tc>
        <w:tc>
          <w:tcPr>
            <w:tcW w:w="320" w:type="dxa"/>
            <w:vAlign w:val="bottom"/>
            <w:tcBorders>
              <w:bottom w:val="single" w:sz="8" w:color="00000A"/>
            </w:tcBorders>
          </w:tcPr>
          <w:p>
            <w:pPr>
              <w:spacing w:after="0"/>
              <w:rPr>
                <w:sz w:val="2"/>
                <w:szCs w:val="2"/>
                <w:color w:val="auto"/>
              </w:rPr>
            </w:pPr>
          </w:p>
        </w:tc>
        <w:tc>
          <w:tcPr>
            <w:tcW w:w="220" w:type="dxa"/>
            <w:vAlign w:val="bottom"/>
            <w:tcBorders>
              <w:bottom w:val="single" w:sz="8" w:color="00000A"/>
            </w:tcBorders>
          </w:tcPr>
          <w:p>
            <w:pPr>
              <w:spacing w:after="0"/>
              <w:rPr>
                <w:sz w:val="2"/>
                <w:szCs w:val="2"/>
                <w:color w:val="auto"/>
              </w:rPr>
            </w:pPr>
          </w:p>
        </w:tc>
        <w:tc>
          <w:tcPr>
            <w:tcW w:w="660" w:type="dxa"/>
            <w:vAlign w:val="bottom"/>
            <w:tcBorders>
              <w:bottom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540" w:type="dxa"/>
            <w:vAlign w:val="bottom"/>
            <w:tcBorders>
              <w:bottom w:val="single" w:sz="8" w:color="00000A"/>
            </w:tcBorders>
          </w:tcPr>
          <w:p>
            <w:pPr>
              <w:spacing w:after="0"/>
              <w:rPr>
                <w:sz w:val="2"/>
                <w:szCs w:val="2"/>
                <w:color w:val="auto"/>
              </w:rPr>
            </w:pPr>
          </w:p>
        </w:tc>
        <w:tc>
          <w:tcPr>
            <w:tcW w:w="560" w:type="dxa"/>
            <w:vAlign w:val="bottom"/>
            <w:tcBorders>
              <w:bottom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400" w:type="dxa"/>
            <w:vAlign w:val="bottom"/>
            <w:tcBorders>
              <w:bottom w:val="single" w:sz="8" w:color="00000A"/>
              <w:right w:val="single" w:sz="8" w:color="00000A"/>
            </w:tcBorders>
          </w:tcPr>
          <w:p>
            <w:pPr>
              <w:spacing w:after="0"/>
              <w:rPr>
                <w:sz w:val="2"/>
                <w:szCs w:val="2"/>
                <w:color w:val="auto"/>
              </w:rPr>
            </w:pPr>
          </w:p>
        </w:tc>
      </w:tr>
      <w:tr>
        <w:trPr>
          <w:trHeight w:val="254"/>
        </w:trPr>
        <w:tc>
          <w:tcPr>
            <w:tcW w:w="3160" w:type="dxa"/>
            <w:vAlign w:val="bottom"/>
            <w:tcBorders>
              <w:left w:val="single" w:sz="8" w:color="00000A"/>
              <w:right w:val="single" w:sz="8" w:color="00000A"/>
            </w:tcBorders>
            <w:gridSpan w:val="6"/>
          </w:tcPr>
          <w:p>
            <w:pPr>
              <w:ind w:left="100"/>
              <w:spacing w:after="0"/>
              <w:rPr>
                <w:sz w:val="20"/>
                <w:szCs w:val="20"/>
                <w:color w:val="auto"/>
              </w:rPr>
            </w:pPr>
            <w:r>
              <w:rPr>
                <w:rFonts w:ascii="Arial" w:cs="Arial" w:eastAsia="Arial" w:hAnsi="Arial"/>
                <w:sz w:val="20"/>
                <w:szCs w:val="20"/>
                <w:color w:val="auto"/>
              </w:rPr>
              <w:t>December 2015</w:t>
            </w:r>
          </w:p>
        </w:tc>
        <w:tc>
          <w:tcPr>
            <w:tcW w:w="66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gridSpan w:val="3"/>
          </w:tcPr>
          <w:p>
            <w:pPr>
              <w:jc w:val="center"/>
              <w:spacing w:after="0"/>
              <w:rPr>
                <w:sz w:val="20"/>
                <w:szCs w:val="20"/>
                <w:color w:val="auto"/>
              </w:rPr>
            </w:pPr>
            <w:r>
              <w:rPr>
                <w:rFonts w:ascii="Arial" w:cs="Arial" w:eastAsia="Arial" w:hAnsi="Arial"/>
                <w:sz w:val="20"/>
                <w:szCs w:val="20"/>
                <w:color w:val="auto"/>
                <w:w w:val="89"/>
              </w:rPr>
              <w:t>9,375,000.00</w:t>
            </w: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right w:val="single" w:sz="8" w:color="00000A"/>
            </w:tcBorders>
          </w:tcPr>
          <w:p>
            <w:pPr>
              <w:spacing w:after="0"/>
              <w:rPr>
                <w:sz w:val="22"/>
                <w:szCs w:val="22"/>
                <w:color w:val="auto"/>
              </w:rPr>
            </w:pPr>
          </w:p>
        </w:tc>
      </w:tr>
      <w:tr>
        <w:trPr>
          <w:trHeight w:val="23"/>
        </w:trPr>
        <w:tc>
          <w:tcPr>
            <w:tcW w:w="100" w:type="dxa"/>
            <w:vAlign w:val="bottom"/>
            <w:tcBorders>
              <w:left w:val="single" w:sz="8" w:color="00000A"/>
              <w:bottom w:val="single" w:sz="8" w:color="00000A"/>
            </w:tcBorders>
          </w:tcPr>
          <w:p>
            <w:pPr>
              <w:spacing w:after="0"/>
              <w:rPr>
                <w:sz w:val="2"/>
                <w:szCs w:val="2"/>
                <w:color w:val="auto"/>
              </w:rPr>
            </w:pPr>
          </w:p>
        </w:tc>
        <w:tc>
          <w:tcPr>
            <w:tcW w:w="80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tcBorders>
          </w:tcPr>
          <w:p>
            <w:pPr>
              <w:spacing w:after="0"/>
              <w:rPr>
                <w:sz w:val="2"/>
                <w:szCs w:val="2"/>
                <w:color w:val="auto"/>
              </w:rPr>
            </w:pPr>
          </w:p>
        </w:tc>
        <w:tc>
          <w:tcPr>
            <w:tcW w:w="320" w:type="dxa"/>
            <w:vAlign w:val="bottom"/>
            <w:tcBorders>
              <w:bottom w:val="single" w:sz="8" w:color="00000A"/>
            </w:tcBorders>
          </w:tcPr>
          <w:p>
            <w:pPr>
              <w:spacing w:after="0"/>
              <w:rPr>
                <w:sz w:val="2"/>
                <w:szCs w:val="2"/>
                <w:color w:val="auto"/>
              </w:rPr>
            </w:pPr>
          </w:p>
        </w:tc>
        <w:tc>
          <w:tcPr>
            <w:tcW w:w="220" w:type="dxa"/>
            <w:vAlign w:val="bottom"/>
            <w:tcBorders>
              <w:bottom w:val="single" w:sz="8" w:color="00000A"/>
            </w:tcBorders>
          </w:tcPr>
          <w:p>
            <w:pPr>
              <w:spacing w:after="0"/>
              <w:rPr>
                <w:sz w:val="2"/>
                <w:szCs w:val="2"/>
                <w:color w:val="auto"/>
              </w:rPr>
            </w:pPr>
          </w:p>
        </w:tc>
        <w:tc>
          <w:tcPr>
            <w:tcW w:w="660" w:type="dxa"/>
            <w:vAlign w:val="bottom"/>
            <w:tcBorders>
              <w:bottom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540" w:type="dxa"/>
            <w:vAlign w:val="bottom"/>
            <w:tcBorders>
              <w:bottom w:val="single" w:sz="8" w:color="00000A"/>
            </w:tcBorders>
          </w:tcPr>
          <w:p>
            <w:pPr>
              <w:spacing w:after="0"/>
              <w:rPr>
                <w:sz w:val="2"/>
                <w:szCs w:val="2"/>
                <w:color w:val="auto"/>
              </w:rPr>
            </w:pPr>
          </w:p>
        </w:tc>
        <w:tc>
          <w:tcPr>
            <w:tcW w:w="560" w:type="dxa"/>
            <w:vAlign w:val="bottom"/>
            <w:tcBorders>
              <w:bottom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400" w:type="dxa"/>
            <w:vAlign w:val="bottom"/>
            <w:tcBorders>
              <w:bottom w:val="single" w:sz="8" w:color="00000A"/>
              <w:right w:val="single" w:sz="8" w:color="00000A"/>
            </w:tcBorders>
          </w:tcPr>
          <w:p>
            <w:pPr>
              <w:spacing w:after="0"/>
              <w:rPr>
                <w:sz w:val="2"/>
                <w:szCs w:val="2"/>
                <w:color w:val="auto"/>
              </w:rPr>
            </w:pPr>
          </w:p>
        </w:tc>
      </w:tr>
      <w:tr>
        <w:trPr>
          <w:trHeight w:val="254"/>
        </w:trPr>
        <w:tc>
          <w:tcPr>
            <w:tcW w:w="3160" w:type="dxa"/>
            <w:vAlign w:val="bottom"/>
            <w:tcBorders>
              <w:left w:val="single" w:sz="8" w:color="00000A"/>
              <w:right w:val="single" w:sz="8" w:color="00000A"/>
            </w:tcBorders>
            <w:gridSpan w:val="6"/>
          </w:tcPr>
          <w:p>
            <w:pPr>
              <w:ind w:left="100"/>
              <w:spacing w:after="0"/>
              <w:rPr>
                <w:sz w:val="20"/>
                <w:szCs w:val="20"/>
                <w:color w:val="auto"/>
              </w:rPr>
            </w:pPr>
            <w:r>
              <w:rPr>
                <w:rFonts w:ascii="Arial" w:cs="Arial" w:eastAsia="Arial" w:hAnsi="Arial"/>
                <w:sz w:val="20"/>
                <w:szCs w:val="20"/>
                <w:color w:val="auto"/>
              </w:rPr>
              <w:t>March 2016</w:t>
            </w:r>
          </w:p>
        </w:tc>
        <w:tc>
          <w:tcPr>
            <w:tcW w:w="66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gridSpan w:val="3"/>
          </w:tcPr>
          <w:p>
            <w:pPr>
              <w:jc w:val="center"/>
              <w:spacing w:after="0"/>
              <w:rPr>
                <w:sz w:val="20"/>
                <w:szCs w:val="20"/>
                <w:color w:val="auto"/>
              </w:rPr>
            </w:pPr>
            <w:r>
              <w:rPr>
                <w:rFonts w:ascii="Arial" w:cs="Arial" w:eastAsia="Arial" w:hAnsi="Arial"/>
                <w:sz w:val="20"/>
                <w:szCs w:val="20"/>
                <w:color w:val="auto"/>
                <w:w w:val="89"/>
              </w:rPr>
              <w:t>9,375,000.00</w:t>
            </w: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right w:val="single" w:sz="8" w:color="00000A"/>
            </w:tcBorders>
          </w:tcPr>
          <w:p>
            <w:pPr>
              <w:spacing w:after="0"/>
              <w:rPr>
                <w:sz w:val="22"/>
                <w:szCs w:val="22"/>
                <w:color w:val="auto"/>
              </w:rPr>
            </w:pPr>
          </w:p>
        </w:tc>
      </w:tr>
      <w:tr>
        <w:trPr>
          <w:trHeight w:val="23"/>
        </w:trPr>
        <w:tc>
          <w:tcPr>
            <w:tcW w:w="100" w:type="dxa"/>
            <w:vAlign w:val="bottom"/>
            <w:tcBorders>
              <w:left w:val="single" w:sz="8" w:color="00000A"/>
              <w:bottom w:val="single" w:sz="8" w:color="00000A"/>
            </w:tcBorders>
          </w:tcPr>
          <w:p>
            <w:pPr>
              <w:spacing w:after="0"/>
              <w:rPr>
                <w:sz w:val="2"/>
                <w:szCs w:val="2"/>
                <w:color w:val="auto"/>
              </w:rPr>
            </w:pPr>
          </w:p>
        </w:tc>
        <w:tc>
          <w:tcPr>
            <w:tcW w:w="80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tcBorders>
          </w:tcPr>
          <w:p>
            <w:pPr>
              <w:spacing w:after="0"/>
              <w:rPr>
                <w:sz w:val="2"/>
                <w:szCs w:val="2"/>
                <w:color w:val="auto"/>
              </w:rPr>
            </w:pPr>
          </w:p>
        </w:tc>
        <w:tc>
          <w:tcPr>
            <w:tcW w:w="320" w:type="dxa"/>
            <w:vAlign w:val="bottom"/>
            <w:tcBorders>
              <w:bottom w:val="single" w:sz="8" w:color="00000A"/>
            </w:tcBorders>
          </w:tcPr>
          <w:p>
            <w:pPr>
              <w:spacing w:after="0"/>
              <w:rPr>
                <w:sz w:val="2"/>
                <w:szCs w:val="2"/>
                <w:color w:val="auto"/>
              </w:rPr>
            </w:pPr>
          </w:p>
        </w:tc>
        <w:tc>
          <w:tcPr>
            <w:tcW w:w="220" w:type="dxa"/>
            <w:vAlign w:val="bottom"/>
            <w:tcBorders>
              <w:bottom w:val="single" w:sz="8" w:color="00000A"/>
            </w:tcBorders>
          </w:tcPr>
          <w:p>
            <w:pPr>
              <w:spacing w:after="0"/>
              <w:rPr>
                <w:sz w:val="2"/>
                <w:szCs w:val="2"/>
                <w:color w:val="auto"/>
              </w:rPr>
            </w:pPr>
          </w:p>
        </w:tc>
        <w:tc>
          <w:tcPr>
            <w:tcW w:w="660" w:type="dxa"/>
            <w:vAlign w:val="bottom"/>
            <w:tcBorders>
              <w:bottom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540" w:type="dxa"/>
            <w:vAlign w:val="bottom"/>
            <w:tcBorders>
              <w:bottom w:val="single" w:sz="8" w:color="00000A"/>
            </w:tcBorders>
          </w:tcPr>
          <w:p>
            <w:pPr>
              <w:spacing w:after="0"/>
              <w:rPr>
                <w:sz w:val="2"/>
                <w:szCs w:val="2"/>
                <w:color w:val="auto"/>
              </w:rPr>
            </w:pPr>
          </w:p>
        </w:tc>
        <w:tc>
          <w:tcPr>
            <w:tcW w:w="560" w:type="dxa"/>
            <w:vAlign w:val="bottom"/>
            <w:tcBorders>
              <w:bottom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400" w:type="dxa"/>
            <w:vAlign w:val="bottom"/>
            <w:tcBorders>
              <w:bottom w:val="single" w:sz="8" w:color="00000A"/>
              <w:right w:val="single" w:sz="8" w:color="00000A"/>
            </w:tcBorders>
          </w:tcPr>
          <w:p>
            <w:pPr>
              <w:spacing w:after="0"/>
              <w:rPr>
                <w:sz w:val="2"/>
                <w:szCs w:val="2"/>
                <w:color w:val="auto"/>
              </w:rPr>
            </w:pPr>
          </w:p>
        </w:tc>
      </w:tr>
      <w:tr>
        <w:trPr>
          <w:trHeight w:val="254"/>
        </w:trPr>
        <w:tc>
          <w:tcPr>
            <w:tcW w:w="3160" w:type="dxa"/>
            <w:vAlign w:val="bottom"/>
            <w:tcBorders>
              <w:left w:val="single" w:sz="8" w:color="00000A"/>
              <w:right w:val="single" w:sz="8" w:color="00000A"/>
            </w:tcBorders>
            <w:gridSpan w:val="6"/>
          </w:tcPr>
          <w:p>
            <w:pPr>
              <w:ind w:left="100"/>
              <w:spacing w:after="0"/>
              <w:rPr>
                <w:sz w:val="20"/>
                <w:szCs w:val="20"/>
                <w:color w:val="auto"/>
              </w:rPr>
            </w:pPr>
            <w:r>
              <w:rPr>
                <w:rFonts w:ascii="Arial" w:cs="Arial" w:eastAsia="Arial" w:hAnsi="Arial"/>
                <w:sz w:val="20"/>
                <w:szCs w:val="20"/>
                <w:color w:val="auto"/>
              </w:rPr>
              <w:t>June 2016</w:t>
            </w:r>
          </w:p>
        </w:tc>
        <w:tc>
          <w:tcPr>
            <w:tcW w:w="66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gridSpan w:val="3"/>
          </w:tcPr>
          <w:p>
            <w:pPr>
              <w:jc w:val="center"/>
              <w:spacing w:after="0"/>
              <w:rPr>
                <w:sz w:val="20"/>
                <w:szCs w:val="20"/>
                <w:color w:val="auto"/>
              </w:rPr>
            </w:pPr>
            <w:r>
              <w:rPr>
                <w:rFonts w:ascii="Arial" w:cs="Arial" w:eastAsia="Arial" w:hAnsi="Arial"/>
                <w:sz w:val="20"/>
                <w:szCs w:val="20"/>
                <w:color w:val="auto"/>
                <w:w w:val="89"/>
              </w:rPr>
              <w:t>9,375,000.00</w:t>
            </w: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right w:val="single" w:sz="8" w:color="00000A"/>
            </w:tcBorders>
          </w:tcPr>
          <w:p>
            <w:pPr>
              <w:spacing w:after="0"/>
              <w:rPr>
                <w:sz w:val="22"/>
                <w:szCs w:val="22"/>
                <w:color w:val="auto"/>
              </w:rPr>
            </w:pPr>
          </w:p>
        </w:tc>
      </w:tr>
      <w:tr>
        <w:trPr>
          <w:trHeight w:val="23"/>
        </w:trPr>
        <w:tc>
          <w:tcPr>
            <w:tcW w:w="100" w:type="dxa"/>
            <w:vAlign w:val="bottom"/>
            <w:tcBorders>
              <w:left w:val="single" w:sz="8" w:color="00000A"/>
              <w:bottom w:val="single" w:sz="8" w:color="00000A"/>
            </w:tcBorders>
          </w:tcPr>
          <w:p>
            <w:pPr>
              <w:spacing w:after="0"/>
              <w:rPr>
                <w:sz w:val="2"/>
                <w:szCs w:val="2"/>
                <w:color w:val="auto"/>
              </w:rPr>
            </w:pPr>
          </w:p>
        </w:tc>
        <w:tc>
          <w:tcPr>
            <w:tcW w:w="80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tcBorders>
          </w:tcPr>
          <w:p>
            <w:pPr>
              <w:spacing w:after="0"/>
              <w:rPr>
                <w:sz w:val="2"/>
                <w:szCs w:val="2"/>
                <w:color w:val="auto"/>
              </w:rPr>
            </w:pPr>
          </w:p>
        </w:tc>
        <w:tc>
          <w:tcPr>
            <w:tcW w:w="320" w:type="dxa"/>
            <w:vAlign w:val="bottom"/>
            <w:tcBorders>
              <w:bottom w:val="single" w:sz="8" w:color="00000A"/>
            </w:tcBorders>
          </w:tcPr>
          <w:p>
            <w:pPr>
              <w:spacing w:after="0"/>
              <w:rPr>
                <w:sz w:val="2"/>
                <w:szCs w:val="2"/>
                <w:color w:val="auto"/>
              </w:rPr>
            </w:pPr>
          </w:p>
        </w:tc>
        <w:tc>
          <w:tcPr>
            <w:tcW w:w="220" w:type="dxa"/>
            <w:vAlign w:val="bottom"/>
            <w:tcBorders>
              <w:bottom w:val="single" w:sz="8" w:color="00000A"/>
            </w:tcBorders>
          </w:tcPr>
          <w:p>
            <w:pPr>
              <w:spacing w:after="0"/>
              <w:rPr>
                <w:sz w:val="2"/>
                <w:szCs w:val="2"/>
                <w:color w:val="auto"/>
              </w:rPr>
            </w:pPr>
          </w:p>
        </w:tc>
        <w:tc>
          <w:tcPr>
            <w:tcW w:w="660" w:type="dxa"/>
            <w:vAlign w:val="bottom"/>
            <w:tcBorders>
              <w:bottom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540" w:type="dxa"/>
            <w:vAlign w:val="bottom"/>
            <w:tcBorders>
              <w:bottom w:val="single" w:sz="8" w:color="00000A"/>
            </w:tcBorders>
          </w:tcPr>
          <w:p>
            <w:pPr>
              <w:spacing w:after="0"/>
              <w:rPr>
                <w:sz w:val="2"/>
                <w:szCs w:val="2"/>
                <w:color w:val="auto"/>
              </w:rPr>
            </w:pPr>
          </w:p>
        </w:tc>
        <w:tc>
          <w:tcPr>
            <w:tcW w:w="560" w:type="dxa"/>
            <w:vAlign w:val="bottom"/>
            <w:tcBorders>
              <w:bottom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400" w:type="dxa"/>
            <w:vAlign w:val="bottom"/>
            <w:tcBorders>
              <w:bottom w:val="single" w:sz="8" w:color="00000A"/>
              <w:right w:val="single" w:sz="8" w:color="00000A"/>
            </w:tcBorders>
          </w:tcPr>
          <w:p>
            <w:pPr>
              <w:spacing w:after="0"/>
              <w:rPr>
                <w:sz w:val="2"/>
                <w:szCs w:val="2"/>
                <w:color w:val="auto"/>
              </w:rPr>
            </w:pPr>
          </w:p>
        </w:tc>
      </w:tr>
      <w:tr>
        <w:trPr>
          <w:trHeight w:val="282"/>
        </w:trPr>
        <w:tc>
          <w:tcPr>
            <w:tcW w:w="1400" w:type="dxa"/>
            <w:vAlign w:val="bottom"/>
            <w:tcBorders>
              <w:left w:val="single" w:sz="8" w:color="00000A"/>
              <w:bottom w:val="single" w:sz="8" w:color="FFCCCC"/>
            </w:tcBorders>
            <w:gridSpan w:val="5"/>
            <w:shd w:val="clear" w:color="auto" w:fill="FFCCCC"/>
          </w:tcPr>
          <w:p>
            <w:pPr>
              <w:ind w:left="100"/>
              <w:spacing w:after="0"/>
              <w:rPr>
                <w:sz w:val="20"/>
                <w:szCs w:val="20"/>
                <w:color w:val="auto"/>
              </w:rPr>
            </w:pPr>
            <w:r>
              <w:rPr>
                <w:rFonts w:ascii="Arial" w:cs="Arial" w:eastAsia="Arial" w:hAnsi="Arial"/>
                <w:sz w:val="20"/>
                <w:szCs w:val="20"/>
                <w:color w:val="FF0000"/>
                <w:strike w:val="1"/>
                <w:w w:val="86"/>
              </w:rPr>
              <w:t>September 2016</w:t>
            </w:r>
          </w:p>
        </w:tc>
        <w:tc>
          <w:tcPr>
            <w:tcW w:w="1760" w:type="dxa"/>
            <w:vAlign w:val="bottom"/>
            <w:tcBorders>
              <w:bottom w:val="single" w:sz="8" w:color="FFCCCC"/>
              <w:right w:val="single" w:sz="8" w:color="00000A"/>
            </w:tcBorders>
            <w:shd w:val="clear" w:color="auto" w:fill="FFCCCC"/>
          </w:tcPr>
          <w:p>
            <w:pPr>
              <w:spacing w:after="0"/>
              <w:rPr>
                <w:sz w:val="24"/>
                <w:szCs w:val="24"/>
                <w:color w:val="auto"/>
              </w:rPr>
            </w:pPr>
          </w:p>
        </w:tc>
        <w:tc>
          <w:tcPr>
            <w:tcW w:w="660" w:type="dxa"/>
            <w:vAlign w:val="bottom"/>
            <w:tcBorders>
              <w:bottom w:val="single" w:sz="8" w:color="FFCCCC"/>
            </w:tcBorders>
            <w:shd w:val="clear" w:color="auto" w:fill="FFCCCC"/>
          </w:tcPr>
          <w:p>
            <w:pPr>
              <w:spacing w:after="0"/>
              <w:rPr>
                <w:sz w:val="24"/>
                <w:szCs w:val="24"/>
                <w:color w:val="auto"/>
              </w:rPr>
            </w:pPr>
          </w:p>
        </w:tc>
        <w:tc>
          <w:tcPr>
            <w:tcW w:w="320" w:type="dxa"/>
            <w:vAlign w:val="bottom"/>
            <w:tcBorders>
              <w:bottom w:val="single" w:sz="8" w:color="FFCCCC"/>
            </w:tcBorders>
            <w:shd w:val="clear" w:color="auto" w:fill="FFCCCC"/>
          </w:tcPr>
          <w:p>
            <w:pPr>
              <w:spacing w:after="0"/>
              <w:rPr>
                <w:sz w:val="24"/>
                <w:szCs w:val="24"/>
                <w:color w:val="auto"/>
              </w:rPr>
            </w:pPr>
          </w:p>
        </w:tc>
        <w:tc>
          <w:tcPr>
            <w:tcW w:w="220" w:type="dxa"/>
            <w:vAlign w:val="bottom"/>
            <w:tcBorders>
              <w:bottom w:val="single" w:sz="8" w:color="FFCCCC"/>
            </w:tcBorders>
            <w:shd w:val="clear" w:color="auto" w:fill="FFCCCC"/>
          </w:tcPr>
          <w:p>
            <w:pPr>
              <w:jc w:val="right"/>
              <w:spacing w:after="0"/>
              <w:rPr>
                <w:sz w:val="20"/>
                <w:szCs w:val="20"/>
                <w:color w:val="auto"/>
              </w:rPr>
            </w:pPr>
            <w:r>
              <w:rPr>
                <w:rFonts w:ascii="Arial" w:cs="Arial" w:eastAsia="Arial" w:hAnsi="Arial"/>
                <w:sz w:val="20"/>
                <w:szCs w:val="20"/>
                <w:color w:val="FF0000"/>
                <w:strike w:val="1"/>
              </w:rPr>
              <w:t>$</w:t>
            </w:r>
          </w:p>
        </w:tc>
        <w:tc>
          <w:tcPr>
            <w:tcW w:w="1220" w:type="dxa"/>
            <w:vAlign w:val="bottom"/>
            <w:tcBorders>
              <w:bottom w:val="single" w:sz="8" w:color="FFCCCC"/>
            </w:tcBorders>
            <w:gridSpan w:val="3"/>
            <w:shd w:val="clear" w:color="auto" w:fill="FFCCCC"/>
          </w:tcPr>
          <w:p>
            <w:pPr>
              <w:jc w:val="center"/>
              <w:spacing w:after="0"/>
              <w:rPr>
                <w:sz w:val="20"/>
                <w:szCs w:val="20"/>
                <w:color w:val="auto"/>
              </w:rPr>
            </w:pPr>
            <w:r>
              <w:rPr>
                <w:rFonts w:ascii="Arial" w:cs="Arial" w:eastAsia="Arial" w:hAnsi="Arial"/>
                <w:sz w:val="20"/>
                <w:szCs w:val="20"/>
                <w:color w:val="FF0000"/>
                <w:strike w:val="1"/>
                <w:w w:val="89"/>
              </w:rPr>
              <w:t>9,375,000.00</w:t>
            </w:r>
          </w:p>
        </w:tc>
        <w:tc>
          <w:tcPr>
            <w:tcW w:w="560" w:type="dxa"/>
            <w:vAlign w:val="bottom"/>
            <w:tcBorders>
              <w:bottom w:val="single" w:sz="8" w:color="FFCCCC"/>
            </w:tcBorders>
            <w:shd w:val="clear" w:color="auto" w:fill="FFCCCC"/>
          </w:tcPr>
          <w:p>
            <w:pPr>
              <w:spacing w:after="0"/>
              <w:rPr>
                <w:sz w:val="24"/>
                <w:szCs w:val="24"/>
                <w:color w:val="auto"/>
              </w:rPr>
            </w:pPr>
          </w:p>
        </w:tc>
        <w:tc>
          <w:tcPr>
            <w:tcW w:w="40" w:type="dxa"/>
            <w:vAlign w:val="bottom"/>
            <w:tcBorders>
              <w:bottom w:val="single" w:sz="8" w:color="FFCCCC"/>
            </w:tcBorders>
            <w:shd w:val="clear" w:color="auto" w:fill="FFCCCC"/>
          </w:tcPr>
          <w:p>
            <w:pPr>
              <w:spacing w:after="0"/>
              <w:rPr>
                <w:sz w:val="24"/>
                <w:szCs w:val="24"/>
                <w:color w:val="auto"/>
              </w:rPr>
            </w:pPr>
          </w:p>
        </w:tc>
        <w:tc>
          <w:tcPr>
            <w:tcW w:w="400" w:type="dxa"/>
            <w:vAlign w:val="bottom"/>
            <w:tcBorders>
              <w:bottom w:val="single" w:sz="8" w:color="FFCCCC"/>
              <w:right w:val="single" w:sz="8" w:color="00000A"/>
            </w:tcBorders>
            <w:shd w:val="clear" w:color="auto" w:fill="FFCCCC"/>
          </w:tcPr>
          <w:p>
            <w:pPr>
              <w:spacing w:after="0"/>
              <w:rPr>
                <w:sz w:val="24"/>
                <w:szCs w:val="24"/>
                <w:color w:val="auto"/>
              </w:rPr>
            </w:pPr>
          </w:p>
        </w:tc>
      </w:tr>
      <w:tr>
        <w:trPr>
          <w:trHeight w:val="237"/>
        </w:trPr>
        <w:tc>
          <w:tcPr>
            <w:tcW w:w="3160" w:type="dxa"/>
            <w:vAlign w:val="bottom"/>
            <w:tcBorders>
              <w:top w:val="single" w:sz="8" w:color="00000A"/>
              <w:left w:val="single" w:sz="8" w:color="00000A"/>
              <w:right w:val="single" w:sz="8" w:color="auto"/>
            </w:tcBorders>
            <w:gridSpan w:val="6"/>
          </w:tcPr>
          <w:p>
            <w:pPr>
              <w:ind w:left="100"/>
              <w:spacing w:after="0"/>
              <w:rPr>
                <w:sz w:val="20"/>
                <w:szCs w:val="20"/>
                <w:color w:val="auto"/>
              </w:rPr>
            </w:pPr>
            <w:r>
              <w:rPr>
                <w:rFonts w:ascii="Arial" w:cs="Arial" w:eastAsia="Arial" w:hAnsi="Arial"/>
                <w:sz w:val="20"/>
                <w:szCs w:val="20"/>
                <w:color w:val="auto"/>
              </w:rPr>
              <w:t>December 2016</w:t>
            </w:r>
          </w:p>
        </w:tc>
        <w:tc>
          <w:tcPr>
            <w:tcW w:w="66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gridSpan w:val="3"/>
          </w:tcPr>
          <w:p>
            <w:pPr>
              <w:jc w:val="right"/>
              <w:spacing w:after="0"/>
              <w:rPr>
                <w:sz w:val="20"/>
                <w:szCs w:val="20"/>
                <w:color w:val="auto"/>
              </w:rPr>
            </w:pPr>
            <w:r>
              <w:rPr>
                <w:rFonts w:ascii="Arial" w:cs="Arial" w:eastAsia="Arial" w:hAnsi="Arial"/>
                <w:sz w:val="20"/>
                <w:szCs w:val="20"/>
                <w:color w:val="FF0000"/>
                <w:strike w:val="1"/>
                <w:w w:val="95"/>
              </w:rPr>
              <w:t>9,375,000.00</w:t>
            </w:r>
          </w:p>
        </w:tc>
        <w:tc>
          <w:tcPr>
            <w:tcW w:w="1160" w:type="dxa"/>
            <w:vAlign w:val="bottom"/>
            <w:tcBorders>
              <w:top w:val="single" w:sz="8" w:color="auto"/>
            </w:tcBorders>
            <w:gridSpan w:val="4"/>
          </w:tcPr>
          <w:p>
            <w:pPr>
              <w:jc w:val="center"/>
              <w:spacing w:after="0"/>
              <w:rPr>
                <w:sz w:val="20"/>
                <w:szCs w:val="20"/>
                <w:color w:val="auto"/>
              </w:rPr>
            </w:pPr>
            <w:r>
              <w:rPr>
                <w:rFonts w:ascii="Arial" w:cs="Arial" w:eastAsia="Arial" w:hAnsi="Arial"/>
                <w:sz w:val="20"/>
                <w:szCs w:val="20"/>
                <w:color w:val="0000FF"/>
                <w:w w:val="89"/>
              </w:rPr>
              <w:t>9,023,437.50</w:t>
            </w:r>
          </w:p>
        </w:tc>
        <w:tc>
          <w:tcPr>
            <w:tcW w:w="400" w:type="dxa"/>
            <w:vAlign w:val="bottom"/>
            <w:tcBorders>
              <w:top w:val="single" w:sz="8" w:color="auto"/>
              <w:right w:val="single" w:sz="8" w:color="00000A"/>
            </w:tcBorders>
          </w:tcPr>
          <w:p>
            <w:pPr>
              <w:spacing w:after="0"/>
              <w:rPr>
                <w:sz w:val="20"/>
                <w:szCs w:val="20"/>
                <w:color w:val="auto"/>
              </w:rPr>
            </w:pPr>
          </w:p>
        </w:tc>
      </w:tr>
      <w:tr>
        <w:trPr>
          <w:trHeight w:val="20"/>
        </w:trPr>
        <w:tc>
          <w:tcPr>
            <w:tcW w:w="100" w:type="dxa"/>
            <w:vAlign w:val="bottom"/>
            <w:tcBorders>
              <w:left w:val="single" w:sz="8" w:color="00000A"/>
              <w:bottom w:val="single" w:sz="8" w:color="00000A"/>
            </w:tcBorders>
          </w:tcPr>
          <w:p>
            <w:pPr>
              <w:spacing w:after="0" w:line="20" w:lineRule="exact"/>
              <w:rPr>
                <w:sz w:val="1"/>
                <w:szCs w:val="1"/>
                <w:color w:val="auto"/>
              </w:rPr>
            </w:pPr>
          </w:p>
        </w:tc>
        <w:tc>
          <w:tcPr>
            <w:tcW w:w="800" w:type="dxa"/>
            <w:vAlign w:val="bottom"/>
            <w:tcBorders>
              <w:bottom w:val="single" w:sz="8" w:color="00000A"/>
            </w:tcBorders>
          </w:tcPr>
          <w:p>
            <w:pPr>
              <w:spacing w:after="0" w:line="20" w:lineRule="exact"/>
              <w:rPr>
                <w:sz w:val="1"/>
                <w:szCs w:val="1"/>
                <w:color w:val="auto"/>
              </w:rPr>
            </w:pPr>
          </w:p>
        </w:tc>
        <w:tc>
          <w:tcPr>
            <w:tcW w:w="160" w:type="dxa"/>
            <w:vAlign w:val="bottom"/>
            <w:tcBorders>
              <w:bottom w:val="single" w:sz="8" w:color="00000A"/>
            </w:tcBorders>
          </w:tcPr>
          <w:p>
            <w:pPr>
              <w:spacing w:after="0" w:line="20" w:lineRule="exact"/>
              <w:rPr>
                <w:sz w:val="1"/>
                <w:szCs w:val="1"/>
                <w:color w:val="auto"/>
              </w:rPr>
            </w:pPr>
          </w:p>
        </w:tc>
        <w:tc>
          <w:tcPr>
            <w:tcW w:w="30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tcBorders>
          </w:tcPr>
          <w:p>
            <w:pPr>
              <w:spacing w:after="0" w:line="20" w:lineRule="exact"/>
              <w:rPr>
                <w:sz w:val="1"/>
                <w:szCs w:val="1"/>
                <w:color w:val="auto"/>
              </w:rPr>
            </w:pPr>
          </w:p>
        </w:tc>
        <w:tc>
          <w:tcPr>
            <w:tcW w:w="1760" w:type="dxa"/>
            <w:vAlign w:val="bottom"/>
            <w:tcBorders>
              <w:bottom w:val="single" w:sz="8" w:color="00000A"/>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540" w:type="dxa"/>
            <w:vAlign w:val="bottom"/>
            <w:tcBorders>
              <w:top w:val="single" w:sz="8" w:color="0000FF"/>
              <w:bottom w:val="single" w:sz="8" w:color="00000A"/>
            </w:tcBorders>
          </w:tcPr>
          <w:p>
            <w:pPr>
              <w:spacing w:after="0" w:line="20" w:lineRule="exact"/>
              <w:rPr>
                <w:sz w:val="1"/>
                <w:szCs w:val="1"/>
                <w:color w:val="auto"/>
              </w:rPr>
            </w:pPr>
          </w:p>
        </w:tc>
        <w:tc>
          <w:tcPr>
            <w:tcW w:w="560" w:type="dxa"/>
            <w:vAlign w:val="bottom"/>
            <w:tcBorders>
              <w:top w:val="single" w:sz="8" w:color="0000FF"/>
              <w:bottom w:val="single" w:sz="8" w:color="00000A"/>
            </w:tcBorders>
          </w:tcPr>
          <w:p>
            <w:pPr>
              <w:spacing w:after="0" w:line="20" w:lineRule="exact"/>
              <w:rPr>
                <w:sz w:val="1"/>
                <w:szCs w:val="1"/>
                <w:color w:val="auto"/>
              </w:rPr>
            </w:pPr>
          </w:p>
        </w:tc>
        <w:tc>
          <w:tcPr>
            <w:tcW w:w="40" w:type="dxa"/>
            <w:vAlign w:val="bottom"/>
            <w:tcBorders>
              <w:bottom w:val="single" w:sz="8" w:color="00000A"/>
            </w:tcBorders>
          </w:tcPr>
          <w:p>
            <w:pPr>
              <w:spacing w:after="0" w:line="20" w:lineRule="exact"/>
              <w:rPr>
                <w:sz w:val="1"/>
                <w:szCs w:val="1"/>
                <w:color w:val="auto"/>
              </w:rPr>
            </w:pPr>
          </w:p>
        </w:tc>
        <w:tc>
          <w:tcPr>
            <w:tcW w:w="400" w:type="dxa"/>
            <w:vAlign w:val="bottom"/>
            <w:tcBorders>
              <w:bottom w:val="single" w:sz="8" w:color="00000A"/>
              <w:right w:val="single" w:sz="8" w:color="00000A"/>
            </w:tcBorders>
          </w:tcPr>
          <w:p>
            <w:pPr>
              <w:spacing w:after="0" w:line="20" w:lineRule="exact"/>
              <w:rPr>
                <w:sz w:val="1"/>
                <w:szCs w:val="1"/>
                <w:color w:val="auto"/>
              </w:rPr>
            </w:pPr>
          </w:p>
        </w:tc>
      </w:tr>
      <w:tr>
        <w:trPr>
          <w:trHeight w:val="237"/>
        </w:trPr>
        <w:tc>
          <w:tcPr>
            <w:tcW w:w="3160" w:type="dxa"/>
            <w:vAlign w:val="bottom"/>
            <w:tcBorders>
              <w:left w:val="single" w:sz="8" w:color="00000A"/>
              <w:right w:val="single" w:sz="8" w:color="auto"/>
            </w:tcBorders>
            <w:gridSpan w:val="6"/>
          </w:tcPr>
          <w:p>
            <w:pPr>
              <w:ind w:left="100"/>
              <w:spacing w:after="0"/>
              <w:rPr>
                <w:sz w:val="20"/>
                <w:szCs w:val="20"/>
                <w:color w:val="auto"/>
              </w:rPr>
            </w:pPr>
            <w:r>
              <w:rPr>
                <w:rFonts w:ascii="Arial" w:cs="Arial" w:eastAsia="Arial" w:hAnsi="Arial"/>
                <w:sz w:val="20"/>
                <w:szCs w:val="20"/>
                <w:color w:val="auto"/>
              </w:rPr>
              <w:t>March 2017</w:t>
            </w:r>
          </w:p>
        </w:tc>
        <w:tc>
          <w:tcPr>
            <w:tcW w:w="6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gridSpan w:val="3"/>
          </w:tcPr>
          <w:p>
            <w:pPr>
              <w:jc w:val="right"/>
              <w:spacing w:after="0"/>
              <w:rPr>
                <w:sz w:val="20"/>
                <w:szCs w:val="20"/>
                <w:color w:val="auto"/>
              </w:rPr>
            </w:pPr>
            <w:r>
              <w:rPr>
                <w:rFonts w:ascii="Arial" w:cs="Arial" w:eastAsia="Arial" w:hAnsi="Arial"/>
                <w:sz w:val="20"/>
                <w:szCs w:val="20"/>
                <w:color w:val="FF0000"/>
                <w:strike w:val="1"/>
                <w:w w:val="95"/>
              </w:rPr>
              <w:t>9,375,000.00</w:t>
            </w:r>
          </w:p>
        </w:tc>
        <w:tc>
          <w:tcPr>
            <w:tcW w:w="1160" w:type="dxa"/>
            <w:vAlign w:val="bottom"/>
            <w:gridSpan w:val="4"/>
          </w:tcPr>
          <w:p>
            <w:pPr>
              <w:jc w:val="center"/>
              <w:spacing w:after="0"/>
              <w:rPr>
                <w:sz w:val="20"/>
                <w:szCs w:val="20"/>
                <w:color w:val="auto"/>
              </w:rPr>
            </w:pPr>
            <w:r>
              <w:rPr>
                <w:rFonts w:ascii="Arial" w:cs="Arial" w:eastAsia="Arial" w:hAnsi="Arial"/>
                <w:sz w:val="20"/>
                <w:szCs w:val="20"/>
                <w:color w:val="0000FF"/>
                <w:w w:val="89"/>
              </w:rPr>
              <w:t>9,023,437.50</w:t>
            </w:r>
          </w:p>
        </w:tc>
        <w:tc>
          <w:tcPr>
            <w:tcW w:w="400" w:type="dxa"/>
            <w:vAlign w:val="bottom"/>
            <w:tcBorders>
              <w:right w:val="single" w:sz="8" w:color="00000A"/>
            </w:tcBorders>
          </w:tcPr>
          <w:p>
            <w:pPr>
              <w:spacing w:after="0"/>
              <w:rPr>
                <w:sz w:val="20"/>
                <w:szCs w:val="20"/>
                <w:color w:val="auto"/>
              </w:rPr>
            </w:pPr>
          </w:p>
        </w:tc>
      </w:tr>
      <w:tr>
        <w:trPr>
          <w:trHeight w:val="20"/>
        </w:trPr>
        <w:tc>
          <w:tcPr>
            <w:tcW w:w="100" w:type="dxa"/>
            <w:vAlign w:val="bottom"/>
            <w:tcBorders>
              <w:left w:val="single" w:sz="8" w:color="00000A"/>
              <w:bottom w:val="single" w:sz="8" w:color="00000A"/>
            </w:tcBorders>
          </w:tcPr>
          <w:p>
            <w:pPr>
              <w:spacing w:after="0" w:line="20" w:lineRule="exact"/>
              <w:rPr>
                <w:sz w:val="1"/>
                <w:szCs w:val="1"/>
                <w:color w:val="auto"/>
              </w:rPr>
            </w:pPr>
          </w:p>
        </w:tc>
        <w:tc>
          <w:tcPr>
            <w:tcW w:w="800" w:type="dxa"/>
            <w:vAlign w:val="bottom"/>
            <w:tcBorders>
              <w:bottom w:val="single" w:sz="8" w:color="00000A"/>
            </w:tcBorders>
          </w:tcPr>
          <w:p>
            <w:pPr>
              <w:spacing w:after="0" w:line="20" w:lineRule="exact"/>
              <w:rPr>
                <w:sz w:val="1"/>
                <w:szCs w:val="1"/>
                <w:color w:val="auto"/>
              </w:rPr>
            </w:pPr>
          </w:p>
        </w:tc>
        <w:tc>
          <w:tcPr>
            <w:tcW w:w="160" w:type="dxa"/>
            <w:vAlign w:val="bottom"/>
            <w:tcBorders>
              <w:bottom w:val="single" w:sz="8" w:color="00000A"/>
            </w:tcBorders>
          </w:tcPr>
          <w:p>
            <w:pPr>
              <w:spacing w:after="0" w:line="20" w:lineRule="exact"/>
              <w:rPr>
                <w:sz w:val="1"/>
                <w:szCs w:val="1"/>
                <w:color w:val="auto"/>
              </w:rPr>
            </w:pPr>
          </w:p>
        </w:tc>
        <w:tc>
          <w:tcPr>
            <w:tcW w:w="30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tcBorders>
          </w:tcPr>
          <w:p>
            <w:pPr>
              <w:spacing w:after="0" w:line="20" w:lineRule="exact"/>
              <w:rPr>
                <w:sz w:val="1"/>
                <w:szCs w:val="1"/>
                <w:color w:val="auto"/>
              </w:rPr>
            </w:pPr>
          </w:p>
        </w:tc>
        <w:tc>
          <w:tcPr>
            <w:tcW w:w="1760" w:type="dxa"/>
            <w:vAlign w:val="bottom"/>
            <w:tcBorders>
              <w:bottom w:val="single" w:sz="8" w:color="00000A"/>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540" w:type="dxa"/>
            <w:vAlign w:val="bottom"/>
            <w:tcBorders>
              <w:top w:val="single" w:sz="8" w:color="0000FF"/>
              <w:bottom w:val="single" w:sz="8" w:color="00000A"/>
            </w:tcBorders>
          </w:tcPr>
          <w:p>
            <w:pPr>
              <w:spacing w:after="0" w:line="20" w:lineRule="exact"/>
              <w:rPr>
                <w:sz w:val="1"/>
                <w:szCs w:val="1"/>
                <w:color w:val="auto"/>
              </w:rPr>
            </w:pPr>
          </w:p>
        </w:tc>
        <w:tc>
          <w:tcPr>
            <w:tcW w:w="560" w:type="dxa"/>
            <w:vAlign w:val="bottom"/>
            <w:tcBorders>
              <w:top w:val="single" w:sz="8" w:color="0000FF"/>
              <w:bottom w:val="single" w:sz="8" w:color="00000A"/>
            </w:tcBorders>
          </w:tcPr>
          <w:p>
            <w:pPr>
              <w:spacing w:after="0" w:line="20" w:lineRule="exact"/>
              <w:rPr>
                <w:sz w:val="1"/>
                <w:szCs w:val="1"/>
                <w:color w:val="auto"/>
              </w:rPr>
            </w:pPr>
          </w:p>
        </w:tc>
        <w:tc>
          <w:tcPr>
            <w:tcW w:w="40" w:type="dxa"/>
            <w:vAlign w:val="bottom"/>
            <w:tcBorders>
              <w:bottom w:val="single" w:sz="8" w:color="00000A"/>
            </w:tcBorders>
          </w:tcPr>
          <w:p>
            <w:pPr>
              <w:spacing w:after="0" w:line="20" w:lineRule="exact"/>
              <w:rPr>
                <w:sz w:val="1"/>
                <w:szCs w:val="1"/>
                <w:color w:val="auto"/>
              </w:rPr>
            </w:pPr>
          </w:p>
        </w:tc>
        <w:tc>
          <w:tcPr>
            <w:tcW w:w="400" w:type="dxa"/>
            <w:vAlign w:val="bottom"/>
            <w:tcBorders>
              <w:bottom w:val="single" w:sz="8" w:color="00000A"/>
              <w:right w:val="single" w:sz="8" w:color="00000A"/>
            </w:tcBorders>
          </w:tcPr>
          <w:p>
            <w:pPr>
              <w:spacing w:after="0" w:line="20" w:lineRule="exact"/>
              <w:rPr>
                <w:sz w:val="1"/>
                <w:szCs w:val="1"/>
                <w:color w:val="auto"/>
              </w:rPr>
            </w:pPr>
          </w:p>
        </w:tc>
      </w:tr>
      <w:tr>
        <w:trPr>
          <w:trHeight w:val="237"/>
        </w:trPr>
        <w:tc>
          <w:tcPr>
            <w:tcW w:w="3160" w:type="dxa"/>
            <w:vAlign w:val="bottom"/>
            <w:tcBorders>
              <w:left w:val="single" w:sz="8" w:color="00000A"/>
              <w:right w:val="single" w:sz="8" w:color="auto"/>
            </w:tcBorders>
            <w:gridSpan w:val="6"/>
          </w:tcPr>
          <w:p>
            <w:pPr>
              <w:ind w:left="100"/>
              <w:spacing w:after="0"/>
              <w:rPr>
                <w:sz w:val="20"/>
                <w:szCs w:val="20"/>
                <w:color w:val="auto"/>
              </w:rPr>
            </w:pPr>
            <w:r>
              <w:rPr>
                <w:rFonts w:ascii="Arial" w:cs="Arial" w:eastAsia="Arial" w:hAnsi="Arial"/>
                <w:sz w:val="20"/>
                <w:szCs w:val="20"/>
                <w:color w:val="auto"/>
              </w:rPr>
              <w:t>June 2017</w:t>
            </w:r>
          </w:p>
        </w:tc>
        <w:tc>
          <w:tcPr>
            <w:tcW w:w="6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gridSpan w:val="3"/>
          </w:tcPr>
          <w:p>
            <w:pPr>
              <w:jc w:val="right"/>
              <w:spacing w:after="0"/>
              <w:rPr>
                <w:sz w:val="20"/>
                <w:szCs w:val="20"/>
                <w:color w:val="auto"/>
              </w:rPr>
            </w:pPr>
            <w:r>
              <w:rPr>
                <w:rFonts w:ascii="Arial" w:cs="Arial" w:eastAsia="Arial" w:hAnsi="Arial"/>
                <w:sz w:val="20"/>
                <w:szCs w:val="20"/>
                <w:color w:val="FF0000"/>
                <w:strike w:val="1"/>
                <w:w w:val="95"/>
              </w:rPr>
              <w:t>9,375,000.00</w:t>
            </w:r>
          </w:p>
        </w:tc>
        <w:tc>
          <w:tcPr>
            <w:tcW w:w="1160" w:type="dxa"/>
            <w:vAlign w:val="bottom"/>
            <w:gridSpan w:val="4"/>
          </w:tcPr>
          <w:p>
            <w:pPr>
              <w:jc w:val="center"/>
              <w:spacing w:after="0"/>
              <w:rPr>
                <w:sz w:val="20"/>
                <w:szCs w:val="20"/>
                <w:color w:val="auto"/>
              </w:rPr>
            </w:pPr>
            <w:r>
              <w:rPr>
                <w:rFonts w:ascii="Arial" w:cs="Arial" w:eastAsia="Arial" w:hAnsi="Arial"/>
                <w:sz w:val="20"/>
                <w:szCs w:val="20"/>
                <w:color w:val="0000FF"/>
                <w:w w:val="89"/>
              </w:rPr>
              <w:t>9,023,437.50</w:t>
            </w:r>
          </w:p>
        </w:tc>
        <w:tc>
          <w:tcPr>
            <w:tcW w:w="400" w:type="dxa"/>
            <w:vAlign w:val="bottom"/>
            <w:tcBorders>
              <w:right w:val="single" w:sz="8" w:color="00000A"/>
            </w:tcBorders>
          </w:tcPr>
          <w:p>
            <w:pPr>
              <w:spacing w:after="0"/>
              <w:rPr>
                <w:sz w:val="20"/>
                <w:szCs w:val="20"/>
                <w:color w:val="auto"/>
              </w:rPr>
            </w:pPr>
          </w:p>
        </w:tc>
      </w:tr>
      <w:tr>
        <w:trPr>
          <w:trHeight w:val="20"/>
        </w:trPr>
        <w:tc>
          <w:tcPr>
            <w:tcW w:w="100" w:type="dxa"/>
            <w:vAlign w:val="bottom"/>
            <w:tcBorders>
              <w:left w:val="single" w:sz="8" w:color="00000A"/>
              <w:bottom w:val="single" w:sz="8" w:color="00000A"/>
            </w:tcBorders>
          </w:tcPr>
          <w:p>
            <w:pPr>
              <w:spacing w:after="0" w:line="20" w:lineRule="exact"/>
              <w:rPr>
                <w:sz w:val="1"/>
                <w:szCs w:val="1"/>
                <w:color w:val="auto"/>
              </w:rPr>
            </w:pPr>
          </w:p>
        </w:tc>
        <w:tc>
          <w:tcPr>
            <w:tcW w:w="800" w:type="dxa"/>
            <w:vAlign w:val="bottom"/>
            <w:tcBorders>
              <w:bottom w:val="single" w:sz="8" w:color="00000A"/>
            </w:tcBorders>
          </w:tcPr>
          <w:p>
            <w:pPr>
              <w:spacing w:after="0" w:line="20" w:lineRule="exact"/>
              <w:rPr>
                <w:sz w:val="1"/>
                <w:szCs w:val="1"/>
                <w:color w:val="auto"/>
              </w:rPr>
            </w:pPr>
          </w:p>
        </w:tc>
        <w:tc>
          <w:tcPr>
            <w:tcW w:w="160" w:type="dxa"/>
            <w:vAlign w:val="bottom"/>
            <w:tcBorders>
              <w:bottom w:val="single" w:sz="8" w:color="00000A"/>
            </w:tcBorders>
          </w:tcPr>
          <w:p>
            <w:pPr>
              <w:spacing w:after="0" w:line="20" w:lineRule="exact"/>
              <w:rPr>
                <w:sz w:val="1"/>
                <w:szCs w:val="1"/>
                <w:color w:val="auto"/>
              </w:rPr>
            </w:pPr>
          </w:p>
        </w:tc>
        <w:tc>
          <w:tcPr>
            <w:tcW w:w="30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tcBorders>
          </w:tcPr>
          <w:p>
            <w:pPr>
              <w:spacing w:after="0" w:line="20" w:lineRule="exact"/>
              <w:rPr>
                <w:sz w:val="1"/>
                <w:szCs w:val="1"/>
                <w:color w:val="auto"/>
              </w:rPr>
            </w:pPr>
          </w:p>
        </w:tc>
        <w:tc>
          <w:tcPr>
            <w:tcW w:w="1760" w:type="dxa"/>
            <w:vAlign w:val="bottom"/>
            <w:tcBorders>
              <w:bottom w:val="single" w:sz="8" w:color="00000A"/>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540" w:type="dxa"/>
            <w:vAlign w:val="bottom"/>
            <w:tcBorders>
              <w:top w:val="single" w:sz="8" w:color="0000FF"/>
              <w:bottom w:val="single" w:sz="8" w:color="00000A"/>
            </w:tcBorders>
          </w:tcPr>
          <w:p>
            <w:pPr>
              <w:spacing w:after="0" w:line="20" w:lineRule="exact"/>
              <w:rPr>
                <w:sz w:val="1"/>
                <w:szCs w:val="1"/>
                <w:color w:val="auto"/>
              </w:rPr>
            </w:pPr>
          </w:p>
        </w:tc>
        <w:tc>
          <w:tcPr>
            <w:tcW w:w="560" w:type="dxa"/>
            <w:vAlign w:val="bottom"/>
            <w:tcBorders>
              <w:top w:val="single" w:sz="8" w:color="0000FF"/>
              <w:bottom w:val="single" w:sz="8" w:color="00000A"/>
            </w:tcBorders>
          </w:tcPr>
          <w:p>
            <w:pPr>
              <w:spacing w:after="0" w:line="20" w:lineRule="exact"/>
              <w:rPr>
                <w:sz w:val="1"/>
                <w:szCs w:val="1"/>
                <w:color w:val="auto"/>
              </w:rPr>
            </w:pPr>
          </w:p>
        </w:tc>
        <w:tc>
          <w:tcPr>
            <w:tcW w:w="40" w:type="dxa"/>
            <w:vAlign w:val="bottom"/>
            <w:tcBorders>
              <w:bottom w:val="single" w:sz="8" w:color="00000A"/>
            </w:tcBorders>
          </w:tcPr>
          <w:p>
            <w:pPr>
              <w:spacing w:after="0" w:line="20" w:lineRule="exact"/>
              <w:rPr>
                <w:sz w:val="1"/>
                <w:szCs w:val="1"/>
                <w:color w:val="auto"/>
              </w:rPr>
            </w:pPr>
          </w:p>
        </w:tc>
        <w:tc>
          <w:tcPr>
            <w:tcW w:w="400" w:type="dxa"/>
            <w:vAlign w:val="bottom"/>
            <w:tcBorders>
              <w:bottom w:val="single" w:sz="8" w:color="00000A"/>
              <w:right w:val="single" w:sz="8" w:color="00000A"/>
            </w:tcBorders>
          </w:tcPr>
          <w:p>
            <w:pPr>
              <w:spacing w:after="0" w:line="20" w:lineRule="exact"/>
              <w:rPr>
                <w:sz w:val="1"/>
                <w:szCs w:val="1"/>
                <w:color w:val="auto"/>
              </w:rPr>
            </w:pPr>
          </w:p>
        </w:tc>
      </w:tr>
      <w:tr>
        <w:trPr>
          <w:trHeight w:val="237"/>
        </w:trPr>
        <w:tc>
          <w:tcPr>
            <w:tcW w:w="3160" w:type="dxa"/>
            <w:vAlign w:val="bottom"/>
            <w:tcBorders>
              <w:left w:val="single" w:sz="8" w:color="00000A"/>
              <w:right w:val="single" w:sz="8" w:color="auto"/>
            </w:tcBorders>
            <w:gridSpan w:val="6"/>
          </w:tcPr>
          <w:p>
            <w:pPr>
              <w:ind w:left="100"/>
              <w:spacing w:after="0"/>
              <w:rPr>
                <w:sz w:val="20"/>
                <w:szCs w:val="20"/>
                <w:color w:val="auto"/>
              </w:rPr>
            </w:pPr>
            <w:r>
              <w:rPr>
                <w:rFonts w:ascii="Arial" w:cs="Arial" w:eastAsia="Arial" w:hAnsi="Arial"/>
                <w:sz w:val="20"/>
                <w:szCs w:val="20"/>
                <w:color w:val="auto"/>
              </w:rPr>
              <w:t>September 2017</w:t>
            </w:r>
          </w:p>
        </w:tc>
        <w:tc>
          <w:tcPr>
            <w:tcW w:w="6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gridSpan w:val="3"/>
          </w:tcPr>
          <w:p>
            <w:pPr>
              <w:jc w:val="right"/>
              <w:spacing w:after="0"/>
              <w:rPr>
                <w:sz w:val="20"/>
                <w:szCs w:val="20"/>
                <w:color w:val="auto"/>
              </w:rPr>
            </w:pPr>
            <w:r>
              <w:rPr>
                <w:rFonts w:ascii="Arial" w:cs="Arial" w:eastAsia="Arial" w:hAnsi="Arial"/>
                <w:sz w:val="20"/>
                <w:szCs w:val="20"/>
                <w:color w:val="FF0000"/>
                <w:strike w:val="1"/>
                <w:w w:val="95"/>
              </w:rPr>
              <w:t>9,375,000.00</w:t>
            </w:r>
          </w:p>
        </w:tc>
        <w:tc>
          <w:tcPr>
            <w:tcW w:w="1160" w:type="dxa"/>
            <w:vAlign w:val="bottom"/>
            <w:gridSpan w:val="4"/>
          </w:tcPr>
          <w:p>
            <w:pPr>
              <w:jc w:val="center"/>
              <w:spacing w:after="0"/>
              <w:rPr>
                <w:sz w:val="20"/>
                <w:szCs w:val="20"/>
                <w:color w:val="auto"/>
              </w:rPr>
            </w:pPr>
            <w:r>
              <w:rPr>
                <w:rFonts w:ascii="Arial" w:cs="Arial" w:eastAsia="Arial" w:hAnsi="Arial"/>
                <w:sz w:val="20"/>
                <w:szCs w:val="20"/>
                <w:color w:val="0000FF"/>
                <w:w w:val="89"/>
              </w:rPr>
              <w:t>9,023,437.50</w:t>
            </w:r>
          </w:p>
        </w:tc>
        <w:tc>
          <w:tcPr>
            <w:tcW w:w="400" w:type="dxa"/>
            <w:vAlign w:val="bottom"/>
            <w:tcBorders>
              <w:right w:val="single" w:sz="8" w:color="00000A"/>
            </w:tcBorders>
          </w:tcPr>
          <w:p>
            <w:pPr>
              <w:spacing w:after="0"/>
              <w:rPr>
                <w:sz w:val="20"/>
                <w:szCs w:val="20"/>
                <w:color w:val="auto"/>
              </w:rPr>
            </w:pPr>
          </w:p>
        </w:tc>
      </w:tr>
      <w:tr>
        <w:trPr>
          <w:trHeight w:val="20"/>
        </w:trPr>
        <w:tc>
          <w:tcPr>
            <w:tcW w:w="100" w:type="dxa"/>
            <w:vAlign w:val="bottom"/>
            <w:tcBorders>
              <w:left w:val="single" w:sz="8" w:color="00000A"/>
              <w:bottom w:val="single" w:sz="8" w:color="00000A"/>
            </w:tcBorders>
          </w:tcPr>
          <w:p>
            <w:pPr>
              <w:spacing w:after="0" w:line="20" w:lineRule="exact"/>
              <w:rPr>
                <w:sz w:val="1"/>
                <w:szCs w:val="1"/>
                <w:color w:val="auto"/>
              </w:rPr>
            </w:pPr>
          </w:p>
        </w:tc>
        <w:tc>
          <w:tcPr>
            <w:tcW w:w="800" w:type="dxa"/>
            <w:vAlign w:val="bottom"/>
            <w:tcBorders>
              <w:bottom w:val="single" w:sz="8" w:color="00000A"/>
            </w:tcBorders>
          </w:tcPr>
          <w:p>
            <w:pPr>
              <w:spacing w:after="0" w:line="20" w:lineRule="exact"/>
              <w:rPr>
                <w:sz w:val="1"/>
                <w:szCs w:val="1"/>
                <w:color w:val="auto"/>
              </w:rPr>
            </w:pPr>
          </w:p>
        </w:tc>
        <w:tc>
          <w:tcPr>
            <w:tcW w:w="160" w:type="dxa"/>
            <w:vAlign w:val="bottom"/>
            <w:tcBorders>
              <w:bottom w:val="single" w:sz="8" w:color="00000A"/>
            </w:tcBorders>
          </w:tcPr>
          <w:p>
            <w:pPr>
              <w:spacing w:after="0" w:line="20" w:lineRule="exact"/>
              <w:rPr>
                <w:sz w:val="1"/>
                <w:szCs w:val="1"/>
                <w:color w:val="auto"/>
              </w:rPr>
            </w:pPr>
          </w:p>
        </w:tc>
        <w:tc>
          <w:tcPr>
            <w:tcW w:w="30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tcBorders>
          </w:tcPr>
          <w:p>
            <w:pPr>
              <w:spacing w:after="0" w:line="20" w:lineRule="exact"/>
              <w:rPr>
                <w:sz w:val="1"/>
                <w:szCs w:val="1"/>
                <w:color w:val="auto"/>
              </w:rPr>
            </w:pPr>
          </w:p>
        </w:tc>
        <w:tc>
          <w:tcPr>
            <w:tcW w:w="1760" w:type="dxa"/>
            <w:vAlign w:val="bottom"/>
            <w:tcBorders>
              <w:bottom w:val="single" w:sz="8" w:color="00000A"/>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540" w:type="dxa"/>
            <w:vAlign w:val="bottom"/>
            <w:tcBorders>
              <w:top w:val="single" w:sz="8" w:color="0000FF"/>
              <w:bottom w:val="single" w:sz="8" w:color="00000A"/>
            </w:tcBorders>
          </w:tcPr>
          <w:p>
            <w:pPr>
              <w:spacing w:after="0" w:line="20" w:lineRule="exact"/>
              <w:rPr>
                <w:sz w:val="1"/>
                <w:szCs w:val="1"/>
                <w:color w:val="auto"/>
              </w:rPr>
            </w:pPr>
          </w:p>
        </w:tc>
        <w:tc>
          <w:tcPr>
            <w:tcW w:w="560" w:type="dxa"/>
            <w:vAlign w:val="bottom"/>
            <w:tcBorders>
              <w:top w:val="single" w:sz="8" w:color="0000FF"/>
              <w:bottom w:val="single" w:sz="8" w:color="00000A"/>
            </w:tcBorders>
          </w:tcPr>
          <w:p>
            <w:pPr>
              <w:spacing w:after="0" w:line="20" w:lineRule="exact"/>
              <w:rPr>
                <w:sz w:val="1"/>
                <w:szCs w:val="1"/>
                <w:color w:val="auto"/>
              </w:rPr>
            </w:pPr>
          </w:p>
        </w:tc>
        <w:tc>
          <w:tcPr>
            <w:tcW w:w="40" w:type="dxa"/>
            <w:vAlign w:val="bottom"/>
            <w:tcBorders>
              <w:bottom w:val="single" w:sz="8" w:color="00000A"/>
            </w:tcBorders>
          </w:tcPr>
          <w:p>
            <w:pPr>
              <w:spacing w:after="0" w:line="20" w:lineRule="exact"/>
              <w:rPr>
                <w:sz w:val="1"/>
                <w:szCs w:val="1"/>
                <w:color w:val="auto"/>
              </w:rPr>
            </w:pPr>
          </w:p>
        </w:tc>
        <w:tc>
          <w:tcPr>
            <w:tcW w:w="400" w:type="dxa"/>
            <w:vAlign w:val="bottom"/>
            <w:tcBorders>
              <w:bottom w:val="single" w:sz="8" w:color="00000A"/>
              <w:right w:val="single" w:sz="8" w:color="00000A"/>
            </w:tcBorders>
          </w:tcPr>
          <w:p>
            <w:pPr>
              <w:spacing w:after="0" w:line="20" w:lineRule="exact"/>
              <w:rPr>
                <w:sz w:val="1"/>
                <w:szCs w:val="1"/>
                <w:color w:val="auto"/>
              </w:rPr>
            </w:pPr>
          </w:p>
        </w:tc>
      </w:tr>
      <w:tr>
        <w:trPr>
          <w:trHeight w:val="237"/>
        </w:trPr>
        <w:tc>
          <w:tcPr>
            <w:tcW w:w="3160" w:type="dxa"/>
            <w:vAlign w:val="bottom"/>
            <w:tcBorders>
              <w:left w:val="single" w:sz="8" w:color="00000A"/>
              <w:right w:val="single" w:sz="8" w:color="auto"/>
            </w:tcBorders>
            <w:gridSpan w:val="6"/>
          </w:tcPr>
          <w:p>
            <w:pPr>
              <w:ind w:left="100"/>
              <w:spacing w:after="0"/>
              <w:rPr>
                <w:sz w:val="20"/>
                <w:szCs w:val="20"/>
                <w:color w:val="auto"/>
              </w:rPr>
            </w:pPr>
            <w:r>
              <w:rPr>
                <w:rFonts w:ascii="Arial" w:cs="Arial" w:eastAsia="Arial" w:hAnsi="Arial"/>
                <w:sz w:val="20"/>
                <w:szCs w:val="20"/>
                <w:color w:val="auto"/>
              </w:rPr>
              <w:t>December 2017</w:t>
            </w:r>
          </w:p>
        </w:tc>
        <w:tc>
          <w:tcPr>
            <w:tcW w:w="6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gridSpan w:val="3"/>
          </w:tcPr>
          <w:p>
            <w:pPr>
              <w:jc w:val="right"/>
              <w:spacing w:after="0"/>
              <w:rPr>
                <w:sz w:val="20"/>
                <w:szCs w:val="20"/>
                <w:color w:val="auto"/>
              </w:rPr>
            </w:pPr>
            <w:r>
              <w:rPr>
                <w:rFonts w:ascii="Arial" w:cs="Arial" w:eastAsia="Arial" w:hAnsi="Arial"/>
                <w:sz w:val="20"/>
                <w:szCs w:val="20"/>
                <w:color w:val="FF0000"/>
                <w:strike w:val="1"/>
                <w:w w:val="87"/>
              </w:rPr>
              <w:t>14,062,500.00</w:t>
            </w:r>
          </w:p>
        </w:tc>
        <w:tc>
          <w:tcPr>
            <w:tcW w:w="1160" w:type="dxa"/>
            <w:vAlign w:val="bottom"/>
            <w:gridSpan w:val="4"/>
          </w:tcPr>
          <w:p>
            <w:pPr>
              <w:jc w:val="center"/>
              <w:spacing w:after="0"/>
              <w:rPr>
                <w:sz w:val="20"/>
                <w:szCs w:val="20"/>
                <w:color w:val="auto"/>
              </w:rPr>
            </w:pPr>
            <w:r>
              <w:rPr>
                <w:rFonts w:ascii="Arial" w:cs="Arial" w:eastAsia="Arial" w:hAnsi="Arial"/>
                <w:sz w:val="20"/>
                <w:szCs w:val="20"/>
                <w:color w:val="0000FF"/>
                <w:w w:val="89"/>
              </w:rPr>
              <w:t>9,023,437.50</w:t>
            </w:r>
          </w:p>
        </w:tc>
        <w:tc>
          <w:tcPr>
            <w:tcW w:w="400" w:type="dxa"/>
            <w:vAlign w:val="bottom"/>
            <w:tcBorders>
              <w:right w:val="single" w:sz="8" w:color="00000A"/>
            </w:tcBorders>
          </w:tcPr>
          <w:p>
            <w:pPr>
              <w:spacing w:after="0"/>
              <w:rPr>
                <w:sz w:val="20"/>
                <w:szCs w:val="20"/>
                <w:color w:val="auto"/>
              </w:rPr>
            </w:pPr>
          </w:p>
        </w:tc>
      </w:tr>
      <w:tr>
        <w:trPr>
          <w:trHeight w:val="20"/>
        </w:trPr>
        <w:tc>
          <w:tcPr>
            <w:tcW w:w="100" w:type="dxa"/>
            <w:vAlign w:val="bottom"/>
            <w:tcBorders>
              <w:left w:val="single" w:sz="8" w:color="00000A"/>
              <w:bottom w:val="single" w:sz="8" w:color="00000A"/>
            </w:tcBorders>
          </w:tcPr>
          <w:p>
            <w:pPr>
              <w:spacing w:after="0" w:line="20" w:lineRule="exact"/>
              <w:rPr>
                <w:sz w:val="1"/>
                <w:szCs w:val="1"/>
                <w:color w:val="auto"/>
              </w:rPr>
            </w:pPr>
          </w:p>
        </w:tc>
        <w:tc>
          <w:tcPr>
            <w:tcW w:w="800" w:type="dxa"/>
            <w:vAlign w:val="bottom"/>
            <w:tcBorders>
              <w:bottom w:val="single" w:sz="8" w:color="00000A"/>
            </w:tcBorders>
          </w:tcPr>
          <w:p>
            <w:pPr>
              <w:spacing w:after="0" w:line="20" w:lineRule="exact"/>
              <w:rPr>
                <w:sz w:val="1"/>
                <w:szCs w:val="1"/>
                <w:color w:val="auto"/>
              </w:rPr>
            </w:pPr>
          </w:p>
        </w:tc>
        <w:tc>
          <w:tcPr>
            <w:tcW w:w="160" w:type="dxa"/>
            <w:vAlign w:val="bottom"/>
            <w:tcBorders>
              <w:bottom w:val="single" w:sz="8" w:color="00000A"/>
            </w:tcBorders>
          </w:tcPr>
          <w:p>
            <w:pPr>
              <w:spacing w:after="0" w:line="20" w:lineRule="exact"/>
              <w:rPr>
                <w:sz w:val="1"/>
                <w:szCs w:val="1"/>
                <w:color w:val="auto"/>
              </w:rPr>
            </w:pPr>
          </w:p>
        </w:tc>
        <w:tc>
          <w:tcPr>
            <w:tcW w:w="30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tcBorders>
          </w:tcPr>
          <w:p>
            <w:pPr>
              <w:spacing w:after="0" w:line="20" w:lineRule="exact"/>
              <w:rPr>
                <w:sz w:val="1"/>
                <w:szCs w:val="1"/>
                <w:color w:val="auto"/>
              </w:rPr>
            </w:pPr>
          </w:p>
        </w:tc>
        <w:tc>
          <w:tcPr>
            <w:tcW w:w="1760" w:type="dxa"/>
            <w:vAlign w:val="bottom"/>
            <w:tcBorders>
              <w:bottom w:val="single" w:sz="8" w:color="00000A"/>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540" w:type="dxa"/>
            <w:vAlign w:val="bottom"/>
            <w:tcBorders>
              <w:top w:val="single" w:sz="8" w:color="0000FF"/>
              <w:bottom w:val="single" w:sz="8" w:color="00000A"/>
            </w:tcBorders>
          </w:tcPr>
          <w:p>
            <w:pPr>
              <w:spacing w:after="0" w:line="20" w:lineRule="exact"/>
              <w:rPr>
                <w:sz w:val="1"/>
                <w:szCs w:val="1"/>
                <w:color w:val="auto"/>
              </w:rPr>
            </w:pPr>
          </w:p>
        </w:tc>
        <w:tc>
          <w:tcPr>
            <w:tcW w:w="560" w:type="dxa"/>
            <w:vAlign w:val="bottom"/>
            <w:tcBorders>
              <w:top w:val="single" w:sz="8" w:color="0000FF"/>
              <w:bottom w:val="single" w:sz="8" w:color="00000A"/>
            </w:tcBorders>
          </w:tcPr>
          <w:p>
            <w:pPr>
              <w:spacing w:after="0" w:line="20" w:lineRule="exact"/>
              <w:rPr>
                <w:sz w:val="1"/>
                <w:szCs w:val="1"/>
                <w:color w:val="auto"/>
              </w:rPr>
            </w:pPr>
          </w:p>
        </w:tc>
        <w:tc>
          <w:tcPr>
            <w:tcW w:w="40" w:type="dxa"/>
            <w:vAlign w:val="bottom"/>
            <w:tcBorders>
              <w:bottom w:val="single" w:sz="8" w:color="00000A"/>
            </w:tcBorders>
          </w:tcPr>
          <w:p>
            <w:pPr>
              <w:spacing w:after="0" w:line="20" w:lineRule="exact"/>
              <w:rPr>
                <w:sz w:val="1"/>
                <w:szCs w:val="1"/>
                <w:color w:val="auto"/>
              </w:rPr>
            </w:pPr>
          </w:p>
        </w:tc>
        <w:tc>
          <w:tcPr>
            <w:tcW w:w="400" w:type="dxa"/>
            <w:vAlign w:val="bottom"/>
            <w:tcBorders>
              <w:bottom w:val="single" w:sz="8" w:color="00000A"/>
              <w:right w:val="single" w:sz="8" w:color="00000A"/>
            </w:tcBorders>
          </w:tcPr>
          <w:p>
            <w:pPr>
              <w:spacing w:after="0" w:line="20" w:lineRule="exact"/>
              <w:rPr>
                <w:sz w:val="1"/>
                <w:szCs w:val="1"/>
                <w:color w:val="auto"/>
              </w:rPr>
            </w:pPr>
          </w:p>
        </w:tc>
      </w:tr>
      <w:tr>
        <w:trPr>
          <w:trHeight w:val="237"/>
        </w:trPr>
        <w:tc>
          <w:tcPr>
            <w:tcW w:w="3160" w:type="dxa"/>
            <w:vAlign w:val="bottom"/>
            <w:tcBorders>
              <w:left w:val="single" w:sz="8" w:color="00000A"/>
              <w:right w:val="single" w:sz="8" w:color="auto"/>
            </w:tcBorders>
            <w:gridSpan w:val="6"/>
          </w:tcPr>
          <w:p>
            <w:pPr>
              <w:ind w:left="100"/>
              <w:spacing w:after="0"/>
              <w:rPr>
                <w:sz w:val="20"/>
                <w:szCs w:val="20"/>
                <w:color w:val="auto"/>
              </w:rPr>
            </w:pPr>
            <w:r>
              <w:rPr>
                <w:rFonts w:ascii="Arial" w:cs="Arial" w:eastAsia="Arial" w:hAnsi="Arial"/>
                <w:sz w:val="20"/>
                <w:szCs w:val="20"/>
                <w:color w:val="auto"/>
              </w:rPr>
              <w:t>March 2018</w:t>
            </w:r>
          </w:p>
        </w:tc>
        <w:tc>
          <w:tcPr>
            <w:tcW w:w="6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gridSpan w:val="3"/>
          </w:tcPr>
          <w:p>
            <w:pPr>
              <w:jc w:val="right"/>
              <w:spacing w:after="0"/>
              <w:rPr>
                <w:sz w:val="20"/>
                <w:szCs w:val="20"/>
                <w:color w:val="auto"/>
              </w:rPr>
            </w:pPr>
            <w:r>
              <w:rPr>
                <w:rFonts w:ascii="Arial" w:cs="Arial" w:eastAsia="Arial" w:hAnsi="Arial"/>
                <w:sz w:val="20"/>
                <w:szCs w:val="20"/>
                <w:color w:val="FF0000"/>
                <w:strike w:val="1"/>
                <w:w w:val="87"/>
              </w:rPr>
              <w:t>14,062,500.00</w:t>
            </w:r>
          </w:p>
        </w:tc>
        <w:tc>
          <w:tcPr>
            <w:tcW w:w="1160" w:type="dxa"/>
            <w:vAlign w:val="bottom"/>
            <w:gridSpan w:val="4"/>
          </w:tcPr>
          <w:p>
            <w:pPr>
              <w:jc w:val="center"/>
              <w:spacing w:after="0"/>
              <w:rPr>
                <w:sz w:val="20"/>
                <w:szCs w:val="20"/>
                <w:color w:val="auto"/>
              </w:rPr>
            </w:pPr>
            <w:r>
              <w:rPr>
                <w:rFonts w:ascii="Arial" w:cs="Arial" w:eastAsia="Arial" w:hAnsi="Arial"/>
                <w:sz w:val="20"/>
                <w:szCs w:val="20"/>
                <w:color w:val="0000FF"/>
                <w:w w:val="89"/>
              </w:rPr>
              <w:t>9,023,437.50</w:t>
            </w:r>
          </w:p>
        </w:tc>
        <w:tc>
          <w:tcPr>
            <w:tcW w:w="400" w:type="dxa"/>
            <w:vAlign w:val="bottom"/>
            <w:tcBorders>
              <w:right w:val="single" w:sz="8" w:color="00000A"/>
            </w:tcBorders>
          </w:tcPr>
          <w:p>
            <w:pPr>
              <w:spacing w:after="0"/>
              <w:rPr>
                <w:sz w:val="20"/>
                <w:szCs w:val="20"/>
                <w:color w:val="auto"/>
              </w:rPr>
            </w:pPr>
          </w:p>
        </w:tc>
      </w:tr>
      <w:tr>
        <w:trPr>
          <w:trHeight w:val="20"/>
        </w:trPr>
        <w:tc>
          <w:tcPr>
            <w:tcW w:w="100" w:type="dxa"/>
            <w:vAlign w:val="bottom"/>
            <w:tcBorders>
              <w:left w:val="single" w:sz="8" w:color="00000A"/>
              <w:bottom w:val="single" w:sz="8" w:color="00000A"/>
            </w:tcBorders>
          </w:tcPr>
          <w:p>
            <w:pPr>
              <w:spacing w:after="0" w:line="20" w:lineRule="exact"/>
              <w:rPr>
                <w:sz w:val="1"/>
                <w:szCs w:val="1"/>
                <w:color w:val="auto"/>
              </w:rPr>
            </w:pPr>
          </w:p>
        </w:tc>
        <w:tc>
          <w:tcPr>
            <w:tcW w:w="800" w:type="dxa"/>
            <w:vAlign w:val="bottom"/>
            <w:tcBorders>
              <w:bottom w:val="single" w:sz="8" w:color="00000A"/>
            </w:tcBorders>
          </w:tcPr>
          <w:p>
            <w:pPr>
              <w:spacing w:after="0" w:line="20" w:lineRule="exact"/>
              <w:rPr>
                <w:sz w:val="1"/>
                <w:szCs w:val="1"/>
                <w:color w:val="auto"/>
              </w:rPr>
            </w:pPr>
          </w:p>
        </w:tc>
        <w:tc>
          <w:tcPr>
            <w:tcW w:w="160" w:type="dxa"/>
            <w:vAlign w:val="bottom"/>
            <w:tcBorders>
              <w:bottom w:val="single" w:sz="8" w:color="00000A"/>
            </w:tcBorders>
          </w:tcPr>
          <w:p>
            <w:pPr>
              <w:spacing w:after="0" w:line="20" w:lineRule="exact"/>
              <w:rPr>
                <w:sz w:val="1"/>
                <w:szCs w:val="1"/>
                <w:color w:val="auto"/>
              </w:rPr>
            </w:pPr>
          </w:p>
        </w:tc>
        <w:tc>
          <w:tcPr>
            <w:tcW w:w="30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tcBorders>
          </w:tcPr>
          <w:p>
            <w:pPr>
              <w:spacing w:after="0" w:line="20" w:lineRule="exact"/>
              <w:rPr>
                <w:sz w:val="1"/>
                <w:szCs w:val="1"/>
                <w:color w:val="auto"/>
              </w:rPr>
            </w:pPr>
          </w:p>
        </w:tc>
        <w:tc>
          <w:tcPr>
            <w:tcW w:w="1760" w:type="dxa"/>
            <w:vAlign w:val="bottom"/>
            <w:tcBorders>
              <w:bottom w:val="single" w:sz="8" w:color="00000A"/>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540" w:type="dxa"/>
            <w:vAlign w:val="bottom"/>
            <w:tcBorders>
              <w:top w:val="single" w:sz="8" w:color="0000FF"/>
              <w:bottom w:val="single" w:sz="8" w:color="00000A"/>
            </w:tcBorders>
          </w:tcPr>
          <w:p>
            <w:pPr>
              <w:spacing w:after="0" w:line="20" w:lineRule="exact"/>
              <w:rPr>
                <w:sz w:val="1"/>
                <w:szCs w:val="1"/>
                <w:color w:val="auto"/>
              </w:rPr>
            </w:pPr>
          </w:p>
        </w:tc>
        <w:tc>
          <w:tcPr>
            <w:tcW w:w="560" w:type="dxa"/>
            <w:vAlign w:val="bottom"/>
            <w:tcBorders>
              <w:top w:val="single" w:sz="8" w:color="0000FF"/>
              <w:bottom w:val="single" w:sz="8" w:color="00000A"/>
            </w:tcBorders>
          </w:tcPr>
          <w:p>
            <w:pPr>
              <w:spacing w:after="0" w:line="20" w:lineRule="exact"/>
              <w:rPr>
                <w:sz w:val="1"/>
                <w:szCs w:val="1"/>
                <w:color w:val="auto"/>
              </w:rPr>
            </w:pPr>
          </w:p>
        </w:tc>
        <w:tc>
          <w:tcPr>
            <w:tcW w:w="40" w:type="dxa"/>
            <w:vAlign w:val="bottom"/>
            <w:tcBorders>
              <w:bottom w:val="single" w:sz="8" w:color="00000A"/>
            </w:tcBorders>
          </w:tcPr>
          <w:p>
            <w:pPr>
              <w:spacing w:after="0" w:line="20" w:lineRule="exact"/>
              <w:rPr>
                <w:sz w:val="1"/>
                <w:szCs w:val="1"/>
                <w:color w:val="auto"/>
              </w:rPr>
            </w:pPr>
          </w:p>
        </w:tc>
        <w:tc>
          <w:tcPr>
            <w:tcW w:w="400" w:type="dxa"/>
            <w:vAlign w:val="bottom"/>
            <w:tcBorders>
              <w:bottom w:val="single" w:sz="8" w:color="00000A"/>
              <w:right w:val="single" w:sz="8" w:color="00000A"/>
            </w:tcBorders>
          </w:tcPr>
          <w:p>
            <w:pPr>
              <w:spacing w:after="0" w:line="20" w:lineRule="exact"/>
              <w:rPr>
                <w:sz w:val="1"/>
                <w:szCs w:val="1"/>
                <w:color w:val="auto"/>
              </w:rPr>
            </w:pPr>
          </w:p>
        </w:tc>
      </w:tr>
      <w:tr>
        <w:trPr>
          <w:trHeight w:val="237"/>
        </w:trPr>
        <w:tc>
          <w:tcPr>
            <w:tcW w:w="3160" w:type="dxa"/>
            <w:vAlign w:val="bottom"/>
            <w:tcBorders>
              <w:left w:val="single" w:sz="8" w:color="00000A"/>
              <w:right w:val="single" w:sz="8" w:color="auto"/>
            </w:tcBorders>
            <w:gridSpan w:val="6"/>
          </w:tcPr>
          <w:p>
            <w:pPr>
              <w:ind w:left="100"/>
              <w:spacing w:after="0"/>
              <w:rPr>
                <w:sz w:val="20"/>
                <w:szCs w:val="20"/>
                <w:color w:val="auto"/>
              </w:rPr>
            </w:pPr>
            <w:r>
              <w:rPr>
                <w:rFonts w:ascii="Arial" w:cs="Arial" w:eastAsia="Arial" w:hAnsi="Arial"/>
                <w:sz w:val="20"/>
                <w:szCs w:val="20"/>
                <w:color w:val="auto"/>
              </w:rPr>
              <w:t>June 2018</w:t>
            </w:r>
          </w:p>
        </w:tc>
        <w:tc>
          <w:tcPr>
            <w:tcW w:w="6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gridSpan w:val="3"/>
          </w:tcPr>
          <w:p>
            <w:pPr>
              <w:jc w:val="right"/>
              <w:spacing w:after="0"/>
              <w:rPr>
                <w:sz w:val="20"/>
                <w:szCs w:val="20"/>
                <w:color w:val="auto"/>
              </w:rPr>
            </w:pPr>
            <w:r>
              <w:rPr>
                <w:rFonts w:ascii="Arial" w:cs="Arial" w:eastAsia="Arial" w:hAnsi="Arial"/>
                <w:sz w:val="20"/>
                <w:szCs w:val="20"/>
                <w:color w:val="FF0000"/>
                <w:strike w:val="1"/>
                <w:w w:val="87"/>
              </w:rPr>
              <w:t>14,062,500.00</w:t>
            </w:r>
          </w:p>
        </w:tc>
        <w:tc>
          <w:tcPr>
            <w:tcW w:w="1160" w:type="dxa"/>
            <w:vAlign w:val="bottom"/>
            <w:gridSpan w:val="4"/>
          </w:tcPr>
          <w:p>
            <w:pPr>
              <w:jc w:val="center"/>
              <w:spacing w:after="0"/>
              <w:rPr>
                <w:sz w:val="20"/>
                <w:szCs w:val="20"/>
                <w:color w:val="auto"/>
              </w:rPr>
            </w:pPr>
            <w:r>
              <w:rPr>
                <w:rFonts w:ascii="Arial" w:cs="Arial" w:eastAsia="Arial" w:hAnsi="Arial"/>
                <w:sz w:val="20"/>
                <w:szCs w:val="20"/>
                <w:color w:val="0000FF"/>
                <w:w w:val="89"/>
              </w:rPr>
              <w:t>9,023,437.50</w:t>
            </w:r>
          </w:p>
        </w:tc>
        <w:tc>
          <w:tcPr>
            <w:tcW w:w="400" w:type="dxa"/>
            <w:vAlign w:val="bottom"/>
            <w:tcBorders>
              <w:right w:val="single" w:sz="8" w:color="00000A"/>
            </w:tcBorders>
          </w:tcPr>
          <w:p>
            <w:pPr>
              <w:spacing w:after="0"/>
              <w:rPr>
                <w:sz w:val="20"/>
                <w:szCs w:val="20"/>
                <w:color w:val="auto"/>
              </w:rPr>
            </w:pPr>
          </w:p>
        </w:tc>
      </w:tr>
      <w:tr>
        <w:trPr>
          <w:trHeight w:val="20"/>
        </w:trPr>
        <w:tc>
          <w:tcPr>
            <w:tcW w:w="100" w:type="dxa"/>
            <w:vAlign w:val="bottom"/>
            <w:tcBorders>
              <w:left w:val="single" w:sz="8" w:color="00000A"/>
              <w:bottom w:val="single" w:sz="8" w:color="00000A"/>
            </w:tcBorders>
          </w:tcPr>
          <w:p>
            <w:pPr>
              <w:spacing w:after="0" w:line="20" w:lineRule="exact"/>
              <w:rPr>
                <w:sz w:val="1"/>
                <w:szCs w:val="1"/>
                <w:color w:val="auto"/>
              </w:rPr>
            </w:pPr>
          </w:p>
        </w:tc>
        <w:tc>
          <w:tcPr>
            <w:tcW w:w="800" w:type="dxa"/>
            <w:vAlign w:val="bottom"/>
            <w:tcBorders>
              <w:bottom w:val="single" w:sz="8" w:color="00000A"/>
            </w:tcBorders>
          </w:tcPr>
          <w:p>
            <w:pPr>
              <w:spacing w:after="0" w:line="20" w:lineRule="exact"/>
              <w:rPr>
                <w:sz w:val="1"/>
                <w:szCs w:val="1"/>
                <w:color w:val="auto"/>
              </w:rPr>
            </w:pPr>
          </w:p>
        </w:tc>
        <w:tc>
          <w:tcPr>
            <w:tcW w:w="160" w:type="dxa"/>
            <w:vAlign w:val="bottom"/>
            <w:tcBorders>
              <w:bottom w:val="single" w:sz="8" w:color="00000A"/>
            </w:tcBorders>
          </w:tcPr>
          <w:p>
            <w:pPr>
              <w:spacing w:after="0" w:line="20" w:lineRule="exact"/>
              <w:rPr>
                <w:sz w:val="1"/>
                <w:szCs w:val="1"/>
                <w:color w:val="auto"/>
              </w:rPr>
            </w:pPr>
          </w:p>
        </w:tc>
        <w:tc>
          <w:tcPr>
            <w:tcW w:w="30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tcBorders>
          </w:tcPr>
          <w:p>
            <w:pPr>
              <w:spacing w:after="0" w:line="20" w:lineRule="exact"/>
              <w:rPr>
                <w:sz w:val="1"/>
                <w:szCs w:val="1"/>
                <w:color w:val="auto"/>
              </w:rPr>
            </w:pPr>
          </w:p>
        </w:tc>
        <w:tc>
          <w:tcPr>
            <w:tcW w:w="1760" w:type="dxa"/>
            <w:vAlign w:val="bottom"/>
            <w:tcBorders>
              <w:bottom w:val="single" w:sz="8" w:color="00000A"/>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540" w:type="dxa"/>
            <w:vAlign w:val="bottom"/>
            <w:tcBorders>
              <w:top w:val="single" w:sz="8" w:color="0000FF"/>
              <w:bottom w:val="single" w:sz="8" w:color="00000A"/>
            </w:tcBorders>
          </w:tcPr>
          <w:p>
            <w:pPr>
              <w:spacing w:after="0" w:line="20" w:lineRule="exact"/>
              <w:rPr>
                <w:sz w:val="1"/>
                <w:szCs w:val="1"/>
                <w:color w:val="auto"/>
              </w:rPr>
            </w:pPr>
          </w:p>
        </w:tc>
        <w:tc>
          <w:tcPr>
            <w:tcW w:w="560" w:type="dxa"/>
            <w:vAlign w:val="bottom"/>
            <w:tcBorders>
              <w:top w:val="single" w:sz="8" w:color="0000FF"/>
              <w:bottom w:val="single" w:sz="8" w:color="00000A"/>
            </w:tcBorders>
          </w:tcPr>
          <w:p>
            <w:pPr>
              <w:spacing w:after="0" w:line="20" w:lineRule="exact"/>
              <w:rPr>
                <w:sz w:val="1"/>
                <w:szCs w:val="1"/>
                <w:color w:val="auto"/>
              </w:rPr>
            </w:pPr>
          </w:p>
        </w:tc>
        <w:tc>
          <w:tcPr>
            <w:tcW w:w="40" w:type="dxa"/>
            <w:vAlign w:val="bottom"/>
            <w:tcBorders>
              <w:bottom w:val="single" w:sz="8" w:color="00000A"/>
            </w:tcBorders>
          </w:tcPr>
          <w:p>
            <w:pPr>
              <w:spacing w:after="0" w:line="20" w:lineRule="exact"/>
              <w:rPr>
                <w:sz w:val="1"/>
                <w:szCs w:val="1"/>
                <w:color w:val="auto"/>
              </w:rPr>
            </w:pPr>
          </w:p>
        </w:tc>
        <w:tc>
          <w:tcPr>
            <w:tcW w:w="400" w:type="dxa"/>
            <w:vAlign w:val="bottom"/>
            <w:tcBorders>
              <w:bottom w:val="single" w:sz="8" w:color="00000A"/>
              <w:right w:val="single" w:sz="8" w:color="00000A"/>
            </w:tcBorders>
          </w:tcPr>
          <w:p>
            <w:pPr>
              <w:spacing w:after="0" w:line="20" w:lineRule="exact"/>
              <w:rPr>
                <w:sz w:val="1"/>
                <w:szCs w:val="1"/>
                <w:color w:val="auto"/>
              </w:rPr>
            </w:pPr>
          </w:p>
        </w:tc>
      </w:tr>
      <w:tr>
        <w:trPr>
          <w:trHeight w:val="237"/>
        </w:trPr>
        <w:tc>
          <w:tcPr>
            <w:tcW w:w="3160" w:type="dxa"/>
            <w:vAlign w:val="bottom"/>
            <w:tcBorders>
              <w:left w:val="single" w:sz="8" w:color="00000A"/>
              <w:right w:val="single" w:sz="8" w:color="auto"/>
            </w:tcBorders>
            <w:gridSpan w:val="6"/>
          </w:tcPr>
          <w:p>
            <w:pPr>
              <w:ind w:left="100"/>
              <w:spacing w:after="0"/>
              <w:rPr>
                <w:sz w:val="20"/>
                <w:szCs w:val="20"/>
                <w:color w:val="auto"/>
              </w:rPr>
            </w:pPr>
            <w:r>
              <w:rPr>
                <w:rFonts w:ascii="Arial" w:cs="Arial" w:eastAsia="Arial" w:hAnsi="Arial"/>
                <w:sz w:val="20"/>
                <w:szCs w:val="20"/>
                <w:color w:val="auto"/>
              </w:rPr>
              <w:t>September 2018</w:t>
            </w:r>
          </w:p>
        </w:tc>
        <w:tc>
          <w:tcPr>
            <w:tcW w:w="6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gridSpan w:val="3"/>
          </w:tcPr>
          <w:p>
            <w:pPr>
              <w:jc w:val="right"/>
              <w:spacing w:after="0"/>
              <w:rPr>
                <w:sz w:val="20"/>
                <w:szCs w:val="20"/>
                <w:color w:val="auto"/>
              </w:rPr>
            </w:pPr>
            <w:r>
              <w:rPr>
                <w:rFonts w:ascii="Arial" w:cs="Arial" w:eastAsia="Arial" w:hAnsi="Arial"/>
                <w:sz w:val="20"/>
                <w:szCs w:val="20"/>
                <w:color w:val="FF0000"/>
                <w:strike w:val="1"/>
                <w:w w:val="87"/>
              </w:rPr>
              <w:t>14,062,500.00</w:t>
            </w:r>
          </w:p>
        </w:tc>
        <w:tc>
          <w:tcPr>
            <w:tcW w:w="1160" w:type="dxa"/>
            <w:vAlign w:val="bottom"/>
            <w:gridSpan w:val="4"/>
          </w:tcPr>
          <w:p>
            <w:pPr>
              <w:jc w:val="center"/>
              <w:spacing w:after="0"/>
              <w:rPr>
                <w:sz w:val="20"/>
                <w:szCs w:val="20"/>
                <w:color w:val="auto"/>
              </w:rPr>
            </w:pPr>
            <w:r>
              <w:rPr>
                <w:rFonts w:ascii="Arial" w:cs="Arial" w:eastAsia="Arial" w:hAnsi="Arial"/>
                <w:sz w:val="20"/>
                <w:szCs w:val="20"/>
                <w:color w:val="0000FF"/>
                <w:w w:val="89"/>
              </w:rPr>
              <w:t>9,023,437.50</w:t>
            </w:r>
          </w:p>
        </w:tc>
        <w:tc>
          <w:tcPr>
            <w:tcW w:w="400" w:type="dxa"/>
            <w:vAlign w:val="bottom"/>
            <w:tcBorders>
              <w:right w:val="single" w:sz="8" w:color="00000A"/>
            </w:tcBorders>
          </w:tcPr>
          <w:p>
            <w:pPr>
              <w:spacing w:after="0"/>
              <w:rPr>
                <w:sz w:val="20"/>
                <w:szCs w:val="20"/>
                <w:color w:val="auto"/>
              </w:rPr>
            </w:pPr>
          </w:p>
        </w:tc>
      </w:tr>
      <w:tr>
        <w:trPr>
          <w:trHeight w:val="20"/>
        </w:trPr>
        <w:tc>
          <w:tcPr>
            <w:tcW w:w="100" w:type="dxa"/>
            <w:vAlign w:val="bottom"/>
            <w:tcBorders>
              <w:left w:val="single" w:sz="8" w:color="00000A"/>
              <w:bottom w:val="single" w:sz="8" w:color="00000A"/>
            </w:tcBorders>
          </w:tcPr>
          <w:p>
            <w:pPr>
              <w:spacing w:after="0" w:line="20" w:lineRule="exact"/>
              <w:rPr>
                <w:sz w:val="1"/>
                <w:szCs w:val="1"/>
                <w:color w:val="auto"/>
              </w:rPr>
            </w:pPr>
          </w:p>
        </w:tc>
        <w:tc>
          <w:tcPr>
            <w:tcW w:w="800" w:type="dxa"/>
            <w:vAlign w:val="bottom"/>
            <w:tcBorders>
              <w:bottom w:val="single" w:sz="8" w:color="00000A"/>
            </w:tcBorders>
          </w:tcPr>
          <w:p>
            <w:pPr>
              <w:spacing w:after="0" w:line="20" w:lineRule="exact"/>
              <w:rPr>
                <w:sz w:val="1"/>
                <w:szCs w:val="1"/>
                <w:color w:val="auto"/>
              </w:rPr>
            </w:pPr>
          </w:p>
        </w:tc>
        <w:tc>
          <w:tcPr>
            <w:tcW w:w="160" w:type="dxa"/>
            <w:vAlign w:val="bottom"/>
            <w:tcBorders>
              <w:bottom w:val="single" w:sz="8" w:color="00000A"/>
            </w:tcBorders>
          </w:tcPr>
          <w:p>
            <w:pPr>
              <w:spacing w:after="0" w:line="20" w:lineRule="exact"/>
              <w:rPr>
                <w:sz w:val="1"/>
                <w:szCs w:val="1"/>
                <w:color w:val="auto"/>
              </w:rPr>
            </w:pPr>
          </w:p>
        </w:tc>
        <w:tc>
          <w:tcPr>
            <w:tcW w:w="30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tcBorders>
          </w:tcPr>
          <w:p>
            <w:pPr>
              <w:spacing w:after="0" w:line="20" w:lineRule="exact"/>
              <w:rPr>
                <w:sz w:val="1"/>
                <w:szCs w:val="1"/>
                <w:color w:val="auto"/>
              </w:rPr>
            </w:pPr>
          </w:p>
        </w:tc>
        <w:tc>
          <w:tcPr>
            <w:tcW w:w="1760" w:type="dxa"/>
            <w:vAlign w:val="bottom"/>
            <w:tcBorders>
              <w:bottom w:val="single" w:sz="8" w:color="00000A"/>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540" w:type="dxa"/>
            <w:vAlign w:val="bottom"/>
            <w:tcBorders>
              <w:top w:val="single" w:sz="8" w:color="0000FF"/>
              <w:bottom w:val="single" w:sz="8" w:color="00000A"/>
            </w:tcBorders>
          </w:tcPr>
          <w:p>
            <w:pPr>
              <w:spacing w:after="0" w:line="20" w:lineRule="exact"/>
              <w:rPr>
                <w:sz w:val="1"/>
                <w:szCs w:val="1"/>
                <w:color w:val="auto"/>
              </w:rPr>
            </w:pPr>
          </w:p>
        </w:tc>
        <w:tc>
          <w:tcPr>
            <w:tcW w:w="560" w:type="dxa"/>
            <w:vAlign w:val="bottom"/>
            <w:tcBorders>
              <w:top w:val="single" w:sz="8" w:color="0000FF"/>
              <w:bottom w:val="single" w:sz="8" w:color="00000A"/>
            </w:tcBorders>
          </w:tcPr>
          <w:p>
            <w:pPr>
              <w:spacing w:after="0" w:line="20" w:lineRule="exact"/>
              <w:rPr>
                <w:sz w:val="1"/>
                <w:szCs w:val="1"/>
                <w:color w:val="auto"/>
              </w:rPr>
            </w:pPr>
          </w:p>
        </w:tc>
        <w:tc>
          <w:tcPr>
            <w:tcW w:w="40" w:type="dxa"/>
            <w:vAlign w:val="bottom"/>
            <w:tcBorders>
              <w:bottom w:val="single" w:sz="8" w:color="00000A"/>
            </w:tcBorders>
          </w:tcPr>
          <w:p>
            <w:pPr>
              <w:spacing w:after="0" w:line="20" w:lineRule="exact"/>
              <w:rPr>
                <w:sz w:val="1"/>
                <w:szCs w:val="1"/>
                <w:color w:val="auto"/>
              </w:rPr>
            </w:pPr>
          </w:p>
        </w:tc>
        <w:tc>
          <w:tcPr>
            <w:tcW w:w="400" w:type="dxa"/>
            <w:vAlign w:val="bottom"/>
            <w:tcBorders>
              <w:bottom w:val="single" w:sz="8" w:color="00000A"/>
              <w:right w:val="single" w:sz="8" w:color="00000A"/>
            </w:tcBorders>
          </w:tcPr>
          <w:p>
            <w:pPr>
              <w:spacing w:after="0" w:line="20" w:lineRule="exact"/>
              <w:rPr>
                <w:sz w:val="1"/>
                <w:szCs w:val="1"/>
                <w:color w:val="auto"/>
              </w:rPr>
            </w:pPr>
          </w:p>
        </w:tc>
      </w:tr>
      <w:tr>
        <w:trPr>
          <w:trHeight w:val="237"/>
        </w:trPr>
        <w:tc>
          <w:tcPr>
            <w:tcW w:w="3160" w:type="dxa"/>
            <w:vAlign w:val="bottom"/>
            <w:tcBorders>
              <w:left w:val="single" w:sz="8" w:color="00000A"/>
              <w:right w:val="single" w:sz="8" w:color="auto"/>
            </w:tcBorders>
            <w:gridSpan w:val="6"/>
          </w:tcPr>
          <w:p>
            <w:pPr>
              <w:ind w:left="100"/>
              <w:spacing w:after="0"/>
              <w:rPr>
                <w:sz w:val="20"/>
                <w:szCs w:val="20"/>
                <w:color w:val="auto"/>
              </w:rPr>
            </w:pPr>
            <w:r>
              <w:rPr>
                <w:rFonts w:ascii="Arial" w:cs="Arial" w:eastAsia="Arial" w:hAnsi="Arial"/>
                <w:sz w:val="20"/>
                <w:szCs w:val="20"/>
                <w:color w:val="auto"/>
              </w:rPr>
              <w:t>December 2018</w:t>
            </w:r>
          </w:p>
        </w:tc>
        <w:tc>
          <w:tcPr>
            <w:tcW w:w="6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gridSpan w:val="3"/>
          </w:tcPr>
          <w:p>
            <w:pPr>
              <w:jc w:val="right"/>
              <w:spacing w:after="0"/>
              <w:rPr>
                <w:sz w:val="20"/>
                <w:szCs w:val="20"/>
                <w:color w:val="auto"/>
              </w:rPr>
            </w:pPr>
            <w:r>
              <w:rPr>
                <w:rFonts w:ascii="Arial" w:cs="Arial" w:eastAsia="Arial" w:hAnsi="Arial"/>
                <w:sz w:val="20"/>
                <w:szCs w:val="20"/>
                <w:color w:val="FF0000"/>
                <w:strike w:val="1"/>
                <w:w w:val="87"/>
              </w:rPr>
              <w:t>18,750,000.00</w:t>
            </w:r>
          </w:p>
        </w:tc>
        <w:tc>
          <w:tcPr>
            <w:tcW w:w="1160" w:type="dxa"/>
            <w:vAlign w:val="bottom"/>
            <w:gridSpan w:val="4"/>
          </w:tcPr>
          <w:p>
            <w:pPr>
              <w:jc w:val="center"/>
              <w:spacing w:after="0"/>
              <w:rPr>
                <w:sz w:val="20"/>
                <w:szCs w:val="20"/>
                <w:color w:val="auto"/>
              </w:rPr>
            </w:pPr>
            <w:r>
              <w:rPr>
                <w:rFonts w:ascii="Arial" w:cs="Arial" w:eastAsia="Arial" w:hAnsi="Arial"/>
                <w:sz w:val="20"/>
                <w:szCs w:val="20"/>
                <w:color w:val="0000FF"/>
                <w:w w:val="89"/>
              </w:rPr>
              <w:t>13,535,156.25</w:t>
            </w:r>
          </w:p>
        </w:tc>
        <w:tc>
          <w:tcPr>
            <w:tcW w:w="400" w:type="dxa"/>
            <w:vAlign w:val="bottom"/>
            <w:tcBorders>
              <w:right w:val="single" w:sz="8" w:color="00000A"/>
            </w:tcBorders>
          </w:tcPr>
          <w:p>
            <w:pPr>
              <w:spacing w:after="0"/>
              <w:rPr>
                <w:sz w:val="20"/>
                <w:szCs w:val="20"/>
                <w:color w:val="auto"/>
              </w:rPr>
            </w:pPr>
          </w:p>
        </w:tc>
      </w:tr>
      <w:tr>
        <w:trPr>
          <w:trHeight w:val="20"/>
        </w:trPr>
        <w:tc>
          <w:tcPr>
            <w:tcW w:w="100" w:type="dxa"/>
            <w:vAlign w:val="bottom"/>
            <w:tcBorders>
              <w:left w:val="single" w:sz="8" w:color="00000A"/>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540" w:type="dxa"/>
            <w:vAlign w:val="bottom"/>
            <w:tcBorders>
              <w:top w:val="single" w:sz="8" w:color="0000FF"/>
              <w:bottom w:val="single" w:sz="8" w:color="00000A"/>
            </w:tcBorders>
          </w:tcPr>
          <w:p>
            <w:pPr>
              <w:spacing w:after="0" w:line="20" w:lineRule="exact"/>
              <w:rPr>
                <w:sz w:val="1"/>
                <w:szCs w:val="1"/>
                <w:color w:val="auto"/>
              </w:rPr>
            </w:pPr>
          </w:p>
        </w:tc>
        <w:tc>
          <w:tcPr>
            <w:tcW w:w="560" w:type="dxa"/>
            <w:vAlign w:val="bottom"/>
            <w:tcBorders>
              <w:top w:val="single" w:sz="8" w:color="0000FF"/>
              <w:bottom w:val="single" w:sz="8" w:color="00000A"/>
            </w:tcBorders>
          </w:tcPr>
          <w:p>
            <w:pPr>
              <w:spacing w:after="0" w:line="20" w:lineRule="exact"/>
              <w:rPr>
                <w:sz w:val="1"/>
                <w:szCs w:val="1"/>
                <w:color w:val="auto"/>
              </w:rPr>
            </w:pPr>
          </w:p>
        </w:tc>
        <w:tc>
          <w:tcPr>
            <w:tcW w:w="40" w:type="dxa"/>
            <w:vAlign w:val="bottom"/>
            <w:tcBorders>
              <w:top w:val="single" w:sz="8" w:color="0000FF"/>
              <w:bottom w:val="single" w:sz="8" w:color="00000A"/>
            </w:tcBorders>
          </w:tcPr>
          <w:p>
            <w:pPr>
              <w:spacing w:after="0" w:line="20" w:lineRule="exact"/>
              <w:rPr>
                <w:sz w:val="1"/>
                <w:szCs w:val="1"/>
                <w:color w:val="auto"/>
              </w:rPr>
            </w:pPr>
          </w:p>
        </w:tc>
        <w:tc>
          <w:tcPr>
            <w:tcW w:w="400" w:type="dxa"/>
            <w:vAlign w:val="bottom"/>
            <w:tcBorders>
              <w:bottom w:val="single" w:sz="8" w:color="00000A"/>
              <w:right w:val="single" w:sz="8" w:color="00000A"/>
            </w:tcBorders>
          </w:tcPr>
          <w:p>
            <w:pPr>
              <w:spacing w:after="0" w:line="20" w:lineRule="exact"/>
              <w:rPr>
                <w:sz w:val="1"/>
                <w:szCs w:val="1"/>
                <w:color w:val="auto"/>
              </w:rPr>
            </w:pPr>
          </w:p>
        </w:tc>
      </w:tr>
      <w:tr>
        <w:trPr>
          <w:trHeight w:val="237"/>
        </w:trPr>
        <w:tc>
          <w:tcPr>
            <w:tcW w:w="3160" w:type="dxa"/>
            <w:vAlign w:val="bottom"/>
            <w:tcBorders>
              <w:left w:val="single" w:sz="8" w:color="00000A"/>
              <w:right w:val="single" w:sz="8" w:color="auto"/>
            </w:tcBorders>
            <w:gridSpan w:val="6"/>
          </w:tcPr>
          <w:p>
            <w:pPr>
              <w:ind w:left="100"/>
              <w:spacing w:after="0"/>
              <w:rPr>
                <w:sz w:val="20"/>
                <w:szCs w:val="20"/>
                <w:color w:val="auto"/>
              </w:rPr>
            </w:pPr>
            <w:r>
              <w:rPr>
                <w:rFonts w:ascii="Arial" w:cs="Arial" w:eastAsia="Arial" w:hAnsi="Arial"/>
                <w:sz w:val="20"/>
                <w:szCs w:val="20"/>
                <w:color w:val="auto"/>
              </w:rPr>
              <w:t>March 2019</w:t>
            </w:r>
          </w:p>
        </w:tc>
        <w:tc>
          <w:tcPr>
            <w:tcW w:w="6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gridSpan w:val="3"/>
          </w:tcPr>
          <w:p>
            <w:pPr>
              <w:jc w:val="right"/>
              <w:spacing w:after="0"/>
              <w:rPr>
                <w:sz w:val="20"/>
                <w:szCs w:val="20"/>
                <w:color w:val="auto"/>
              </w:rPr>
            </w:pPr>
            <w:r>
              <w:rPr>
                <w:rFonts w:ascii="Arial" w:cs="Arial" w:eastAsia="Arial" w:hAnsi="Arial"/>
                <w:sz w:val="20"/>
                <w:szCs w:val="20"/>
                <w:color w:val="FF0000"/>
                <w:strike w:val="1"/>
                <w:w w:val="87"/>
              </w:rPr>
              <w:t>18,750,000.00</w:t>
            </w:r>
          </w:p>
        </w:tc>
        <w:tc>
          <w:tcPr>
            <w:tcW w:w="1160" w:type="dxa"/>
            <w:vAlign w:val="bottom"/>
            <w:gridSpan w:val="4"/>
          </w:tcPr>
          <w:p>
            <w:pPr>
              <w:jc w:val="center"/>
              <w:spacing w:after="0"/>
              <w:rPr>
                <w:sz w:val="20"/>
                <w:szCs w:val="20"/>
                <w:color w:val="auto"/>
              </w:rPr>
            </w:pPr>
            <w:r>
              <w:rPr>
                <w:rFonts w:ascii="Arial" w:cs="Arial" w:eastAsia="Arial" w:hAnsi="Arial"/>
                <w:sz w:val="20"/>
                <w:szCs w:val="20"/>
                <w:color w:val="0000FF"/>
                <w:w w:val="89"/>
              </w:rPr>
              <w:t>13,535,156.25</w:t>
            </w:r>
          </w:p>
        </w:tc>
        <w:tc>
          <w:tcPr>
            <w:tcW w:w="400" w:type="dxa"/>
            <w:vAlign w:val="bottom"/>
            <w:tcBorders>
              <w:right w:val="single" w:sz="8" w:color="00000A"/>
            </w:tcBorders>
          </w:tcPr>
          <w:p>
            <w:pPr>
              <w:spacing w:after="0"/>
              <w:rPr>
                <w:sz w:val="20"/>
                <w:szCs w:val="20"/>
                <w:color w:val="auto"/>
              </w:rPr>
            </w:pPr>
          </w:p>
        </w:tc>
      </w:tr>
      <w:tr>
        <w:trPr>
          <w:trHeight w:val="20"/>
        </w:trPr>
        <w:tc>
          <w:tcPr>
            <w:tcW w:w="100" w:type="dxa"/>
            <w:vAlign w:val="bottom"/>
            <w:tcBorders>
              <w:left w:val="single" w:sz="8" w:color="00000A"/>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540" w:type="dxa"/>
            <w:vAlign w:val="bottom"/>
            <w:tcBorders>
              <w:top w:val="single" w:sz="8" w:color="0000FF"/>
              <w:bottom w:val="single" w:sz="8" w:color="00000A"/>
            </w:tcBorders>
          </w:tcPr>
          <w:p>
            <w:pPr>
              <w:spacing w:after="0" w:line="20" w:lineRule="exact"/>
              <w:rPr>
                <w:sz w:val="1"/>
                <w:szCs w:val="1"/>
                <w:color w:val="auto"/>
              </w:rPr>
            </w:pPr>
          </w:p>
        </w:tc>
        <w:tc>
          <w:tcPr>
            <w:tcW w:w="560" w:type="dxa"/>
            <w:vAlign w:val="bottom"/>
            <w:tcBorders>
              <w:top w:val="single" w:sz="8" w:color="0000FF"/>
              <w:bottom w:val="single" w:sz="8" w:color="00000A"/>
            </w:tcBorders>
          </w:tcPr>
          <w:p>
            <w:pPr>
              <w:spacing w:after="0" w:line="20" w:lineRule="exact"/>
              <w:rPr>
                <w:sz w:val="1"/>
                <w:szCs w:val="1"/>
                <w:color w:val="auto"/>
              </w:rPr>
            </w:pPr>
          </w:p>
        </w:tc>
        <w:tc>
          <w:tcPr>
            <w:tcW w:w="40" w:type="dxa"/>
            <w:vAlign w:val="bottom"/>
            <w:tcBorders>
              <w:top w:val="single" w:sz="8" w:color="0000FF"/>
              <w:bottom w:val="single" w:sz="8" w:color="00000A"/>
            </w:tcBorders>
          </w:tcPr>
          <w:p>
            <w:pPr>
              <w:spacing w:after="0" w:line="20" w:lineRule="exact"/>
              <w:rPr>
                <w:sz w:val="1"/>
                <w:szCs w:val="1"/>
                <w:color w:val="auto"/>
              </w:rPr>
            </w:pPr>
          </w:p>
        </w:tc>
        <w:tc>
          <w:tcPr>
            <w:tcW w:w="400" w:type="dxa"/>
            <w:vAlign w:val="bottom"/>
            <w:tcBorders>
              <w:bottom w:val="single" w:sz="8" w:color="00000A"/>
              <w:right w:val="single" w:sz="8" w:color="00000A"/>
            </w:tcBorders>
          </w:tcPr>
          <w:p>
            <w:pPr>
              <w:spacing w:after="0" w:line="20" w:lineRule="exact"/>
              <w:rPr>
                <w:sz w:val="1"/>
                <w:szCs w:val="1"/>
                <w:color w:val="auto"/>
              </w:rPr>
            </w:pPr>
          </w:p>
        </w:tc>
      </w:tr>
      <w:tr>
        <w:trPr>
          <w:trHeight w:val="237"/>
        </w:trPr>
        <w:tc>
          <w:tcPr>
            <w:tcW w:w="3160" w:type="dxa"/>
            <w:vAlign w:val="bottom"/>
            <w:tcBorders>
              <w:left w:val="single" w:sz="8" w:color="00000A"/>
              <w:right w:val="single" w:sz="8" w:color="auto"/>
            </w:tcBorders>
            <w:gridSpan w:val="6"/>
          </w:tcPr>
          <w:p>
            <w:pPr>
              <w:ind w:left="100"/>
              <w:spacing w:after="0"/>
              <w:rPr>
                <w:sz w:val="20"/>
                <w:szCs w:val="20"/>
                <w:color w:val="auto"/>
              </w:rPr>
            </w:pPr>
            <w:r>
              <w:rPr>
                <w:rFonts w:ascii="Arial" w:cs="Arial" w:eastAsia="Arial" w:hAnsi="Arial"/>
                <w:sz w:val="20"/>
                <w:szCs w:val="20"/>
                <w:color w:val="auto"/>
              </w:rPr>
              <w:t>June 2019</w:t>
            </w:r>
          </w:p>
        </w:tc>
        <w:tc>
          <w:tcPr>
            <w:tcW w:w="6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gridSpan w:val="3"/>
          </w:tcPr>
          <w:p>
            <w:pPr>
              <w:jc w:val="right"/>
              <w:spacing w:after="0"/>
              <w:rPr>
                <w:sz w:val="20"/>
                <w:szCs w:val="20"/>
                <w:color w:val="auto"/>
              </w:rPr>
            </w:pPr>
            <w:r>
              <w:rPr>
                <w:rFonts w:ascii="Arial" w:cs="Arial" w:eastAsia="Arial" w:hAnsi="Arial"/>
                <w:sz w:val="20"/>
                <w:szCs w:val="20"/>
                <w:color w:val="FF0000"/>
                <w:strike w:val="1"/>
                <w:w w:val="87"/>
              </w:rPr>
              <w:t>18,750,000.00</w:t>
            </w:r>
          </w:p>
        </w:tc>
        <w:tc>
          <w:tcPr>
            <w:tcW w:w="1160" w:type="dxa"/>
            <w:vAlign w:val="bottom"/>
            <w:gridSpan w:val="4"/>
          </w:tcPr>
          <w:p>
            <w:pPr>
              <w:jc w:val="center"/>
              <w:spacing w:after="0"/>
              <w:rPr>
                <w:sz w:val="20"/>
                <w:szCs w:val="20"/>
                <w:color w:val="auto"/>
              </w:rPr>
            </w:pPr>
            <w:r>
              <w:rPr>
                <w:rFonts w:ascii="Arial" w:cs="Arial" w:eastAsia="Arial" w:hAnsi="Arial"/>
                <w:sz w:val="20"/>
                <w:szCs w:val="20"/>
                <w:color w:val="0000FF"/>
                <w:w w:val="89"/>
              </w:rPr>
              <w:t>13,535,156.25</w:t>
            </w:r>
          </w:p>
        </w:tc>
        <w:tc>
          <w:tcPr>
            <w:tcW w:w="400" w:type="dxa"/>
            <w:vAlign w:val="bottom"/>
            <w:tcBorders>
              <w:right w:val="single" w:sz="8" w:color="00000A"/>
            </w:tcBorders>
          </w:tcPr>
          <w:p>
            <w:pPr>
              <w:spacing w:after="0"/>
              <w:rPr>
                <w:sz w:val="20"/>
                <w:szCs w:val="20"/>
                <w:color w:val="auto"/>
              </w:rPr>
            </w:pPr>
          </w:p>
        </w:tc>
      </w:tr>
      <w:tr>
        <w:trPr>
          <w:trHeight w:val="20"/>
        </w:trPr>
        <w:tc>
          <w:tcPr>
            <w:tcW w:w="100" w:type="dxa"/>
            <w:vAlign w:val="bottom"/>
            <w:tcBorders>
              <w:left w:val="single" w:sz="8" w:color="00000A"/>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540" w:type="dxa"/>
            <w:vAlign w:val="bottom"/>
            <w:tcBorders>
              <w:top w:val="single" w:sz="8" w:color="0000FF"/>
              <w:bottom w:val="single" w:sz="8" w:color="00000A"/>
            </w:tcBorders>
          </w:tcPr>
          <w:p>
            <w:pPr>
              <w:spacing w:after="0" w:line="20" w:lineRule="exact"/>
              <w:rPr>
                <w:sz w:val="1"/>
                <w:szCs w:val="1"/>
                <w:color w:val="auto"/>
              </w:rPr>
            </w:pPr>
          </w:p>
        </w:tc>
        <w:tc>
          <w:tcPr>
            <w:tcW w:w="560" w:type="dxa"/>
            <w:vAlign w:val="bottom"/>
            <w:tcBorders>
              <w:top w:val="single" w:sz="8" w:color="0000FF"/>
              <w:bottom w:val="single" w:sz="8" w:color="00000A"/>
            </w:tcBorders>
          </w:tcPr>
          <w:p>
            <w:pPr>
              <w:spacing w:after="0" w:line="20" w:lineRule="exact"/>
              <w:rPr>
                <w:sz w:val="1"/>
                <w:szCs w:val="1"/>
                <w:color w:val="auto"/>
              </w:rPr>
            </w:pPr>
          </w:p>
        </w:tc>
        <w:tc>
          <w:tcPr>
            <w:tcW w:w="40" w:type="dxa"/>
            <w:vAlign w:val="bottom"/>
            <w:tcBorders>
              <w:top w:val="single" w:sz="8" w:color="0000FF"/>
              <w:bottom w:val="single" w:sz="8" w:color="00000A"/>
            </w:tcBorders>
          </w:tcPr>
          <w:p>
            <w:pPr>
              <w:spacing w:after="0" w:line="20" w:lineRule="exact"/>
              <w:rPr>
                <w:sz w:val="1"/>
                <w:szCs w:val="1"/>
                <w:color w:val="auto"/>
              </w:rPr>
            </w:pPr>
          </w:p>
        </w:tc>
        <w:tc>
          <w:tcPr>
            <w:tcW w:w="400" w:type="dxa"/>
            <w:vAlign w:val="bottom"/>
            <w:tcBorders>
              <w:bottom w:val="single" w:sz="8" w:color="00000A"/>
              <w:right w:val="single" w:sz="8" w:color="00000A"/>
            </w:tcBorders>
          </w:tcPr>
          <w:p>
            <w:pPr>
              <w:spacing w:after="0" w:line="20" w:lineRule="exact"/>
              <w:rPr>
                <w:sz w:val="1"/>
                <w:szCs w:val="1"/>
                <w:color w:val="auto"/>
              </w:rPr>
            </w:pPr>
          </w:p>
        </w:tc>
      </w:tr>
      <w:tr>
        <w:trPr>
          <w:trHeight w:val="237"/>
        </w:trPr>
        <w:tc>
          <w:tcPr>
            <w:tcW w:w="3160" w:type="dxa"/>
            <w:vAlign w:val="bottom"/>
            <w:tcBorders>
              <w:left w:val="single" w:sz="8" w:color="00000A"/>
              <w:right w:val="single" w:sz="8" w:color="auto"/>
            </w:tcBorders>
            <w:gridSpan w:val="6"/>
          </w:tcPr>
          <w:p>
            <w:pPr>
              <w:ind w:left="100"/>
              <w:spacing w:after="0"/>
              <w:rPr>
                <w:sz w:val="20"/>
                <w:szCs w:val="20"/>
                <w:color w:val="auto"/>
              </w:rPr>
            </w:pPr>
            <w:r>
              <w:rPr>
                <w:rFonts w:ascii="Arial" w:cs="Arial" w:eastAsia="Arial" w:hAnsi="Arial"/>
                <w:sz w:val="20"/>
                <w:szCs w:val="20"/>
                <w:color w:val="auto"/>
              </w:rPr>
              <w:t>September 2019</w:t>
            </w:r>
          </w:p>
        </w:tc>
        <w:tc>
          <w:tcPr>
            <w:tcW w:w="6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gridSpan w:val="3"/>
          </w:tcPr>
          <w:p>
            <w:pPr>
              <w:jc w:val="right"/>
              <w:spacing w:after="0"/>
              <w:rPr>
                <w:sz w:val="20"/>
                <w:szCs w:val="20"/>
                <w:color w:val="auto"/>
              </w:rPr>
            </w:pPr>
            <w:r>
              <w:rPr>
                <w:rFonts w:ascii="Arial" w:cs="Arial" w:eastAsia="Arial" w:hAnsi="Arial"/>
                <w:sz w:val="20"/>
                <w:szCs w:val="20"/>
                <w:color w:val="FF0000"/>
                <w:strike w:val="1"/>
                <w:w w:val="87"/>
              </w:rPr>
              <w:t>18,750,000.00</w:t>
            </w:r>
          </w:p>
        </w:tc>
        <w:tc>
          <w:tcPr>
            <w:tcW w:w="1160" w:type="dxa"/>
            <w:vAlign w:val="bottom"/>
            <w:gridSpan w:val="4"/>
          </w:tcPr>
          <w:p>
            <w:pPr>
              <w:jc w:val="center"/>
              <w:spacing w:after="0"/>
              <w:rPr>
                <w:sz w:val="20"/>
                <w:szCs w:val="20"/>
                <w:color w:val="auto"/>
              </w:rPr>
            </w:pPr>
            <w:r>
              <w:rPr>
                <w:rFonts w:ascii="Arial" w:cs="Arial" w:eastAsia="Arial" w:hAnsi="Arial"/>
                <w:sz w:val="20"/>
                <w:szCs w:val="20"/>
                <w:color w:val="0000FF"/>
                <w:w w:val="89"/>
              </w:rPr>
              <w:t>13,535,156.25</w:t>
            </w:r>
          </w:p>
        </w:tc>
        <w:tc>
          <w:tcPr>
            <w:tcW w:w="400" w:type="dxa"/>
            <w:vAlign w:val="bottom"/>
            <w:tcBorders>
              <w:right w:val="single" w:sz="8" w:color="00000A"/>
            </w:tcBorders>
          </w:tcPr>
          <w:p>
            <w:pPr>
              <w:spacing w:after="0"/>
              <w:rPr>
                <w:sz w:val="20"/>
                <w:szCs w:val="20"/>
                <w:color w:val="auto"/>
              </w:rPr>
            </w:pPr>
          </w:p>
        </w:tc>
      </w:tr>
      <w:tr>
        <w:trPr>
          <w:trHeight w:val="20"/>
        </w:trPr>
        <w:tc>
          <w:tcPr>
            <w:tcW w:w="100" w:type="dxa"/>
            <w:vAlign w:val="bottom"/>
            <w:tcBorders>
              <w:left w:val="single" w:sz="8" w:color="00000A"/>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540" w:type="dxa"/>
            <w:vAlign w:val="bottom"/>
            <w:tcBorders>
              <w:top w:val="single" w:sz="8" w:color="0000FF"/>
              <w:bottom w:val="single" w:sz="8" w:color="00000A"/>
            </w:tcBorders>
          </w:tcPr>
          <w:p>
            <w:pPr>
              <w:spacing w:after="0" w:line="20" w:lineRule="exact"/>
              <w:rPr>
                <w:sz w:val="1"/>
                <w:szCs w:val="1"/>
                <w:color w:val="auto"/>
              </w:rPr>
            </w:pPr>
          </w:p>
        </w:tc>
        <w:tc>
          <w:tcPr>
            <w:tcW w:w="560" w:type="dxa"/>
            <w:vAlign w:val="bottom"/>
            <w:tcBorders>
              <w:top w:val="single" w:sz="8" w:color="0000FF"/>
              <w:bottom w:val="single" w:sz="8" w:color="00000A"/>
            </w:tcBorders>
          </w:tcPr>
          <w:p>
            <w:pPr>
              <w:spacing w:after="0" w:line="20" w:lineRule="exact"/>
              <w:rPr>
                <w:sz w:val="1"/>
                <w:szCs w:val="1"/>
                <w:color w:val="auto"/>
              </w:rPr>
            </w:pPr>
          </w:p>
        </w:tc>
        <w:tc>
          <w:tcPr>
            <w:tcW w:w="40" w:type="dxa"/>
            <w:vAlign w:val="bottom"/>
            <w:tcBorders>
              <w:top w:val="single" w:sz="8" w:color="0000FF"/>
              <w:bottom w:val="single" w:sz="8" w:color="00000A"/>
            </w:tcBorders>
          </w:tcPr>
          <w:p>
            <w:pPr>
              <w:spacing w:after="0" w:line="20" w:lineRule="exact"/>
              <w:rPr>
                <w:sz w:val="1"/>
                <w:szCs w:val="1"/>
                <w:color w:val="auto"/>
              </w:rPr>
            </w:pPr>
          </w:p>
        </w:tc>
        <w:tc>
          <w:tcPr>
            <w:tcW w:w="400" w:type="dxa"/>
            <w:vAlign w:val="bottom"/>
            <w:tcBorders>
              <w:bottom w:val="single" w:sz="8" w:color="00000A"/>
              <w:right w:val="single" w:sz="8" w:color="00000A"/>
            </w:tcBorders>
          </w:tcPr>
          <w:p>
            <w:pPr>
              <w:spacing w:after="0" w:line="20" w:lineRule="exact"/>
              <w:rPr>
                <w:sz w:val="1"/>
                <w:szCs w:val="1"/>
                <w:color w:val="auto"/>
              </w:rPr>
            </w:pPr>
          </w:p>
        </w:tc>
      </w:tr>
      <w:tr>
        <w:trPr>
          <w:trHeight w:val="237"/>
        </w:trPr>
        <w:tc>
          <w:tcPr>
            <w:tcW w:w="3160" w:type="dxa"/>
            <w:vAlign w:val="bottom"/>
            <w:tcBorders>
              <w:left w:val="single" w:sz="8" w:color="00000A"/>
              <w:right w:val="single" w:sz="8" w:color="auto"/>
            </w:tcBorders>
            <w:gridSpan w:val="6"/>
          </w:tcPr>
          <w:p>
            <w:pPr>
              <w:ind w:left="100"/>
              <w:spacing w:after="0"/>
              <w:rPr>
                <w:sz w:val="20"/>
                <w:szCs w:val="20"/>
                <w:color w:val="auto"/>
              </w:rPr>
            </w:pPr>
            <w:r>
              <w:rPr>
                <w:rFonts w:ascii="Arial" w:cs="Arial" w:eastAsia="Arial" w:hAnsi="Arial"/>
                <w:sz w:val="20"/>
                <w:szCs w:val="20"/>
                <w:color w:val="auto"/>
              </w:rPr>
              <w:t>December 2019</w:t>
            </w:r>
          </w:p>
        </w:tc>
        <w:tc>
          <w:tcPr>
            <w:tcW w:w="6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gridSpan w:val="3"/>
          </w:tcPr>
          <w:p>
            <w:pPr>
              <w:jc w:val="right"/>
              <w:spacing w:after="0"/>
              <w:rPr>
                <w:sz w:val="20"/>
                <w:szCs w:val="20"/>
                <w:color w:val="auto"/>
              </w:rPr>
            </w:pPr>
            <w:r>
              <w:rPr>
                <w:rFonts w:ascii="Arial" w:cs="Arial" w:eastAsia="Arial" w:hAnsi="Arial"/>
                <w:sz w:val="20"/>
                <w:szCs w:val="20"/>
                <w:color w:val="FF0000"/>
                <w:strike w:val="1"/>
                <w:w w:val="87"/>
              </w:rPr>
              <w:t>23,437,500.00</w:t>
            </w:r>
          </w:p>
        </w:tc>
        <w:tc>
          <w:tcPr>
            <w:tcW w:w="1160" w:type="dxa"/>
            <w:vAlign w:val="bottom"/>
            <w:gridSpan w:val="4"/>
          </w:tcPr>
          <w:p>
            <w:pPr>
              <w:jc w:val="center"/>
              <w:spacing w:after="0"/>
              <w:rPr>
                <w:sz w:val="20"/>
                <w:szCs w:val="20"/>
                <w:color w:val="auto"/>
              </w:rPr>
            </w:pPr>
            <w:r>
              <w:rPr>
                <w:rFonts w:ascii="Arial" w:cs="Arial" w:eastAsia="Arial" w:hAnsi="Arial"/>
                <w:sz w:val="20"/>
                <w:szCs w:val="20"/>
                <w:color w:val="0000FF"/>
                <w:w w:val="89"/>
              </w:rPr>
              <w:t>18,046,875.00</w:t>
            </w:r>
          </w:p>
        </w:tc>
        <w:tc>
          <w:tcPr>
            <w:tcW w:w="400" w:type="dxa"/>
            <w:vAlign w:val="bottom"/>
            <w:tcBorders>
              <w:right w:val="single" w:sz="8" w:color="00000A"/>
            </w:tcBorders>
          </w:tcPr>
          <w:p>
            <w:pPr>
              <w:spacing w:after="0"/>
              <w:rPr>
                <w:sz w:val="20"/>
                <w:szCs w:val="20"/>
                <w:color w:val="auto"/>
              </w:rPr>
            </w:pPr>
          </w:p>
        </w:tc>
      </w:tr>
      <w:tr>
        <w:trPr>
          <w:trHeight w:val="20"/>
        </w:trPr>
        <w:tc>
          <w:tcPr>
            <w:tcW w:w="100" w:type="dxa"/>
            <w:vAlign w:val="bottom"/>
            <w:tcBorders>
              <w:left w:val="single" w:sz="8" w:color="00000A"/>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540" w:type="dxa"/>
            <w:vAlign w:val="bottom"/>
            <w:tcBorders>
              <w:top w:val="single" w:sz="8" w:color="0000FF"/>
              <w:bottom w:val="single" w:sz="8" w:color="00000A"/>
            </w:tcBorders>
          </w:tcPr>
          <w:p>
            <w:pPr>
              <w:spacing w:after="0" w:line="20" w:lineRule="exact"/>
              <w:rPr>
                <w:sz w:val="1"/>
                <w:szCs w:val="1"/>
                <w:color w:val="auto"/>
              </w:rPr>
            </w:pPr>
          </w:p>
        </w:tc>
        <w:tc>
          <w:tcPr>
            <w:tcW w:w="560" w:type="dxa"/>
            <w:vAlign w:val="bottom"/>
            <w:tcBorders>
              <w:top w:val="single" w:sz="8" w:color="0000FF"/>
              <w:bottom w:val="single" w:sz="8" w:color="00000A"/>
            </w:tcBorders>
          </w:tcPr>
          <w:p>
            <w:pPr>
              <w:spacing w:after="0" w:line="20" w:lineRule="exact"/>
              <w:rPr>
                <w:sz w:val="1"/>
                <w:szCs w:val="1"/>
                <w:color w:val="auto"/>
              </w:rPr>
            </w:pPr>
          </w:p>
        </w:tc>
        <w:tc>
          <w:tcPr>
            <w:tcW w:w="40" w:type="dxa"/>
            <w:vAlign w:val="bottom"/>
            <w:tcBorders>
              <w:top w:val="single" w:sz="8" w:color="0000FF"/>
              <w:bottom w:val="single" w:sz="8" w:color="00000A"/>
            </w:tcBorders>
          </w:tcPr>
          <w:p>
            <w:pPr>
              <w:spacing w:after="0" w:line="20" w:lineRule="exact"/>
              <w:rPr>
                <w:sz w:val="1"/>
                <w:szCs w:val="1"/>
                <w:color w:val="auto"/>
              </w:rPr>
            </w:pPr>
          </w:p>
        </w:tc>
        <w:tc>
          <w:tcPr>
            <w:tcW w:w="400" w:type="dxa"/>
            <w:vAlign w:val="bottom"/>
            <w:tcBorders>
              <w:bottom w:val="single" w:sz="8" w:color="00000A"/>
              <w:right w:val="single" w:sz="8" w:color="00000A"/>
            </w:tcBorders>
          </w:tcPr>
          <w:p>
            <w:pPr>
              <w:spacing w:after="0" w:line="20" w:lineRule="exact"/>
              <w:rPr>
                <w:sz w:val="1"/>
                <w:szCs w:val="1"/>
                <w:color w:val="auto"/>
              </w:rPr>
            </w:pPr>
          </w:p>
        </w:tc>
      </w:tr>
      <w:tr>
        <w:trPr>
          <w:trHeight w:val="237"/>
        </w:trPr>
        <w:tc>
          <w:tcPr>
            <w:tcW w:w="3160" w:type="dxa"/>
            <w:vAlign w:val="bottom"/>
            <w:tcBorders>
              <w:left w:val="single" w:sz="8" w:color="00000A"/>
              <w:right w:val="single" w:sz="8" w:color="auto"/>
            </w:tcBorders>
            <w:gridSpan w:val="6"/>
          </w:tcPr>
          <w:p>
            <w:pPr>
              <w:ind w:left="100"/>
              <w:spacing w:after="0"/>
              <w:rPr>
                <w:sz w:val="20"/>
                <w:szCs w:val="20"/>
                <w:color w:val="auto"/>
              </w:rPr>
            </w:pPr>
            <w:r>
              <w:rPr>
                <w:rFonts w:ascii="Arial" w:cs="Arial" w:eastAsia="Arial" w:hAnsi="Arial"/>
                <w:sz w:val="20"/>
                <w:szCs w:val="20"/>
                <w:color w:val="auto"/>
              </w:rPr>
              <w:t>March 2020</w:t>
            </w:r>
          </w:p>
        </w:tc>
        <w:tc>
          <w:tcPr>
            <w:tcW w:w="6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gridSpan w:val="3"/>
          </w:tcPr>
          <w:p>
            <w:pPr>
              <w:jc w:val="right"/>
              <w:spacing w:after="0"/>
              <w:rPr>
                <w:sz w:val="20"/>
                <w:szCs w:val="20"/>
                <w:color w:val="auto"/>
              </w:rPr>
            </w:pPr>
            <w:r>
              <w:rPr>
                <w:rFonts w:ascii="Arial" w:cs="Arial" w:eastAsia="Arial" w:hAnsi="Arial"/>
                <w:sz w:val="20"/>
                <w:szCs w:val="20"/>
                <w:color w:val="FF0000"/>
                <w:strike w:val="1"/>
                <w:w w:val="87"/>
              </w:rPr>
              <w:t>23,437,500.00</w:t>
            </w:r>
          </w:p>
        </w:tc>
        <w:tc>
          <w:tcPr>
            <w:tcW w:w="1160" w:type="dxa"/>
            <w:vAlign w:val="bottom"/>
            <w:gridSpan w:val="4"/>
          </w:tcPr>
          <w:p>
            <w:pPr>
              <w:jc w:val="center"/>
              <w:spacing w:after="0"/>
              <w:rPr>
                <w:sz w:val="20"/>
                <w:szCs w:val="20"/>
                <w:color w:val="auto"/>
              </w:rPr>
            </w:pPr>
            <w:r>
              <w:rPr>
                <w:rFonts w:ascii="Arial" w:cs="Arial" w:eastAsia="Arial" w:hAnsi="Arial"/>
                <w:sz w:val="20"/>
                <w:szCs w:val="20"/>
                <w:color w:val="0000FF"/>
                <w:w w:val="89"/>
              </w:rPr>
              <w:t>18,046,875.00</w:t>
            </w:r>
          </w:p>
        </w:tc>
        <w:tc>
          <w:tcPr>
            <w:tcW w:w="400" w:type="dxa"/>
            <w:vAlign w:val="bottom"/>
            <w:tcBorders>
              <w:right w:val="single" w:sz="8" w:color="00000A"/>
            </w:tcBorders>
          </w:tcPr>
          <w:p>
            <w:pPr>
              <w:spacing w:after="0"/>
              <w:rPr>
                <w:sz w:val="20"/>
                <w:szCs w:val="20"/>
                <w:color w:val="auto"/>
              </w:rPr>
            </w:pPr>
          </w:p>
        </w:tc>
      </w:tr>
      <w:tr>
        <w:trPr>
          <w:trHeight w:val="20"/>
        </w:trPr>
        <w:tc>
          <w:tcPr>
            <w:tcW w:w="100" w:type="dxa"/>
            <w:vAlign w:val="bottom"/>
            <w:tcBorders>
              <w:left w:val="single" w:sz="8" w:color="00000A"/>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540" w:type="dxa"/>
            <w:vAlign w:val="bottom"/>
            <w:tcBorders>
              <w:top w:val="single" w:sz="8" w:color="0000FF"/>
              <w:bottom w:val="single" w:sz="8" w:color="00000A"/>
            </w:tcBorders>
          </w:tcPr>
          <w:p>
            <w:pPr>
              <w:spacing w:after="0" w:line="20" w:lineRule="exact"/>
              <w:rPr>
                <w:sz w:val="1"/>
                <w:szCs w:val="1"/>
                <w:color w:val="auto"/>
              </w:rPr>
            </w:pPr>
          </w:p>
        </w:tc>
        <w:tc>
          <w:tcPr>
            <w:tcW w:w="560" w:type="dxa"/>
            <w:vAlign w:val="bottom"/>
            <w:tcBorders>
              <w:top w:val="single" w:sz="8" w:color="0000FF"/>
              <w:bottom w:val="single" w:sz="8" w:color="00000A"/>
            </w:tcBorders>
          </w:tcPr>
          <w:p>
            <w:pPr>
              <w:spacing w:after="0" w:line="20" w:lineRule="exact"/>
              <w:rPr>
                <w:sz w:val="1"/>
                <w:szCs w:val="1"/>
                <w:color w:val="auto"/>
              </w:rPr>
            </w:pPr>
          </w:p>
        </w:tc>
        <w:tc>
          <w:tcPr>
            <w:tcW w:w="40" w:type="dxa"/>
            <w:vAlign w:val="bottom"/>
            <w:tcBorders>
              <w:top w:val="single" w:sz="8" w:color="0000FF"/>
              <w:bottom w:val="single" w:sz="8" w:color="00000A"/>
            </w:tcBorders>
          </w:tcPr>
          <w:p>
            <w:pPr>
              <w:spacing w:after="0" w:line="20" w:lineRule="exact"/>
              <w:rPr>
                <w:sz w:val="1"/>
                <w:szCs w:val="1"/>
                <w:color w:val="auto"/>
              </w:rPr>
            </w:pPr>
          </w:p>
        </w:tc>
        <w:tc>
          <w:tcPr>
            <w:tcW w:w="400" w:type="dxa"/>
            <w:vAlign w:val="bottom"/>
            <w:tcBorders>
              <w:bottom w:val="single" w:sz="8" w:color="00000A"/>
              <w:right w:val="single" w:sz="8" w:color="00000A"/>
            </w:tcBorders>
          </w:tcPr>
          <w:p>
            <w:pPr>
              <w:spacing w:after="0" w:line="20" w:lineRule="exact"/>
              <w:rPr>
                <w:sz w:val="1"/>
                <w:szCs w:val="1"/>
                <w:color w:val="auto"/>
              </w:rPr>
            </w:pPr>
          </w:p>
        </w:tc>
      </w:tr>
      <w:tr>
        <w:trPr>
          <w:trHeight w:val="237"/>
        </w:trPr>
        <w:tc>
          <w:tcPr>
            <w:tcW w:w="3160" w:type="dxa"/>
            <w:vAlign w:val="bottom"/>
            <w:tcBorders>
              <w:left w:val="single" w:sz="8" w:color="00000A"/>
              <w:right w:val="single" w:sz="8" w:color="auto"/>
            </w:tcBorders>
            <w:gridSpan w:val="6"/>
          </w:tcPr>
          <w:p>
            <w:pPr>
              <w:ind w:left="100"/>
              <w:spacing w:after="0"/>
              <w:rPr>
                <w:sz w:val="20"/>
                <w:szCs w:val="20"/>
                <w:color w:val="auto"/>
              </w:rPr>
            </w:pPr>
            <w:r>
              <w:rPr>
                <w:rFonts w:ascii="Arial" w:cs="Arial" w:eastAsia="Arial" w:hAnsi="Arial"/>
                <w:sz w:val="20"/>
                <w:szCs w:val="20"/>
                <w:color w:val="auto"/>
              </w:rPr>
              <w:t>June 2020</w:t>
            </w:r>
          </w:p>
        </w:tc>
        <w:tc>
          <w:tcPr>
            <w:tcW w:w="6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gridSpan w:val="3"/>
          </w:tcPr>
          <w:p>
            <w:pPr>
              <w:jc w:val="right"/>
              <w:spacing w:after="0"/>
              <w:rPr>
                <w:sz w:val="20"/>
                <w:szCs w:val="20"/>
                <w:color w:val="auto"/>
              </w:rPr>
            </w:pPr>
            <w:r>
              <w:rPr>
                <w:rFonts w:ascii="Arial" w:cs="Arial" w:eastAsia="Arial" w:hAnsi="Arial"/>
                <w:sz w:val="20"/>
                <w:szCs w:val="20"/>
                <w:color w:val="FF0000"/>
                <w:strike w:val="1"/>
                <w:w w:val="87"/>
              </w:rPr>
              <w:t>23,437,500.00</w:t>
            </w:r>
          </w:p>
        </w:tc>
        <w:tc>
          <w:tcPr>
            <w:tcW w:w="1160" w:type="dxa"/>
            <w:vAlign w:val="bottom"/>
            <w:gridSpan w:val="4"/>
          </w:tcPr>
          <w:p>
            <w:pPr>
              <w:jc w:val="center"/>
              <w:spacing w:after="0"/>
              <w:rPr>
                <w:sz w:val="20"/>
                <w:szCs w:val="20"/>
                <w:color w:val="auto"/>
              </w:rPr>
            </w:pPr>
            <w:r>
              <w:rPr>
                <w:rFonts w:ascii="Arial" w:cs="Arial" w:eastAsia="Arial" w:hAnsi="Arial"/>
                <w:sz w:val="20"/>
                <w:szCs w:val="20"/>
                <w:color w:val="0000FF"/>
                <w:w w:val="89"/>
              </w:rPr>
              <w:t>18,046,875.00</w:t>
            </w:r>
          </w:p>
        </w:tc>
        <w:tc>
          <w:tcPr>
            <w:tcW w:w="400" w:type="dxa"/>
            <w:vAlign w:val="bottom"/>
            <w:tcBorders>
              <w:right w:val="single" w:sz="8" w:color="00000A"/>
            </w:tcBorders>
          </w:tcPr>
          <w:p>
            <w:pPr>
              <w:spacing w:after="0"/>
              <w:rPr>
                <w:sz w:val="20"/>
                <w:szCs w:val="20"/>
                <w:color w:val="auto"/>
              </w:rPr>
            </w:pPr>
          </w:p>
        </w:tc>
      </w:tr>
      <w:tr>
        <w:trPr>
          <w:trHeight w:val="20"/>
        </w:trPr>
        <w:tc>
          <w:tcPr>
            <w:tcW w:w="100" w:type="dxa"/>
            <w:vAlign w:val="bottom"/>
            <w:tcBorders>
              <w:left w:val="single" w:sz="8" w:color="00000A"/>
              <w:bottom w:val="single" w:sz="8" w:color="00000A"/>
            </w:tcBorders>
          </w:tcPr>
          <w:p>
            <w:pPr>
              <w:spacing w:after="0" w:line="20" w:lineRule="exact"/>
              <w:rPr>
                <w:sz w:val="1"/>
                <w:szCs w:val="1"/>
                <w:color w:val="auto"/>
              </w:rPr>
            </w:pPr>
          </w:p>
        </w:tc>
        <w:tc>
          <w:tcPr>
            <w:tcW w:w="800" w:type="dxa"/>
            <w:vAlign w:val="bottom"/>
            <w:tcBorders>
              <w:bottom w:val="single" w:sz="8" w:color="00000A"/>
            </w:tcBorders>
          </w:tcPr>
          <w:p>
            <w:pPr>
              <w:spacing w:after="0" w:line="20" w:lineRule="exact"/>
              <w:rPr>
                <w:sz w:val="1"/>
                <w:szCs w:val="1"/>
                <w:color w:val="auto"/>
              </w:rPr>
            </w:pPr>
          </w:p>
        </w:tc>
        <w:tc>
          <w:tcPr>
            <w:tcW w:w="160" w:type="dxa"/>
            <w:vAlign w:val="bottom"/>
            <w:tcBorders>
              <w:bottom w:val="single" w:sz="8" w:color="00000A"/>
            </w:tcBorders>
          </w:tcPr>
          <w:p>
            <w:pPr>
              <w:spacing w:after="0" w:line="20" w:lineRule="exact"/>
              <w:rPr>
                <w:sz w:val="1"/>
                <w:szCs w:val="1"/>
                <w:color w:val="auto"/>
              </w:rPr>
            </w:pPr>
          </w:p>
        </w:tc>
        <w:tc>
          <w:tcPr>
            <w:tcW w:w="30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tcBorders>
          </w:tcPr>
          <w:p>
            <w:pPr>
              <w:spacing w:after="0" w:line="20" w:lineRule="exact"/>
              <w:rPr>
                <w:sz w:val="1"/>
                <w:szCs w:val="1"/>
                <w:color w:val="auto"/>
              </w:rPr>
            </w:pPr>
          </w:p>
        </w:tc>
        <w:tc>
          <w:tcPr>
            <w:tcW w:w="1760" w:type="dxa"/>
            <w:vAlign w:val="bottom"/>
            <w:tcBorders>
              <w:bottom w:val="single" w:sz="8" w:color="00000A"/>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00000A"/>
            </w:tcBorders>
          </w:tcPr>
          <w:p>
            <w:pPr>
              <w:spacing w:after="0" w:line="20" w:lineRule="exact"/>
              <w:rPr>
                <w:sz w:val="1"/>
                <w:szCs w:val="1"/>
                <w:color w:val="auto"/>
              </w:rPr>
            </w:pPr>
          </w:p>
        </w:tc>
      </w:tr>
      <w:tr>
        <w:trPr>
          <w:trHeight w:val="277"/>
        </w:trPr>
        <w:tc>
          <w:tcPr>
            <w:tcW w:w="3160" w:type="dxa"/>
            <w:vAlign w:val="bottom"/>
            <w:tcBorders>
              <w:left w:val="single" w:sz="8" w:color="00000A"/>
              <w:bottom w:val="single" w:sz="8" w:color="00000A"/>
              <w:right w:val="single" w:sz="8" w:color="00000A"/>
            </w:tcBorders>
            <w:gridSpan w:val="6"/>
            <w:shd w:val="clear" w:color="auto" w:fill="CCCCFF"/>
          </w:tcPr>
          <w:p>
            <w:pPr>
              <w:ind w:left="100"/>
              <w:spacing w:after="0"/>
              <w:rPr>
                <w:sz w:val="20"/>
                <w:szCs w:val="20"/>
                <w:color w:val="auto"/>
              </w:rPr>
            </w:pPr>
            <w:r>
              <w:rPr>
                <w:rFonts w:ascii="Arial" w:cs="Arial" w:eastAsia="Arial" w:hAnsi="Arial"/>
                <w:sz w:val="20"/>
                <w:szCs w:val="20"/>
                <w:color w:val="0000FF"/>
              </w:rPr>
              <w:t>September 2020</w:t>
            </w:r>
          </w:p>
        </w:tc>
        <w:tc>
          <w:tcPr>
            <w:tcW w:w="660" w:type="dxa"/>
            <w:vAlign w:val="bottom"/>
            <w:tcBorders>
              <w:bottom w:val="single" w:sz="8" w:color="00000A"/>
            </w:tcBorders>
            <w:shd w:val="clear" w:color="auto" w:fill="CCCCFF"/>
          </w:tcPr>
          <w:p>
            <w:pPr>
              <w:spacing w:after="0"/>
              <w:rPr>
                <w:sz w:val="24"/>
                <w:szCs w:val="24"/>
                <w:color w:val="auto"/>
              </w:rPr>
            </w:pPr>
          </w:p>
        </w:tc>
        <w:tc>
          <w:tcPr>
            <w:tcW w:w="540" w:type="dxa"/>
            <w:vAlign w:val="bottom"/>
            <w:tcBorders>
              <w:bottom w:val="single" w:sz="8" w:color="00000A"/>
            </w:tcBorders>
            <w:gridSpan w:val="2"/>
            <w:shd w:val="clear" w:color="auto" w:fill="CCCCFF"/>
          </w:tcPr>
          <w:p>
            <w:pPr>
              <w:jc w:val="right"/>
              <w:ind w:right="21"/>
              <w:spacing w:after="0"/>
              <w:rPr>
                <w:sz w:val="20"/>
                <w:szCs w:val="20"/>
                <w:color w:val="auto"/>
              </w:rPr>
            </w:pPr>
            <w:r>
              <w:rPr>
                <w:rFonts w:ascii="Arial" w:cs="Arial" w:eastAsia="Arial" w:hAnsi="Arial"/>
                <w:sz w:val="20"/>
                <w:szCs w:val="20"/>
                <w:color w:val="0000FF"/>
              </w:rPr>
              <w:t>$</w:t>
            </w:r>
          </w:p>
        </w:tc>
        <w:tc>
          <w:tcPr>
            <w:tcW w:w="1220" w:type="dxa"/>
            <w:vAlign w:val="bottom"/>
            <w:tcBorders>
              <w:bottom w:val="single" w:sz="8" w:color="00000A"/>
            </w:tcBorders>
            <w:gridSpan w:val="3"/>
            <w:shd w:val="clear" w:color="auto" w:fill="CCCCFF"/>
          </w:tcPr>
          <w:p>
            <w:pPr>
              <w:jc w:val="center"/>
              <w:spacing w:after="0"/>
              <w:rPr>
                <w:sz w:val="20"/>
                <w:szCs w:val="20"/>
                <w:color w:val="auto"/>
              </w:rPr>
            </w:pPr>
            <w:r>
              <w:rPr>
                <w:rFonts w:ascii="Arial" w:cs="Arial" w:eastAsia="Arial" w:hAnsi="Arial"/>
                <w:sz w:val="20"/>
                <w:szCs w:val="20"/>
                <w:color w:val="0000FF"/>
                <w:w w:val="89"/>
              </w:rPr>
              <w:t>18,046,875.00</w:t>
            </w:r>
          </w:p>
        </w:tc>
        <w:tc>
          <w:tcPr>
            <w:tcW w:w="560" w:type="dxa"/>
            <w:vAlign w:val="bottom"/>
            <w:tcBorders>
              <w:bottom w:val="single" w:sz="8" w:color="00000A"/>
            </w:tcBorders>
            <w:shd w:val="clear" w:color="auto" w:fill="CCCCFF"/>
          </w:tcPr>
          <w:p>
            <w:pPr>
              <w:spacing w:after="0"/>
              <w:rPr>
                <w:sz w:val="24"/>
                <w:szCs w:val="24"/>
                <w:color w:val="auto"/>
              </w:rPr>
            </w:pPr>
          </w:p>
        </w:tc>
        <w:tc>
          <w:tcPr>
            <w:tcW w:w="40" w:type="dxa"/>
            <w:vAlign w:val="bottom"/>
            <w:tcBorders>
              <w:bottom w:val="single" w:sz="8" w:color="00000A"/>
            </w:tcBorders>
            <w:shd w:val="clear" w:color="auto" w:fill="CCCCFF"/>
          </w:tcPr>
          <w:p>
            <w:pPr>
              <w:spacing w:after="0"/>
              <w:rPr>
                <w:sz w:val="24"/>
                <w:szCs w:val="24"/>
                <w:color w:val="auto"/>
              </w:rPr>
            </w:pPr>
          </w:p>
        </w:tc>
        <w:tc>
          <w:tcPr>
            <w:tcW w:w="400" w:type="dxa"/>
            <w:vAlign w:val="bottom"/>
            <w:tcBorders>
              <w:bottom w:val="single" w:sz="8" w:color="00000A"/>
              <w:right w:val="single" w:sz="8" w:color="00000A"/>
            </w:tcBorders>
            <w:shd w:val="clear" w:color="auto" w:fill="CCCCFF"/>
          </w:tcPr>
          <w:p>
            <w:pPr>
              <w:spacing w:after="0"/>
              <w:rPr>
                <w:sz w:val="24"/>
                <w:szCs w:val="24"/>
                <w:color w:val="auto"/>
              </w:rPr>
            </w:pPr>
          </w:p>
        </w:tc>
      </w:tr>
      <w:tr>
        <w:trPr>
          <w:trHeight w:val="277"/>
        </w:trPr>
        <w:tc>
          <w:tcPr>
            <w:tcW w:w="3160" w:type="dxa"/>
            <w:vAlign w:val="bottom"/>
            <w:tcBorders>
              <w:left w:val="single" w:sz="8" w:color="00000A"/>
              <w:bottom w:val="single" w:sz="8" w:color="00000A"/>
              <w:right w:val="single" w:sz="8" w:color="00000A"/>
            </w:tcBorders>
            <w:gridSpan w:val="6"/>
            <w:shd w:val="clear" w:color="auto" w:fill="CCCCFF"/>
          </w:tcPr>
          <w:p>
            <w:pPr>
              <w:ind w:left="100"/>
              <w:spacing w:after="0"/>
              <w:rPr>
                <w:sz w:val="20"/>
                <w:szCs w:val="20"/>
                <w:color w:val="auto"/>
              </w:rPr>
            </w:pPr>
            <w:r>
              <w:rPr>
                <w:rFonts w:ascii="Arial" w:cs="Arial" w:eastAsia="Arial" w:hAnsi="Arial"/>
                <w:sz w:val="20"/>
                <w:szCs w:val="20"/>
                <w:color w:val="0000FF"/>
              </w:rPr>
              <w:t>December 2020</w:t>
            </w:r>
          </w:p>
        </w:tc>
        <w:tc>
          <w:tcPr>
            <w:tcW w:w="660" w:type="dxa"/>
            <w:vAlign w:val="bottom"/>
            <w:tcBorders>
              <w:bottom w:val="single" w:sz="8" w:color="00000A"/>
            </w:tcBorders>
            <w:shd w:val="clear" w:color="auto" w:fill="CCCCFF"/>
          </w:tcPr>
          <w:p>
            <w:pPr>
              <w:spacing w:after="0"/>
              <w:rPr>
                <w:sz w:val="24"/>
                <w:szCs w:val="24"/>
                <w:color w:val="auto"/>
              </w:rPr>
            </w:pPr>
          </w:p>
        </w:tc>
        <w:tc>
          <w:tcPr>
            <w:tcW w:w="540" w:type="dxa"/>
            <w:vAlign w:val="bottom"/>
            <w:tcBorders>
              <w:bottom w:val="single" w:sz="8" w:color="00000A"/>
            </w:tcBorders>
            <w:gridSpan w:val="2"/>
            <w:shd w:val="clear" w:color="auto" w:fill="CCCCFF"/>
          </w:tcPr>
          <w:p>
            <w:pPr>
              <w:jc w:val="right"/>
              <w:ind w:right="21"/>
              <w:spacing w:after="0"/>
              <w:rPr>
                <w:sz w:val="20"/>
                <w:szCs w:val="20"/>
                <w:color w:val="auto"/>
              </w:rPr>
            </w:pPr>
            <w:r>
              <w:rPr>
                <w:rFonts w:ascii="Arial" w:cs="Arial" w:eastAsia="Arial" w:hAnsi="Arial"/>
                <w:sz w:val="20"/>
                <w:szCs w:val="20"/>
                <w:color w:val="0000FF"/>
              </w:rPr>
              <w:t>$</w:t>
            </w:r>
          </w:p>
        </w:tc>
        <w:tc>
          <w:tcPr>
            <w:tcW w:w="1220" w:type="dxa"/>
            <w:vAlign w:val="bottom"/>
            <w:tcBorders>
              <w:bottom w:val="single" w:sz="8" w:color="00000A"/>
            </w:tcBorders>
            <w:gridSpan w:val="3"/>
            <w:shd w:val="clear" w:color="auto" w:fill="CCCCFF"/>
          </w:tcPr>
          <w:p>
            <w:pPr>
              <w:jc w:val="center"/>
              <w:spacing w:after="0"/>
              <w:rPr>
                <w:sz w:val="20"/>
                <w:szCs w:val="20"/>
                <w:color w:val="auto"/>
              </w:rPr>
            </w:pPr>
            <w:r>
              <w:rPr>
                <w:rFonts w:ascii="Arial" w:cs="Arial" w:eastAsia="Arial" w:hAnsi="Arial"/>
                <w:sz w:val="20"/>
                <w:szCs w:val="20"/>
                <w:color w:val="0000FF"/>
                <w:w w:val="89"/>
              </w:rPr>
              <w:t>22,558,593.75</w:t>
            </w:r>
          </w:p>
        </w:tc>
        <w:tc>
          <w:tcPr>
            <w:tcW w:w="560" w:type="dxa"/>
            <w:vAlign w:val="bottom"/>
            <w:tcBorders>
              <w:bottom w:val="single" w:sz="8" w:color="00000A"/>
            </w:tcBorders>
            <w:shd w:val="clear" w:color="auto" w:fill="CCCCFF"/>
          </w:tcPr>
          <w:p>
            <w:pPr>
              <w:spacing w:after="0"/>
              <w:rPr>
                <w:sz w:val="24"/>
                <w:szCs w:val="24"/>
                <w:color w:val="auto"/>
              </w:rPr>
            </w:pPr>
          </w:p>
        </w:tc>
        <w:tc>
          <w:tcPr>
            <w:tcW w:w="40" w:type="dxa"/>
            <w:vAlign w:val="bottom"/>
            <w:tcBorders>
              <w:bottom w:val="single" w:sz="8" w:color="00000A"/>
            </w:tcBorders>
            <w:shd w:val="clear" w:color="auto" w:fill="CCCCFF"/>
          </w:tcPr>
          <w:p>
            <w:pPr>
              <w:spacing w:after="0"/>
              <w:rPr>
                <w:sz w:val="24"/>
                <w:szCs w:val="24"/>
                <w:color w:val="auto"/>
              </w:rPr>
            </w:pPr>
          </w:p>
        </w:tc>
        <w:tc>
          <w:tcPr>
            <w:tcW w:w="400" w:type="dxa"/>
            <w:vAlign w:val="bottom"/>
            <w:tcBorders>
              <w:bottom w:val="single" w:sz="8" w:color="00000A"/>
              <w:right w:val="single" w:sz="8" w:color="00000A"/>
            </w:tcBorders>
            <w:shd w:val="clear" w:color="auto" w:fill="CCCCFF"/>
          </w:tcPr>
          <w:p>
            <w:pPr>
              <w:spacing w:after="0"/>
              <w:rPr>
                <w:sz w:val="24"/>
                <w:szCs w:val="24"/>
                <w:color w:val="auto"/>
              </w:rPr>
            </w:pPr>
          </w:p>
        </w:tc>
      </w:tr>
      <w:tr>
        <w:trPr>
          <w:trHeight w:val="277"/>
        </w:trPr>
        <w:tc>
          <w:tcPr>
            <w:tcW w:w="3160" w:type="dxa"/>
            <w:vAlign w:val="bottom"/>
            <w:tcBorders>
              <w:left w:val="single" w:sz="8" w:color="00000A"/>
              <w:bottom w:val="single" w:sz="8" w:color="00000A"/>
              <w:right w:val="single" w:sz="8" w:color="00000A"/>
            </w:tcBorders>
            <w:gridSpan w:val="6"/>
            <w:shd w:val="clear" w:color="auto" w:fill="CCCCFF"/>
          </w:tcPr>
          <w:p>
            <w:pPr>
              <w:ind w:left="100"/>
              <w:spacing w:after="0"/>
              <w:rPr>
                <w:sz w:val="20"/>
                <w:szCs w:val="20"/>
                <w:color w:val="auto"/>
              </w:rPr>
            </w:pPr>
            <w:r>
              <w:rPr>
                <w:rFonts w:ascii="Arial" w:cs="Arial" w:eastAsia="Arial" w:hAnsi="Arial"/>
                <w:sz w:val="20"/>
                <w:szCs w:val="20"/>
                <w:color w:val="0000FF"/>
              </w:rPr>
              <w:t>March 2021</w:t>
            </w:r>
          </w:p>
        </w:tc>
        <w:tc>
          <w:tcPr>
            <w:tcW w:w="660" w:type="dxa"/>
            <w:vAlign w:val="bottom"/>
            <w:tcBorders>
              <w:bottom w:val="single" w:sz="8" w:color="00000A"/>
            </w:tcBorders>
            <w:shd w:val="clear" w:color="auto" w:fill="CCCCFF"/>
          </w:tcPr>
          <w:p>
            <w:pPr>
              <w:spacing w:after="0"/>
              <w:rPr>
                <w:sz w:val="24"/>
                <w:szCs w:val="24"/>
                <w:color w:val="auto"/>
              </w:rPr>
            </w:pPr>
          </w:p>
        </w:tc>
        <w:tc>
          <w:tcPr>
            <w:tcW w:w="540" w:type="dxa"/>
            <w:vAlign w:val="bottom"/>
            <w:tcBorders>
              <w:bottom w:val="single" w:sz="8" w:color="00000A"/>
            </w:tcBorders>
            <w:gridSpan w:val="2"/>
            <w:shd w:val="clear" w:color="auto" w:fill="CCCCFF"/>
          </w:tcPr>
          <w:p>
            <w:pPr>
              <w:jc w:val="right"/>
              <w:ind w:right="21"/>
              <w:spacing w:after="0"/>
              <w:rPr>
                <w:sz w:val="20"/>
                <w:szCs w:val="20"/>
                <w:color w:val="auto"/>
              </w:rPr>
            </w:pPr>
            <w:r>
              <w:rPr>
                <w:rFonts w:ascii="Arial" w:cs="Arial" w:eastAsia="Arial" w:hAnsi="Arial"/>
                <w:sz w:val="20"/>
                <w:szCs w:val="20"/>
                <w:color w:val="0000FF"/>
              </w:rPr>
              <w:t>$</w:t>
            </w:r>
          </w:p>
        </w:tc>
        <w:tc>
          <w:tcPr>
            <w:tcW w:w="1220" w:type="dxa"/>
            <w:vAlign w:val="bottom"/>
            <w:tcBorders>
              <w:bottom w:val="single" w:sz="8" w:color="00000A"/>
            </w:tcBorders>
            <w:gridSpan w:val="3"/>
            <w:shd w:val="clear" w:color="auto" w:fill="CCCCFF"/>
          </w:tcPr>
          <w:p>
            <w:pPr>
              <w:jc w:val="center"/>
              <w:spacing w:after="0"/>
              <w:rPr>
                <w:sz w:val="20"/>
                <w:szCs w:val="20"/>
                <w:color w:val="auto"/>
              </w:rPr>
            </w:pPr>
            <w:r>
              <w:rPr>
                <w:rFonts w:ascii="Arial" w:cs="Arial" w:eastAsia="Arial" w:hAnsi="Arial"/>
                <w:sz w:val="20"/>
                <w:szCs w:val="20"/>
                <w:color w:val="0000FF"/>
                <w:w w:val="89"/>
              </w:rPr>
              <w:t>22,558,593.75</w:t>
            </w:r>
          </w:p>
        </w:tc>
        <w:tc>
          <w:tcPr>
            <w:tcW w:w="560" w:type="dxa"/>
            <w:vAlign w:val="bottom"/>
            <w:tcBorders>
              <w:bottom w:val="single" w:sz="8" w:color="00000A"/>
            </w:tcBorders>
            <w:shd w:val="clear" w:color="auto" w:fill="CCCCFF"/>
          </w:tcPr>
          <w:p>
            <w:pPr>
              <w:spacing w:after="0"/>
              <w:rPr>
                <w:sz w:val="24"/>
                <w:szCs w:val="24"/>
                <w:color w:val="auto"/>
              </w:rPr>
            </w:pPr>
          </w:p>
        </w:tc>
        <w:tc>
          <w:tcPr>
            <w:tcW w:w="40" w:type="dxa"/>
            <w:vAlign w:val="bottom"/>
            <w:tcBorders>
              <w:bottom w:val="single" w:sz="8" w:color="00000A"/>
            </w:tcBorders>
            <w:shd w:val="clear" w:color="auto" w:fill="CCCCFF"/>
          </w:tcPr>
          <w:p>
            <w:pPr>
              <w:spacing w:after="0"/>
              <w:rPr>
                <w:sz w:val="24"/>
                <w:szCs w:val="24"/>
                <w:color w:val="auto"/>
              </w:rPr>
            </w:pPr>
          </w:p>
        </w:tc>
        <w:tc>
          <w:tcPr>
            <w:tcW w:w="400" w:type="dxa"/>
            <w:vAlign w:val="bottom"/>
            <w:tcBorders>
              <w:bottom w:val="single" w:sz="8" w:color="00000A"/>
              <w:right w:val="single" w:sz="8" w:color="00000A"/>
            </w:tcBorders>
            <w:shd w:val="clear" w:color="auto" w:fill="CCCCFF"/>
          </w:tcPr>
          <w:p>
            <w:pPr>
              <w:spacing w:after="0"/>
              <w:rPr>
                <w:sz w:val="24"/>
                <w:szCs w:val="24"/>
                <w:color w:val="auto"/>
              </w:rPr>
            </w:pPr>
          </w:p>
        </w:tc>
      </w:tr>
      <w:tr>
        <w:trPr>
          <w:trHeight w:val="277"/>
        </w:trPr>
        <w:tc>
          <w:tcPr>
            <w:tcW w:w="3160" w:type="dxa"/>
            <w:vAlign w:val="bottom"/>
            <w:tcBorders>
              <w:left w:val="single" w:sz="8" w:color="00000A"/>
              <w:bottom w:val="single" w:sz="8" w:color="auto"/>
              <w:right w:val="single" w:sz="8" w:color="00000A"/>
            </w:tcBorders>
            <w:gridSpan w:val="6"/>
            <w:shd w:val="clear" w:color="auto" w:fill="CCCCFF"/>
          </w:tcPr>
          <w:p>
            <w:pPr>
              <w:ind w:left="100"/>
              <w:spacing w:after="0"/>
              <w:rPr>
                <w:sz w:val="20"/>
                <w:szCs w:val="20"/>
                <w:color w:val="auto"/>
              </w:rPr>
            </w:pPr>
            <w:r>
              <w:rPr>
                <w:rFonts w:ascii="Arial" w:cs="Arial" w:eastAsia="Arial" w:hAnsi="Arial"/>
                <w:sz w:val="20"/>
                <w:szCs w:val="20"/>
                <w:color w:val="0000FF"/>
              </w:rPr>
              <w:t>June 2021</w:t>
            </w:r>
          </w:p>
        </w:tc>
        <w:tc>
          <w:tcPr>
            <w:tcW w:w="660" w:type="dxa"/>
            <w:vAlign w:val="bottom"/>
            <w:tcBorders>
              <w:bottom w:val="single" w:sz="8" w:color="00000A"/>
            </w:tcBorders>
            <w:shd w:val="clear" w:color="auto" w:fill="CCCCFF"/>
          </w:tcPr>
          <w:p>
            <w:pPr>
              <w:spacing w:after="0"/>
              <w:rPr>
                <w:sz w:val="24"/>
                <w:szCs w:val="24"/>
                <w:color w:val="auto"/>
              </w:rPr>
            </w:pPr>
          </w:p>
        </w:tc>
        <w:tc>
          <w:tcPr>
            <w:tcW w:w="540" w:type="dxa"/>
            <w:vAlign w:val="bottom"/>
            <w:tcBorders>
              <w:bottom w:val="single" w:sz="8" w:color="00000A"/>
            </w:tcBorders>
            <w:gridSpan w:val="2"/>
            <w:shd w:val="clear" w:color="auto" w:fill="CCCCFF"/>
          </w:tcPr>
          <w:p>
            <w:pPr>
              <w:jc w:val="right"/>
              <w:ind w:right="21"/>
              <w:spacing w:after="0"/>
              <w:rPr>
                <w:sz w:val="20"/>
                <w:szCs w:val="20"/>
                <w:color w:val="auto"/>
              </w:rPr>
            </w:pPr>
            <w:r>
              <w:rPr>
                <w:rFonts w:ascii="Arial" w:cs="Arial" w:eastAsia="Arial" w:hAnsi="Arial"/>
                <w:sz w:val="20"/>
                <w:szCs w:val="20"/>
                <w:color w:val="0000FF"/>
              </w:rPr>
              <w:t>$</w:t>
            </w:r>
          </w:p>
        </w:tc>
        <w:tc>
          <w:tcPr>
            <w:tcW w:w="1220" w:type="dxa"/>
            <w:vAlign w:val="bottom"/>
            <w:tcBorders>
              <w:bottom w:val="single" w:sz="8" w:color="00000A"/>
            </w:tcBorders>
            <w:gridSpan w:val="3"/>
            <w:shd w:val="clear" w:color="auto" w:fill="CCCCFF"/>
          </w:tcPr>
          <w:p>
            <w:pPr>
              <w:jc w:val="center"/>
              <w:spacing w:after="0"/>
              <w:rPr>
                <w:sz w:val="20"/>
                <w:szCs w:val="20"/>
                <w:color w:val="auto"/>
              </w:rPr>
            </w:pPr>
            <w:r>
              <w:rPr>
                <w:rFonts w:ascii="Arial" w:cs="Arial" w:eastAsia="Arial" w:hAnsi="Arial"/>
                <w:sz w:val="20"/>
                <w:szCs w:val="20"/>
                <w:color w:val="0000FF"/>
                <w:w w:val="89"/>
              </w:rPr>
              <w:t>22,558,593.75</w:t>
            </w:r>
          </w:p>
        </w:tc>
        <w:tc>
          <w:tcPr>
            <w:tcW w:w="560" w:type="dxa"/>
            <w:vAlign w:val="bottom"/>
            <w:tcBorders>
              <w:bottom w:val="single" w:sz="8" w:color="00000A"/>
            </w:tcBorders>
            <w:shd w:val="clear" w:color="auto" w:fill="CCCCFF"/>
          </w:tcPr>
          <w:p>
            <w:pPr>
              <w:spacing w:after="0"/>
              <w:rPr>
                <w:sz w:val="24"/>
                <w:szCs w:val="24"/>
                <w:color w:val="auto"/>
              </w:rPr>
            </w:pPr>
          </w:p>
        </w:tc>
        <w:tc>
          <w:tcPr>
            <w:tcW w:w="40" w:type="dxa"/>
            <w:vAlign w:val="bottom"/>
            <w:tcBorders>
              <w:bottom w:val="single" w:sz="8" w:color="00000A"/>
            </w:tcBorders>
            <w:shd w:val="clear" w:color="auto" w:fill="CCCCFF"/>
          </w:tcPr>
          <w:p>
            <w:pPr>
              <w:spacing w:after="0"/>
              <w:rPr>
                <w:sz w:val="24"/>
                <w:szCs w:val="24"/>
                <w:color w:val="auto"/>
              </w:rPr>
            </w:pPr>
          </w:p>
        </w:tc>
        <w:tc>
          <w:tcPr>
            <w:tcW w:w="400" w:type="dxa"/>
            <w:vAlign w:val="bottom"/>
            <w:tcBorders>
              <w:bottom w:val="single" w:sz="8" w:color="00000A"/>
              <w:right w:val="single" w:sz="8" w:color="00000A"/>
            </w:tcBorders>
            <w:shd w:val="clear" w:color="auto" w:fill="CCCCFF"/>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300" w:top="379" w:right="299" w:bottom="1440" w:gutter="0" w:footer="0" w:header="0"/>
        </w:sectPr>
      </w:pPr>
    </w:p>
    <w:bookmarkStart w:id="279" w:name="page280"/>
    <w:bookmarkEnd w:id="279"/>
    <w:p>
      <w:pPr>
        <w:ind w:left="100"/>
        <w:spacing w:after="0"/>
        <w:rPr>
          <w:sz w:val="20"/>
          <w:szCs w:val="20"/>
          <w:color w:val="auto"/>
        </w:rPr>
      </w:pPr>
      <w:r>
        <w:rPr>
          <w:rFonts w:ascii="Arial" w:cs="Arial" w:eastAsia="Arial" w:hAnsi="Arial"/>
          <w:sz w:val="20"/>
          <w:szCs w:val="20"/>
          <w:color w:val="auto"/>
        </w:rPr>
        <w:t>Any remaining unpaid principal amount of Term Loans shall be due and payable on the Term Loan Maturity Date.</w:t>
      </w:r>
    </w:p>
    <w:p>
      <w:pPr>
        <w:spacing w:after="0" w:line="318" w:lineRule="exact"/>
        <w:rPr>
          <w:sz w:val="20"/>
          <w:szCs w:val="20"/>
          <w:color w:val="auto"/>
        </w:rPr>
      </w:pPr>
    </w:p>
    <w:p>
      <w:pPr>
        <w:ind w:left="100"/>
        <w:spacing w:after="0"/>
        <w:tabs>
          <w:tab w:leader="none" w:pos="1300" w:val="left"/>
        </w:tabs>
        <w:rPr>
          <w:sz w:val="20"/>
          <w:szCs w:val="20"/>
          <w:color w:val="auto"/>
        </w:rPr>
      </w:pPr>
      <w:r>
        <w:rPr>
          <w:rFonts w:ascii="Arial" w:cs="Arial" w:eastAsia="Arial" w:hAnsi="Arial"/>
          <w:sz w:val="20"/>
          <w:szCs w:val="20"/>
          <w:b w:val="1"/>
          <w:bCs w:val="1"/>
          <w:color w:val="auto"/>
        </w:rPr>
        <w:t>Section 2.09</w:t>
      </w:r>
      <w:r>
        <w:rPr>
          <w:sz w:val="20"/>
          <w:szCs w:val="20"/>
          <w:color w:val="auto"/>
        </w:rPr>
        <w:tab/>
      </w:r>
      <w:r>
        <w:rPr>
          <w:rFonts w:ascii="Arial" w:cs="Arial" w:eastAsia="Arial" w:hAnsi="Arial"/>
          <w:sz w:val="16"/>
          <w:szCs w:val="16"/>
          <w:u w:val="single" w:color="auto"/>
          <w:color w:val="auto"/>
        </w:rPr>
        <w:t>Prepayments</w:t>
      </w:r>
      <w:r>
        <w:rPr>
          <w:rFonts w:ascii="Arial" w:cs="Arial" w:eastAsia="Arial" w:hAnsi="Arial"/>
          <w:sz w:val="16"/>
          <w:szCs w:val="16"/>
          <w:color w:val="auto"/>
        </w:rPr>
        <w:t>.</w:t>
      </w:r>
    </w:p>
    <w:p>
      <w:pPr>
        <w:spacing w:after="0" w:line="195" w:lineRule="exact"/>
        <w:rPr>
          <w:sz w:val="20"/>
          <w:szCs w:val="20"/>
          <w:color w:val="auto"/>
        </w:rPr>
      </w:pPr>
    </w:p>
    <w:p>
      <w:pPr>
        <w:ind w:left="-1200" w:right="100" w:firstLine="1305"/>
        <w:spacing w:after="0" w:line="288" w:lineRule="auto"/>
        <w:tabs>
          <w:tab w:leader="none" w:pos="964" w:val="left"/>
        </w:tabs>
        <w:numPr>
          <w:ilvl w:val="0"/>
          <w:numId w:val="209"/>
        </w:numPr>
        <w:rPr>
          <w:rFonts w:ascii="Arial" w:cs="Arial" w:eastAsia="Arial" w:hAnsi="Arial"/>
          <w:sz w:val="19"/>
          <w:szCs w:val="19"/>
          <w:color w:val="auto"/>
        </w:rPr>
      </w:pPr>
      <w:r>
        <w:rPr>
          <w:rFonts w:ascii="Arial" w:cs="Arial" w:eastAsia="Arial" w:hAnsi="Arial"/>
          <w:sz w:val="19"/>
          <w:szCs w:val="19"/>
          <w:i w:val="1"/>
          <w:iCs w:val="1"/>
          <w:u w:val="single" w:color="auto"/>
          <w:color w:val="auto"/>
        </w:rPr>
        <w:t>Voluntary Prepayment of Revolving Loans and Term Loans</w:t>
      </w:r>
      <w:r>
        <w:rPr>
          <w:rFonts w:ascii="Arial" w:cs="Arial" w:eastAsia="Arial" w:hAnsi="Arial"/>
          <w:sz w:val="19"/>
          <w:szCs w:val="19"/>
          <w:color w:val="auto"/>
        </w:rPr>
        <w:t>. Each Borrower shall have the right voluntarily to, upon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notice to the Administrative Agent, prepay Revolving Loans and Term Loans, as applicable, in whole or in part from time to time, subject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but otherwise without premium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(A) any prepayment of Eurodollar Loans shall be in a principal amount of $5,000,000 or a whole multiple of $1,000,000 in excess thereof; and (B) any prepayment of Base Rate Loans shall be in a principal amount of $500,000 or a whole multiple of $100,000 in excess thereof or, in each case, if less, the entire principal amount thereof then outstanding. Each payment pursuant to this Section shall be applied as set forth in </w:t>
      </w:r>
      <w:r>
        <w:rPr>
          <w:rFonts w:ascii="Arial" w:cs="Arial" w:eastAsia="Arial" w:hAnsi="Arial"/>
          <w:sz w:val="19"/>
          <w:szCs w:val="19"/>
          <w:u w:val="single" w:color="auto"/>
          <w:color w:val="auto"/>
        </w:rPr>
        <w:t>Section 2.09(e)</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ind w:left="-1200" w:firstLine="1305"/>
        <w:spacing w:after="0" w:line="288" w:lineRule="auto"/>
        <w:tabs>
          <w:tab w:leader="none" w:pos="975" w:val="left"/>
        </w:tabs>
        <w:numPr>
          <w:ilvl w:val="0"/>
          <w:numId w:val="209"/>
        </w:numPr>
        <w:rPr>
          <w:rFonts w:ascii="Arial" w:cs="Arial" w:eastAsia="Arial" w:hAnsi="Arial"/>
          <w:sz w:val="19"/>
          <w:szCs w:val="19"/>
          <w:color w:val="auto"/>
        </w:rPr>
      </w:pPr>
      <w:r>
        <w:rPr>
          <w:rFonts w:ascii="Arial" w:cs="Arial" w:eastAsia="Arial" w:hAnsi="Arial"/>
          <w:sz w:val="19"/>
          <w:szCs w:val="19"/>
          <w:i w:val="1"/>
          <w:iCs w:val="1"/>
          <w:u w:val="single" w:color="auto"/>
          <w:color w:val="auto"/>
        </w:rPr>
        <w:t>Swing Line Loans</w:t>
      </w:r>
      <w:r>
        <w:rPr>
          <w:rFonts w:ascii="Arial" w:cs="Arial" w:eastAsia="Arial" w:hAnsi="Arial"/>
          <w:sz w:val="19"/>
          <w:szCs w:val="19"/>
          <w:color w:val="auto"/>
        </w:rPr>
        <w:t>. Each Borrower may, upon notice to the Swing Line Lender (with a copy to the Administrative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Agent), at any time or from time to time, voluntarily prepay Swing Line Loans in whole or in part without premium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notice must be received by the Swing Line Lender and the Administrative Agent not later than 1:00 P.M. on the date of the prepayment, and (ii) any such prepayment shall be in a minimum principal amount of $100,000. Each such notice shall specify the date and amount of such prepayment. If such notice is given by any Borrower, such Borrower shall make such prepayment and the payment amount specified in such notice shall be due and payable on the date specified therein.</w:t>
      </w:r>
    </w:p>
    <w:p>
      <w:pPr>
        <w:spacing w:after="0" w:line="142" w:lineRule="exact"/>
        <w:rPr>
          <w:rFonts w:ascii="Arial" w:cs="Arial" w:eastAsia="Arial" w:hAnsi="Arial"/>
          <w:sz w:val="19"/>
          <w:szCs w:val="19"/>
          <w:color w:val="auto"/>
        </w:rPr>
      </w:pPr>
    </w:p>
    <w:p>
      <w:pPr>
        <w:ind w:left="980" w:hanging="875"/>
        <w:spacing w:after="0"/>
        <w:tabs>
          <w:tab w:leader="none" w:pos="980" w:val="left"/>
        </w:tabs>
        <w:numPr>
          <w:ilvl w:val="0"/>
          <w:numId w:val="209"/>
        </w:numPr>
        <w:rPr>
          <w:rFonts w:ascii="Arial" w:cs="Arial" w:eastAsia="Arial" w:hAnsi="Arial"/>
          <w:sz w:val="20"/>
          <w:szCs w:val="20"/>
          <w:color w:val="auto"/>
        </w:rPr>
      </w:pPr>
      <w:r>
        <w:rPr>
          <w:rFonts w:ascii="Arial" w:cs="Arial" w:eastAsia="Arial" w:hAnsi="Arial"/>
          <w:sz w:val="20"/>
          <w:szCs w:val="20"/>
          <w:i w:val="1"/>
          <w:iCs w:val="1"/>
          <w:u w:val="single" w:color="auto"/>
          <w:color w:val="auto"/>
        </w:rPr>
        <w:t>Mandatory Prepayments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200" w:right="40" w:firstLine="1467"/>
        <w:spacing w:after="0" w:line="301" w:lineRule="auto"/>
        <w:tabs>
          <w:tab w:leader="none" w:pos="932" w:val="left"/>
        </w:tabs>
        <w:numPr>
          <w:ilvl w:val="1"/>
          <w:numId w:val="209"/>
        </w:numPr>
        <w:rPr>
          <w:rFonts w:ascii="Arial" w:cs="Arial" w:eastAsia="Arial" w:hAnsi="Arial"/>
          <w:sz w:val="18"/>
          <w:szCs w:val="18"/>
          <w:color w:val="auto"/>
        </w:rPr>
      </w:pPr>
      <w:r>
        <w:rPr>
          <w:rFonts w:ascii="Arial" w:cs="Arial" w:eastAsia="Arial" w:hAnsi="Arial"/>
          <w:sz w:val="18"/>
          <w:szCs w:val="18"/>
          <w:i w:val="1"/>
          <w:iCs w:val="1"/>
          <w:u w:val="single" w:color="auto"/>
          <w:color w:val="auto"/>
        </w:rPr>
        <w:t>Revolving Committed Amount</w:t>
      </w:r>
      <w:r>
        <w:rPr>
          <w:rFonts w:ascii="Arial" w:cs="Arial" w:eastAsia="Arial" w:hAnsi="Arial"/>
          <w:sz w:val="18"/>
          <w:szCs w:val="18"/>
          <w:color w:val="auto"/>
        </w:rPr>
        <w:t>. If on any date the aggregate Revolving Outstandings exceed the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Committed Amount, the applicable Borrower shall repay, and there shall become due and payable (together with accrued interest thereon), on such date an aggregate principal amount of Swing Line Loans equal to such excess. If the outstanding Swing Line Loans have been repaid in full, the applicable Borrower shall prepay, and there shall become due and payable (together with accrued interest thereon), Revolving Loans in such amounts as are necessary so that, after giving effect to the repayment of the Swing Line Loans and the repayment of Revolving Loans, the aggregate Revolving Outstandings do not exceed the Revolving Committed Amount. If the outstanding Revolving Loans and Swing Line Loans have been repaid in full, the applicable Borrower shall Cash Collateralize L/C Obligations so that, after giving effect to the repayment of Swing Line Loans and Revolving Loans and the Cash Collateralization of L/C Obligations pursuant to this subsection (i), the aggregate Revolving Outstandings do not exceed the Revolving Committed Amount. In determining the aggregate Revolving Outstandings for purposes of this Agreement, L/C Obligations shall be reduced to the extent that they are Cash Collateralized as contemplated by this subsection (i). Each prepayment of Revolving Loans required pursuant to this subsection (i) shall be applied ratably among outstanding Revolving Loans based on the respective amounts of principal then outstanding. Each Cash Collateralization of L/C Obligations required by this subsection (i) shall be applied ratably among L/C Obligations based on the respective amounts thereof then outstanding.</w:t>
      </w:r>
    </w:p>
    <w:p>
      <w:pPr>
        <w:spacing w:after="0" w:line="136" w:lineRule="exact"/>
        <w:rPr>
          <w:rFonts w:ascii="Arial" w:cs="Arial" w:eastAsia="Arial" w:hAnsi="Arial"/>
          <w:sz w:val="18"/>
          <w:szCs w:val="18"/>
          <w:color w:val="auto"/>
        </w:rPr>
      </w:pPr>
    </w:p>
    <w:p>
      <w:pPr>
        <w:ind w:left="1000" w:hanging="733"/>
        <w:spacing w:after="0"/>
        <w:tabs>
          <w:tab w:leader="none" w:pos="1000" w:val="left"/>
        </w:tabs>
        <w:numPr>
          <w:ilvl w:val="1"/>
          <w:numId w:val="209"/>
        </w:numPr>
        <w:rPr>
          <w:rFonts w:ascii="Arial" w:cs="Arial" w:eastAsia="Arial" w:hAnsi="Arial"/>
          <w:sz w:val="20"/>
          <w:szCs w:val="20"/>
          <w:color w:val="auto"/>
        </w:rPr>
      </w:pPr>
      <w:r>
        <w:rPr>
          <w:rFonts w:ascii="Arial" w:cs="Arial" w:eastAsia="Arial" w:hAnsi="Arial"/>
          <w:sz w:val="20"/>
          <w:szCs w:val="20"/>
          <w:i w:val="1"/>
          <w:iCs w:val="1"/>
          <w:u w:val="single" w:color="auto"/>
          <w:color w:val="auto"/>
        </w:rPr>
        <w:t>[Reserved]</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200" w:right="40" w:firstLine="1467"/>
        <w:spacing w:after="0" w:line="293" w:lineRule="auto"/>
        <w:tabs>
          <w:tab w:leader="none" w:pos="1041" w:val="left"/>
        </w:tabs>
        <w:numPr>
          <w:ilvl w:val="1"/>
          <w:numId w:val="209"/>
        </w:numPr>
        <w:rPr>
          <w:rFonts w:ascii="Arial" w:cs="Arial" w:eastAsia="Arial" w:hAnsi="Arial"/>
          <w:sz w:val="19"/>
          <w:szCs w:val="19"/>
          <w:color w:val="auto"/>
        </w:rPr>
      </w:pPr>
      <w:r>
        <w:rPr>
          <w:rFonts w:ascii="Arial" w:cs="Arial" w:eastAsia="Arial" w:hAnsi="Arial"/>
          <w:sz w:val="19"/>
          <w:szCs w:val="19"/>
          <w:i w:val="1"/>
          <w:iCs w:val="1"/>
          <w:u w:val="single" w:color="auto"/>
          <w:color w:val="auto"/>
        </w:rPr>
        <w:t>Asset Dispositions, Casualties and Condemnations, etc</w:t>
      </w:r>
      <w:r>
        <w:rPr>
          <w:rFonts w:ascii="Arial" w:cs="Arial" w:eastAsia="Arial" w:hAnsi="Arial"/>
          <w:sz w:val="19"/>
          <w:szCs w:val="19"/>
          <w:color w:val="auto"/>
        </w:rPr>
        <w:t>. Within five Business Days after receipt by Parent or any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its Restricted Subsidiaries of Net Cash Proceeds from any Asset Disposition (other than any Asset Disposition permitted under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(other than clause (a)(xiii), (xiv), (xv), (xvi), (xvii) or (xxi))), Casualty or Condemnation (excluding Net Cash Proceeds to the extent and so long as they constitute Reinvestment Funds), the Lead Borrower shall prepay (or cause to be</w:t>
      </w:r>
    </w:p>
    <w:p>
      <w:pPr>
        <w:spacing w:after="0" w:line="200" w:lineRule="exact"/>
        <w:rPr>
          <w:rFonts w:ascii="Arial" w:cs="Arial" w:eastAsia="Arial" w:hAnsi="Arial"/>
          <w:sz w:val="19"/>
          <w:szCs w:val="19"/>
          <w:color w:val="auto"/>
        </w:rPr>
      </w:pPr>
    </w:p>
    <w:p>
      <w:pPr>
        <w:spacing w:after="0" w:line="380" w:lineRule="exact"/>
        <w:rPr>
          <w:rFonts w:ascii="Arial" w:cs="Arial" w:eastAsia="Arial" w:hAnsi="Arial"/>
          <w:sz w:val="19"/>
          <w:szCs w:val="19"/>
          <w:color w:val="auto"/>
        </w:rPr>
      </w:pPr>
    </w:p>
    <w:p>
      <w:pPr>
        <w:ind w:left="4420" w:hanging="120"/>
        <w:spacing w:after="0"/>
        <w:tabs>
          <w:tab w:leader="none" w:pos="4420" w:val="left"/>
        </w:tabs>
        <w:numPr>
          <w:ilvl w:val="2"/>
          <w:numId w:val="209"/>
        </w:numPr>
        <w:rPr>
          <w:rFonts w:ascii="Arial" w:cs="Arial" w:eastAsia="Arial" w:hAnsi="Arial"/>
          <w:sz w:val="20"/>
          <w:szCs w:val="20"/>
          <w:color w:val="auto"/>
        </w:rPr>
      </w:pPr>
      <w:r>
        <w:rPr>
          <w:rFonts w:ascii="Arial" w:cs="Arial" w:eastAsia="Arial" w:hAnsi="Arial"/>
          <w:sz w:val="20"/>
          <w:szCs w:val="20"/>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48895</wp:posOffset>
            </wp:positionV>
            <wp:extent cx="72720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6" w:right="239" w:bottom="1440" w:gutter="0" w:footer="0" w:header="0"/>
        </w:sectPr>
      </w:pPr>
    </w:p>
    <w:bookmarkStart w:id="280" w:name="page281"/>
    <w:bookmarkEnd w:id="280"/>
    <w:p>
      <w:pPr>
        <w:ind w:right="20"/>
        <w:spacing w:after="0" w:line="278" w:lineRule="auto"/>
        <w:rPr>
          <w:sz w:val="20"/>
          <w:szCs w:val="20"/>
          <w:color w:val="auto"/>
        </w:rPr>
      </w:pPr>
      <w:r>
        <w:rPr>
          <w:rFonts w:ascii="Arial" w:cs="Arial" w:eastAsia="Arial" w:hAnsi="Arial"/>
          <w:sz w:val="18"/>
          <w:szCs w:val="18"/>
          <w:color w:val="auto"/>
        </w:rPr>
        <w:t xml:space="preserve">prepaid) the Loans in an aggregate amount equal to 100% of the Net Cash Proceeds of such Asset Disposition, Casualty or Condemnation;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prepayment caused by the receipt of Net Cash Proceeds from any Asset Disposition shall be required to the extent that the sum of such Net Cash Proceeds and all other Net Cash Proceeds from Asset Dispositions (other than any Asset Disposition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(other than clause (a)(xiii), (xiv), (xv), (xvi), (xvii) or (xxi))) occurring after the Closing Date and during the same fiscal year does not exceed $25,000,000 (it being understood that a prepayment shall only be required of such excess).</w:t>
      </w:r>
    </w:p>
    <w:p>
      <w:pPr>
        <w:spacing w:after="0" w:line="138" w:lineRule="exact"/>
        <w:rPr>
          <w:sz w:val="20"/>
          <w:szCs w:val="20"/>
          <w:color w:val="auto"/>
        </w:rPr>
      </w:pPr>
    </w:p>
    <w:p>
      <w:pPr>
        <w:ind w:right="140" w:firstLine="1467"/>
        <w:spacing w:after="0" w:line="274" w:lineRule="auto"/>
        <w:tabs>
          <w:tab w:leader="none" w:pos="2231" w:val="left"/>
        </w:tabs>
        <w:numPr>
          <w:ilvl w:val="0"/>
          <w:numId w:val="210"/>
        </w:numPr>
        <w:rPr>
          <w:rFonts w:ascii="Arial" w:cs="Arial" w:eastAsia="Arial" w:hAnsi="Arial"/>
          <w:sz w:val="20"/>
          <w:szCs w:val="20"/>
          <w:color w:val="auto"/>
        </w:rPr>
      </w:pPr>
      <w:r>
        <w:rPr>
          <w:rFonts w:ascii="Arial" w:cs="Arial" w:eastAsia="Arial" w:hAnsi="Arial"/>
          <w:sz w:val="20"/>
          <w:szCs w:val="20"/>
          <w:i w:val="1"/>
          <w:iCs w:val="1"/>
          <w:u w:val="single" w:color="auto"/>
          <w:color w:val="auto"/>
        </w:rPr>
        <w:t>Debt Issuances</w:t>
      </w:r>
      <w:r>
        <w:rPr>
          <w:rFonts w:ascii="Arial" w:cs="Arial" w:eastAsia="Arial" w:hAnsi="Arial"/>
          <w:sz w:val="20"/>
          <w:szCs w:val="20"/>
          <w:color w:val="auto"/>
        </w:rPr>
        <w:t>. Within one Business Day after receipt by Parent or any of its Restricted Subsidiaries of Net Cash</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Proceeds from any Debt Issuance (other than any Debt Issuance permitted pursuant to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of this Agreement other than Credit Agreement Refinancing Indebtedness), the Lead Borrower shall prepay (or cause to be prepaid) the Term Loans in an aggregate amount equal to 100% of the Net Cash Proceeds of such Debt Issuance.</w:t>
      </w:r>
    </w:p>
    <w:p>
      <w:pPr>
        <w:spacing w:after="0" w:line="151" w:lineRule="exact"/>
        <w:rPr>
          <w:rFonts w:ascii="Arial" w:cs="Arial" w:eastAsia="Arial" w:hAnsi="Arial"/>
          <w:sz w:val="20"/>
          <w:szCs w:val="20"/>
          <w:color w:val="auto"/>
        </w:rPr>
      </w:pPr>
    </w:p>
    <w:p>
      <w:pPr>
        <w:ind w:left="2180" w:hanging="713"/>
        <w:spacing w:after="0"/>
        <w:tabs>
          <w:tab w:leader="none" w:pos="2180" w:val="left"/>
        </w:tabs>
        <w:numPr>
          <w:ilvl w:val="0"/>
          <w:numId w:val="210"/>
        </w:numPr>
        <w:rPr>
          <w:rFonts w:ascii="Arial" w:cs="Arial" w:eastAsia="Arial" w:hAnsi="Arial"/>
          <w:sz w:val="18"/>
          <w:szCs w:val="18"/>
          <w:color w:val="auto"/>
        </w:rPr>
      </w:pPr>
      <w:r>
        <w:rPr>
          <w:rFonts w:ascii="Arial" w:cs="Arial" w:eastAsia="Arial" w:hAnsi="Arial"/>
          <w:sz w:val="18"/>
          <w:szCs w:val="18"/>
          <w:i w:val="1"/>
          <w:iCs w:val="1"/>
          <w:u w:val="single" w:color="auto"/>
          <w:color w:val="auto"/>
        </w:rPr>
        <w:t>Application of Mandatory Prepayments</w:t>
      </w:r>
      <w:r>
        <w:rPr>
          <w:rFonts w:ascii="Arial" w:cs="Arial" w:eastAsia="Arial" w:hAnsi="Arial"/>
          <w:sz w:val="18"/>
          <w:szCs w:val="18"/>
          <w:color w:val="auto"/>
        </w:rPr>
        <w:t>. All amounts required to be paid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2.09(c)</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applied as follows:</w:t>
      </w:r>
    </w:p>
    <w:p>
      <w:pPr>
        <w:spacing w:after="0" w:line="202" w:lineRule="exact"/>
        <w:rPr>
          <w:sz w:val="20"/>
          <w:szCs w:val="20"/>
          <w:color w:val="auto"/>
        </w:rPr>
      </w:pPr>
    </w:p>
    <w:p>
      <w:pPr>
        <w:ind w:left="660" w:firstLine="807"/>
        <w:spacing w:after="0" w:line="278" w:lineRule="auto"/>
        <w:tabs>
          <w:tab w:leader="none" w:pos="2231" w:val="left"/>
        </w:tabs>
        <w:numPr>
          <w:ilvl w:val="0"/>
          <w:numId w:val="211"/>
        </w:numPr>
        <w:rPr>
          <w:rFonts w:ascii="Arial" w:cs="Arial" w:eastAsia="Arial" w:hAnsi="Arial"/>
          <w:sz w:val="20"/>
          <w:szCs w:val="20"/>
          <w:color w:val="auto"/>
        </w:rPr>
      </w:pPr>
      <w:r>
        <w:rPr>
          <w:rFonts w:ascii="Arial" w:cs="Arial" w:eastAsia="Arial" w:hAnsi="Arial"/>
          <w:sz w:val="20"/>
          <w:szCs w:val="20"/>
          <w:color w:val="auto"/>
        </w:rPr>
        <w:t xml:space="preserve">with respect to all amounts paid pursuant to </w:t>
      </w:r>
      <w:r>
        <w:rPr>
          <w:rFonts w:ascii="Arial" w:cs="Arial" w:eastAsia="Arial" w:hAnsi="Arial"/>
          <w:sz w:val="20"/>
          <w:szCs w:val="20"/>
          <w:u w:val="single" w:color="auto"/>
          <w:color w:val="auto"/>
        </w:rPr>
        <w:t>Section 2.09(c)(i)</w:t>
      </w:r>
      <w:r>
        <w:rPr>
          <w:rFonts w:ascii="Arial" w:cs="Arial" w:eastAsia="Arial" w:hAnsi="Arial"/>
          <w:sz w:val="20"/>
          <w:szCs w:val="20"/>
          <w:color w:val="auto"/>
        </w:rPr>
        <w:t xml:space="preserve"> or in respect of an Other Revolving Loan pursuant to an analogous provision in any Refinancing Amendment, first to Swing Line Loans, second to Revolving Loans and any Other Revolving Loans, as applicable, and third to Cash Collateralize L/C Obligations; and</w:t>
      </w:r>
    </w:p>
    <w:p>
      <w:pPr>
        <w:spacing w:after="0" w:line="146" w:lineRule="exact"/>
        <w:rPr>
          <w:rFonts w:ascii="Arial" w:cs="Arial" w:eastAsia="Arial" w:hAnsi="Arial"/>
          <w:sz w:val="20"/>
          <w:szCs w:val="20"/>
          <w:color w:val="auto"/>
        </w:rPr>
      </w:pPr>
    </w:p>
    <w:p>
      <w:pPr>
        <w:ind w:left="660" w:right="80" w:firstLine="807"/>
        <w:spacing w:after="0" w:line="334" w:lineRule="auto"/>
        <w:tabs>
          <w:tab w:leader="none" w:pos="222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with respect to all amounts paid by the Lead Borrower pursuant to </w:t>
      </w:r>
      <w:r>
        <w:rPr>
          <w:rFonts w:ascii="Arial" w:cs="Arial" w:eastAsia="Arial" w:hAnsi="Arial"/>
          <w:sz w:val="16"/>
          <w:szCs w:val="16"/>
          <w:u w:val="single" w:color="auto"/>
          <w:color w:val="auto"/>
        </w:rPr>
        <w:t>Section 2.09(c)(iii)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except as may be otherwise specified in any Refinancing Amendment or Increase Joinder, as applicable (with respect to any Other Term Loans or Incremental Term Loans, as applicable, subject to such Refinancing Amendment or Increase Joinder,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Refinancing Amendment or Increase Joinder, as applicable, shall not provide for better than pro rata treatment for such Other Term Loans or Incremental Term Loans, as applicable, with respect of each other Class of Term Loans, Incremental Term Loans and Other Term Loans), ratably to the remaining Principal Amortization Payments;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Section 2.09(c)(iii)</w:t>
      </w:r>
      <w:r>
        <w:rPr>
          <w:rFonts w:ascii="Arial" w:cs="Arial" w:eastAsia="Arial" w:hAnsi="Arial"/>
          <w:sz w:val="16"/>
          <w:szCs w:val="16"/>
          <w:color w:val="auto"/>
        </w:rPr>
        <w:t xml:space="preserve">, at the Lead Borrower’s option, the Lead Borrower may apply a portion of such amounts to prepay outstanding Indebtedness incurred pursuant to </w:t>
      </w:r>
      <w:r>
        <w:rPr>
          <w:rFonts w:ascii="Arial" w:cs="Arial" w:eastAsia="Arial" w:hAnsi="Arial"/>
          <w:sz w:val="16"/>
          <w:szCs w:val="16"/>
          <w:u w:val="single" w:color="auto"/>
          <w:color w:val="auto"/>
        </w:rPr>
        <w:t>Section 7.01(s)</w:t>
      </w:r>
      <w:r>
        <w:rPr>
          <w:rFonts w:ascii="Arial" w:cs="Arial" w:eastAsia="Arial" w:hAnsi="Arial"/>
          <w:sz w:val="16"/>
          <w:szCs w:val="16"/>
          <w:color w:val="auto"/>
        </w:rPr>
        <w:t xml:space="preserve"> to the extent (x) such Indebtedness is secured by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Liens securing the Loans and (y) a mandatory prepayment in respect of such Asset Disposition, Casualty or Condemnation is required under the terms of such</w:t>
      </w:r>
    </w:p>
    <w:p>
      <w:pPr>
        <w:spacing w:after="0" w:line="5" w:lineRule="exact"/>
        <w:rPr>
          <w:sz w:val="20"/>
          <w:szCs w:val="20"/>
          <w:color w:val="auto"/>
        </w:rPr>
      </w:pPr>
    </w:p>
    <w:p>
      <w:pPr>
        <w:ind w:left="660" w:right="140"/>
        <w:spacing w:after="0" w:line="334" w:lineRule="auto"/>
        <w:rPr>
          <w:sz w:val="20"/>
          <w:szCs w:val="20"/>
          <w:color w:val="auto"/>
        </w:rPr>
      </w:pPr>
      <w:r>
        <w:rPr>
          <w:rFonts w:ascii="Arial" w:cs="Arial" w:eastAsia="Arial" w:hAnsi="Arial"/>
          <w:sz w:val="16"/>
          <w:szCs w:val="16"/>
          <w:color w:val="auto"/>
        </w:rPr>
        <w:t xml:space="preserve">other Indebtedness, in which case, the amount of prepayment required to be made with respect to such Net Cash Proceeds pursuant to </w:t>
      </w:r>
      <w:r>
        <w:rPr>
          <w:rFonts w:ascii="Arial" w:cs="Arial" w:eastAsia="Arial" w:hAnsi="Arial"/>
          <w:sz w:val="16"/>
          <w:szCs w:val="16"/>
          <w:u w:val="single" w:color="auto"/>
          <w:color w:val="auto"/>
        </w:rPr>
        <w:t>Section 2.09(c)(iii)</w:t>
      </w:r>
      <w:r>
        <w:rPr>
          <w:rFonts w:ascii="Arial" w:cs="Arial" w:eastAsia="Arial" w:hAnsi="Arial"/>
          <w:sz w:val="16"/>
          <w:szCs w:val="16"/>
          <w:color w:val="auto"/>
        </w:rPr>
        <w:t xml:space="preserve"> shall be deemed to be the amount equal to the product of (x) the amount of such Net Cash Proceeds multiplied by</w:t>
      </w:r>
    </w:p>
    <w:p>
      <w:pPr>
        <w:spacing w:after="0" w:line="1" w:lineRule="exact"/>
        <w:rPr>
          <w:sz w:val="20"/>
          <w:szCs w:val="20"/>
          <w:color w:val="auto"/>
        </w:rPr>
      </w:pPr>
    </w:p>
    <w:p>
      <w:pPr>
        <w:jc w:val="both"/>
        <w:ind w:left="660" w:right="60" w:hanging="4"/>
        <w:spacing w:after="0" w:line="378" w:lineRule="auto"/>
        <w:tabs>
          <w:tab w:leader="none" w:pos="9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a fraction, the numerator of which is the outstanding principal amount of Term Loans required to be prepaid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2.09(c)(iii)</w:t>
      </w:r>
      <w:r>
        <w:rPr>
          <w:rFonts w:ascii="Arial" w:cs="Arial" w:eastAsia="Arial" w:hAnsi="Arial"/>
          <w:sz w:val="16"/>
          <w:szCs w:val="16"/>
          <w:color w:val="auto"/>
        </w:rPr>
        <w:t xml:space="preserve"> and the denominator of which is the sum of the outstanding principal amount of such outstanding Indebtedness incurred pursuant to </w:t>
      </w:r>
      <w:r>
        <w:rPr>
          <w:rFonts w:ascii="Arial" w:cs="Arial" w:eastAsia="Arial" w:hAnsi="Arial"/>
          <w:sz w:val="16"/>
          <w:szCs w:val="16"/>
          <w:u w:val="single" w:color="auto"/>
          <w:color w:val="auto"/>
        </w:rPr>
        <w:t>Section 7.01(s)</w:t>
      </w:r>
      <w:r>
        <w:rPr>
          <w:rFonts w:ascii="Arial" w:cs="Arial" w:eastAsia="Arial" w:hAnsi="Arial"/>
          <w:sz w:val="16"/>
          <w:szCs w:val="16"/>
          <w:color w:val="auto"/>
        </w:rPr>
        <w:t xml:space="preserve"> and the outstanding principal amount of Term Loans required to be prepaid pursuant to </w:t>
      </w:r>
      <w:r>
        <w:rPr>
          <w:rFonts w:ascii="Arial" w:cs="Arial" w:eastAsia="Arial" w:hAnsi="Arial"/>
          <w:sz w:val="16"/>
          <w:szCs w:val="16"/>
          <w:u w:val="single" w:color="auto"/>
          <w:color w:val="auto"/>
        </w:rPr>
        <w:t>Section 2.09(c)(iii)</w:t>
      </w:r>
      <w:r>
        <w:rPr>
          <w:rFonts w:ascii="Arial" w:cs="Arial" w:eastAsia="Arial" w:hAnsi="Arial"/>
          <w:sz w:val="16"/>
          <w:szCs w:val="16"/>
          <w:color w:val="auto"/>
        </w:rPr>
        <w:t>.</w:t>
      </w:r>
    </w:p>
    <w:p>
      <w:pPr>
        <w:spacing w:after="0" w:line="76" w:lineRule="exact"/>
        <w:rPr>
          <w:rFonts w:ascii="Arial" w:cs="Arial" w:eastAsia="Arial" w:hAnsi="Arial"/>
          <w:sz w:val="16"/>
          <w:szCs w:val="16"/>
          <w:color w:val="auto"/>
        </w:rPr>
      </w:pPr>
    </w:p>
    <w:p>
      <w:pPr>
        <w:ind w:right="20" w:firstLine="1467"/>
        <w:spacing w:after="0" w:line="421" w:lineRule="auto"/>
        <w:tabs>
          <w:tab w:leader="none" w:pos="2231" w:val="left"/>
        </w:tabs>
        <w:numPr>
          <w:ilvl w:val="2"/>
          <w:numId w:val="212"/>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Payments Cumulative</w:t>
      </w:r>
      <w:r>
        <w:rPr>
          <w:rFonts w:ascii="Arial" w:cs="Arial" w:eastAsia="Arial" w:hAnsi="Arial"/>
          <w:sz w:val="16"/>
          <w:szCs w:val="16"/>
          <w:color w:val="auto"/>
        </w:rPr>
        <w:t>. Except as otherwise expressly provided in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2.09</w:t>
      </w:r>
      <w:r>
        <w:rPr>
          <w:rFonts w:ascii="Arial" w:cs="Arial" w:eastAsia="Arial" w:hAnsi="Arial"/>
          <w:sz w:val="16"/>
          <w:szCs w:val="16"/>
          <w:color w:val="auto"/>
        </w:rPr>
        <w:t>, payments required under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subsection or clause of this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are in addition to payments made or required under any other subsection or clause of this </w:t>
      </w:r>
      <w:r>
        <w:rPr>
          <w:rFonts w:ascii="Arial" w:cs="Arial" w:eastAsia="Arial" w:hAnsi="Arial"/>
          <w:sz w:val="16"/>
          <w:szCs w:val="16"/>
          <w:u w:val="single" w:color="auto"/>
          <w:color w:val="auto"/>
        </w:rPr>
        <w:t>Section 2.09</w:t>
      </w:r>
      <w:r>
        <w:rPr>
          <w:rFonts w:ascii="Arial" w:cs="Arial" w:eastAsia="Arial" w:hAnsi="Arial"/>
          <w:sz w:val="16"/>
          <w:szCs w:val="16"/>
          <w:color w:val="auto"/>
        </w:rPr>
        <w:t>.</w:t>
      </w:r>
    </w:p>
    <w:p>
      <w:pPr>
        <w:spacing w:after="0" w:line="124" w:lineRule="exact"/>
        <w:rPr>
          <w:rFonts w:ascii="Arial" w:cs="Arial" w:eastAsia="Arial" w:hAnsi="Arial"/>
          <w:sz w:val="16"/>
          <w:szCs w:val="16"/>
          <w:color w:val="auto"/>
        </w:rPr>
      </w:pPr>
    </w:p>
    <w:p>
      <w:pPr>
        <w:ind w:right="80" w:firstLine="1305"/>
        <w:spacing w:after="0" w:line="278" w:lineRule="auto"/>
        <w:tabs>
          <w:tab w:leader="none" w:pos="2175" w:val="left"/>
        </w:tabs>
        <w:numPr>
          <w:ilvl w:val="1"/>
          <w:numId w:val="212"/>
        </w:numPr>
        <w:rPr>
          <w:rFonts w:ascii="Arial" w:cs="Arial" w:eastAsia="Arial" w:hAnsi="Arial"/>
          <w:sz w:val="20"/>
          <w:szCs w:val="20"/>
          <w:color w:val="auto"/>
        </w:rPr>
      </w:pPr>
      <w:r>
        <w:rPr>
          <w:rFonts w:ascii="Arial" w:cs="Arial" w:eastAsia="Arial" w:hAnsi="Arial"/>
          <w:sz w:val="20"/>
          <w:szCs w:val="20"/>
          <w:i w:val="1"/>
          <w:iCs w:val="1"/>
          <w:u w:val="single" w:color="auto"/>
          <w:color w:val="auto"/>
        </w:rPr>
        <w:t>Notice of Mandatory Prepayment Events</w:t>
      </w:r>
      <w:r>
        <w:rPr>
          <w:rFonts w:ascii="Arial" w:cs="Arial" w:eastAsia="Arial" w:hAnsi="Arial"/>
          <w:sz w:val="20"/>
          <w:szCs w:val="20"/>
          <w:color w:val="auto"/>
        </w:rPr>
        <w:t>. The Lead Borrower shall use commercially reasonable efforts to give to</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the Administrative Agent, and the Lenders, at least one Business Day’s prior written or telecopy notice of each and every prepayment required under </w:t>
      </w:r>
      <w:r>
        <w:rPr>
          <w:rFonts w:ascii="Arial" w:cs="Arial" w:eastAsia="Arial" w:hAnsi="Arial"/>
          <w:sz w:val="20"/>
          <w:szCs w:val="20"/>
          <w:u w:val="single" w:color="auto"/>
          <w:color w:val="auto"/>
        </w:rPr>
        <w:t>Section</w:t>
      </w:r>
    </w:p>
    <w:p>
      <w:pPr>
        <w:spacing w:after="0" w:line="200" w:lineRule="exact"/>
        <w:rPr>
          <w:rFonts w:ascii="Arial" w:cs="Arial" w:eastAsia="Arial" w:hAnsi="Arial"/>
          <w:sz w:val="20"/>
          <w:szCs w:val="20"/>
          <w:color w:val="auto"/>
        </w:rPr>
      </w:pPr>
    </w:p>
    <w:p>
      <w:pPr>
        <w:spacing w:after="0" w:line="297" w:lineRule="exact"/>
        <w:rPr>
          <w:rFonts w:ascii="Arial" w:cs="Arial" w:eastAsia="Arial" w:hAnsi="Arial"/>
          <w:sz w:val="20"/>
          <w:szCs w:val="20"/>
          <w:color w:val="auto"/>
        </w:rPr>
      </w:pPr>
    </w:p>
    <w:p>
      <w:pPr>
        <w:ind w:left="5620" w:hanging="120"/>
        <w:spacing w:after="0"/>
        <w:tabs>
          <w:tab w:leader="none" w:pos="5620" w:val="left"/>
        </w:tabs>
        <w:numPr>
          <w:ilvl w:val="3"/>
          <w:numId w:val="212"/>
        </w:numPr>
        <w:rPr>
          <w:rFonts w:ascii="Arial" w:cs="Arial" w:eastAsia="Arial" w:hAnsi="Arial"/>
          <w:sz w:val="20"/>
          <w:szCs w:val="20"/>
          <w:color w:val="auto"/>
        </w:rPr>
      </w:pPr>
      <w:r>
        <w:rPr>
          <w:rFonts w:ascii="Arial" w:cs="Arial" w:eastAsia="Arial" w:hAnsi="Arial"/>
          <w:sz w:val="20"/>
          <w:szCs w:val="20"/>
          <w:color w:val="auto"/>
        </w:rPr>
        <w:t>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6" w:right="279" w:bottom="1440" w:gutter="0" w:footer="0" w:header="0"/>
        </w:sectPr>
      </w:pPr>
    </w:p>
    <w:bookmarkStart w:id="281" w:name="page282"/>
    <w:bookmarkEnd w:id="281"/>
    <w:p>
      <w:pPr>
        <w:ind w:right="80"/>
        <w:spacing w:after="0" w:line="289" w:lineRule="auto"/>
        <w:rPr>
          <w:sz w:val="20"/>
          <w:szCs w:val="20"/>
          <w:color w:val="auto"/>
        </w:rPr>
      </w:pPr>
      <w:r>
        <w:rPr>
          <w:rFonts w:ascii="Arial" w:cs="Arial" w:eastAsia="Arial" w:hAnsi="Arial"/>
          <w:sz w:val="20"/>
          <w:szCs w:val="20"/>
          <w:u w:val="single" w:color="auto"/>
          <w:color w:val="auto"/>
        </w:rPr>
        <w:t>2.09(c)(iii)</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(iv)</w:t>
      </w:r>
      <w:r>
        <w:rPr>
          <w:rFonts w:ascii="Arial" w:cs="Arial" w:eastAsia="Arial" w:hAnsi="Arial"/>
          <w:sz w:val="20"/>
          <w:szCs w:val="20"/>
          <w:color w:val="auto"/>
        </w:rPr>
        <w:t>, including the amount of Net Cash Proceeds expected to be received therefrom and the expected schedule for receiving such proceeds.</w:t>
      </w:r>
    </w:p>
    <w:p>
      <w:pPr>
        <w:spacing w:after="0" w:line="121" w:lineRule="exact"/>
        <w:rPr>
          <w:sz w:val="20"/>
          <w:szCs w:val="20"/>
          <w:color w:val="auto"/>
        </w:rPr>
      </w:pPr>
    </w:p>
    <w:p>
      <w:pPr>
        <w:ind w:firstLine="1305"/>
        <w:spacing w:after="0" w:line="300" w:lineRule="auto"/>
        <w:tabs>
          <w:tab w:leader="none" w:pos="2164" w:val="left"/>
        </w:tabs>
        <w:numPr>
          <w:ilvl w:val="0"/>
          <w:numId w:val="213"/>
        </w:numPr>
        <w:rPr>
          <w:rFonts w:ascii="Arial" w:cs="Arial" w:eastAsia="Arial" w:hAnsi="Arial"/>
          <w:sz w:val="18"/>
          <w:szCs w:val="18"/>
          <w:color w:val="auto"/>
        </w:rPr>
      </w:pPr>
      <w:r>
        <w:rPr>
          <w:rFonts w:ascii="Arial" w:cs="Arial" w:eastAsia="Arial" w:hAnsi="Arial"/>
          <w:sz w:val="18"/>
          <w:szCs w:val="18"/>
          <w:i w:val="1"/>
          <w:iCs w:val="1"/>
          <w:u w:val="single" w:color="auto"/>
          <w:color w:val="auto"/>
        </w:rPr>
        <w:t>Notices of Prepayments</w:t>
      </w:r>
      <w:r>
        <w:rPr>
          <w:rFonts w:ascii="Arial" w:cs="Arial" w:eastAsia="Arial" w:hAnsi="Arial"/>
          <w:sz w:val="18"/>
          <w:szCs w:val="18"/>
          <w:color w:val="auto"/>
        </w:rPr>
        <w:t>. Other than as specified in subsection (d) above, the applicable Borrower shall notify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Administrative Agent, in the case of any Revolving Loan which is a Base Rate Loan, by 11:00 A.M. on the date of any voluntary prepayment hereunder and, in the case of any other Loan, by 11:00 A.M. at least three Business Days prior to the date of voluntary prepayment in the case of Eurodollar Loans and at least one Business Day prior to the date of voluntary prepayment in the case of Base Rate Loans. Each notice of prepayment shall be substantially in the form of </w:t>
      </w:r>
      <w:r>
        <w:rPr>
          <w:rFonts w:ascii="Arial" w:cs="Arial" w:eastAsia="Arial" w:hAnsi="Arial"/>
          <w:sz w:val="18"/>
          <w:szCs w:val="18"/>
          <w:u w:val="single" w:color="auto"/>
          <w:color w:val="auto"/>
        </w:rPr>
        <w:t>Exhibit S</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 and shall specify the prepayment date, the principal amount to be prepaid, whether the Loan to be prepaid is a Revolving Loan or a Term Loan, whether the Loan to be prepaid is a Eurodollar Loan or a Base Rate Loan and, in the case of a Eurodollar Loan, the Interest Period of such Loan. The Administrative Agent will promptly notify each Lender of its receipt of each such notice, and of the amount of such Lender’s pro rata share, if any, thereof. Once such notice is given by a Borrower, such Borrower shall make such prepayment and the payment amount specified in such notice shall be due and payable as specified therein. Subject to the foregoing, amounts prepaid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shall be applied as the applicable Borrower may elect;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Borrower fails to specify the application of a voluntary prepayment of Term Loans, then, except as may be otherwise specified in any Refinancing Amendment, such prepayments shall be applied ratably to the remaining Principal Amortization Payments. Amounts prepaid under </w:t>
      </w:r>
      <w:r>
        <w:rPr>
          <w:rFonts w:ascii="Arial" w:cs="Arial" w:eastAsia="Arial" w:hAnsi="Arial"/>
          <w:sz w:val="18"/>
          <w:szCs w:val="18"/>
          <w:u w:val="single" w:color="auto"/>
          <w:color w:val="auto"/>
        </w:rPr>
        <w:t>Section 2.09(c)</w:t>
      </w:r>
      <w:r>
        <w:rPr>
          <w:rFonts w:ascii="Arial" w:cs="Arial" w:eastAsia="Arial" w:hAnsi="Arial"/>
          <w:sz w:val="18"/>
          <w:szCs w:val="18"/>
          <w:color w:val="auto"/>
        </w:rPr>
        <w:t xml:space="preserve"> shall be applied as set forth therein. All prepayments of Eurodollar Loans under this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shall be accompanied by accrued interest on the principal amount being prepaid to the date of payment,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2160" w:hanging="855"/>
        <w:spacing w:after="0"/>
        <w:tabs>
          <w:tab w:leader="none" w:pos="2160" w:val="left"/>
        </w:tabs>
        <w:numPr>
          <w:ilvl w:val="0"/>
          <w:numId w:val="213"/>
        </w:numPr>
        <w:rPr>
          <w:rFonts w:ascii="Arial" w:cs="Arial" w:eastAsia="Arial" w:hAnsi="Arial"/>
          <w:sz w:val="18"/>
          <w:szCs w:val="18"/>
          <w:color w:val="auto"/>
        </w:rPr>
      </w:pPr>
      <w:r>
        <w:rPr>
          <w:rFonts w:ascii="Arial" w:cs="Arial" w:eastAsia="Arial" w:hAnsi="Arial"/>
          <w:sz w:val="18"/>
          <w:szCs w:val="18"/>
          <w:i w:val="1"/>
          <w:iCs w:val="1"/>
          <w:u w:val="single" w:color="auto"/>
          <w:color w:val="auto"/>
        </w:rPr>
        <w:t>Rejected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of any prepayment of any Term Loans of any Term Lender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w:t>
      </w:r>
    </w:p>
    <w:p>
      <w:pPr>
        <w:spacing w:after="0" w:line="50"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u w:val="single" w:color="auto"/>
          <w:color w:val="auto"/>
        </w:rPr>
        <w:t>2.09(c)(iii)</w:t>
      </w:r>
      <w:r>
        <w:rPr>
          <w:rFonts w:ascii="Arial" w:cs="Arial" w:eastAsia="Arial" w:hAnsi="Arial"/>
          <w:sz w:val="19"/>
          <w:szCs w:val="19"/>
          <w:color w:val="auto"/>
        </w:rPr>
        <w:t xml:space="preserve"> (an “</w:t>
      </w:r>
      <w:r>
        <w:rPr>
          <w:rFonts w:ascii="Arial" w:cs="Arial" w:eastAsia="Arial" w:hAnsi="Arial"/>
          <w:sz w:val="19"/>
          <w:szCs w:val="19"/>
          <w:u w:val="single" w:color="auto"/>
          <w:color w:val="auto"/>
        </w:rPr>
        <w:t>Applicable Prepayment</w:t>
      </w:r>
      <w:r>
        <w:rPr>
          <w:rFonts w:ascii="Arial" w:cs="Arial" w:eastAsia="Arial" w:hAnsi="Arial"/>
          <w:sz w:val="19"/>
          <w:szCs w:val="19"/>
          <w:color w:val="auto"/>
        </w:rPr>
        <w:t>”), such Lender may reject all, but not less than all, of its share of such Applicable Prepayment by written notice (each, a “</w:t>
      </w:r>
      <w:r>
        <w:rPr>
          <w:rFonts w:ascii="Arial" w:cs="Arial" w:eastAsia="Arial" w:hAnsi="Arial"/>
          <w:sz w:val="19"/>
          <w:szCs w:val="19"/>
          <w:u w:val="single" w:color="auto"/>
          <w:color w:val="auto"/>
        </w:rPr>
        <w:t>Rejection Notice</w:t>
      </w:r>
      <w:r>
        <w:rPr>
          <w:rFonts w:ascii="Arial" w:cs="Arial" w:eastAsia="Arial" w:hAnsi="Arial"/>
          <w:sz w:val="19"/>
          <w:szCs w:val="19"/>
          <w:color w:val="auto"/>
        </w:rPr>
        <w:t>”) to the Administrative Agent no later than 12:00 P.M. (New York time) one Business Day after the date of such Term Lender’s receipt of notice of such Applicable Prepayment as otherwise provided herein (the “</w:t>
      </w:r>
      <w:r>
        <w:rPr>
          <w:rFonts w:ascii="Arial" w:cs="Arial" w:eastAsia="Arial" w:hAnsi="Arial"/>
          <w:sz w:val="19"/>
          <w:szCs w:val="19"/>
          <w:u w:val="single" w:color="auto"/>
          <w:color w:val="auto"/>
        </w:rPr>
        <w:t>Rejection Deadline</w:t>
      </w:r>
      <w:r>
        <w:rPr>
          <w:rFonts w:ascii="Arial" w:cs="Arial" w:eastAsia="Arial" w:hAnsi="Arial"/>
          <w:sz w:val="19"/>
          <w:szCs w:val="19"/>
          <w:color w:val="auto"/>
        </w:rPr>
        <w:t>”). If a Term Lender fails to deliver a Rejection Notice to the Administrative Agent at or prior to the Rejection Deadline, such Term Lender will be deemed to have accepted its share of the Applicable Prepayment. The aggregate portion of such Applicable Prepayment that is rejected by Term Lenders pursuant to Rejection Notices shall be referred to as the “</w:t>
      </w:r>
      <w:r>
        <w:rPr>
          <w:rFonts w:ascii="Arial" w:cs="Arial" w:eastAsia="Arial" w:hAnsi="Arial"/>
          <w:sz w:val="19"/>
          <w:szCs w:val="19"/>
          <w:u w:val="single" w:color="auto"/>
          <w:color w:val="auto"/>
        </w:rPr>
        <w:t>Rejected Amount</w:t>
      </w:r>
      <w:r>
        <w:rPr>
          <w:rFonts w:ascii="Arial" w:cs="Arial" w:eastAsia="Arial" w:hAnsi="Arial"/>
          <w:sz w:val="19"/>
          <w:szCs w:val="19"/>
          <w:color w:val="auto"/>
        </w:rPr>
        <w:t>.” The Rejected Amount may be used by the Lead Borrower in any manner not prohibited by the Loan Documents.</w:t>
      </w:r>
    </w:p>
    <w:p>
      <w:pPr>
        <w:spacing w:after="0" w:line="83"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2.10</w:t>
      </w:r>
      <w:r>
        <w:rPr>
          <w:sz w:val="20"/>
          <w:szCs w:val="20"/>
          <w:color w:val="auto"/>
        </w:rPr>
        <w:tab/>
      </w:r>
      <w:r>
        <w:rPr>
          <w:rFonts w:ascii="Arial" w:cs="Arial" w:eastAsia="Arial" w:hAnsi="Arial"/>
          <w:sz w:val="18"/>
          <w:szCs w:val="18"/>
          <w:u w:val="single" w:color="auto"/>
          <w:color w:val="auto"/>
        </w:rPr>
        <w:t>Adjustment of Commitments</w:t>
      </w:r>
      <w:r>
        <w:rPr>
          <w:rFonts w:ascii="Arial" w:cs="Arial" w:eastAsia="Arial" w:hAnsi="Arial"/>
          <w:sz w:val="18"/>
          <w:szCs w:val="18"/>
          <w:color w:val="auto"/>
        </w:rPr>
        <w:t>.</w:t>
      </w:r>
    </w:p>
    <w:p>
      <w:pPr>
        <w:spacing w:after="0" w:line="208" w:lineRule="exact"/>
        <w:rPr>
          <w:sz w:val="20"/>
          <w:szCs w:val="20"/>
          <w:color w:val="auto"/>
        </w:rPr>
      </w:pPr>
    </w:p>
    <w:p>
      <w:pPr>
        <w:ind w:firstLine="1305"/>
        <w:spacing w:after="0" w:line="270" w:lineRule="auto"/>
        <w:tabs>
          <w:tab w:leader="none" w:pos="2164" w:val="left"/>
        </w:tabs>
        <w:numPr>
          <w:ilvl w:val="0"/>
          <w:numId w:val="214"/>
        </w:numPr>
        <w:rPr>
          <w:rFonts w:ascii="Arial" w:cs="Arial" w:eastAsia="Arial" w:hAnsi="Arial"/>
          <w:sz w:val="20"/>
          <w:szCs w:val="20"/>
          <w:color w:val="auto"/>
        </w:rPr>
      </w:pPr>
      <w:r>
        <w:rPr>
          <w:rFonts w:ascii="Arial" w:cs="Arial" w:eastAsia="Arial" w:hAnsi="Arial"/>
          <w:sz w:val="20"/>
          <w:szCs w:val="20"/>
          <w:i w:val="1"/>
          <w:iCs w:val="1"/>
          <w:u w:val="single" w:color="auto"/>
          <w:color w:val="auto"/>
        </w:rPr>
        <w:t>Optional Termination or Reduction of Commitments (Pro rata)</w:t>
      </w:r>
      <w:r>
        <w:rPr>
          <w:rFonts w:ascii="Arial" w:cs="Arial" w:eastAsia="Arial" w:hAnsi="Arial"/>
          <w:sz w:val="20"/>
          <w:szCs w:val="20"/>
          <w:color w:val="auto"/>
        </w:rPr>
        <w:t>. Each Borrower may from time to time permanently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reduce or terminate the Revolving Committed Amount, as applicable, in whole or in part (in minimum aggregate amounts of $5,000,000 or any whole multiple of $1,000,000 in excess thereof (or, if less, the full remaining amount of the then applicable Revolving Committed Amount));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written or telecopy notice (which notice may be conditional on the receipt of other financing to the extent specified in such notice) shall be received by the Administrative Agent not later than 11:00 A.M. five Business Days prior to the date of reduction or termination;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such termination or reduction shall be made which would cause the Revolving Outstandings to exceed the Revolving Committed Amount as so reduced, unless, concurrently with such termination or reduction, the Revolving Loans are repaid (and, after the Revolving Loans have been paid in full, the Swing Line Loans are repaid and, after the Swing Line Loans have been paid in full, the L/C</w:t>
      </w:r>
    </w:p>
    <w:p>
      <w:pPr>
        <w:spacing w:after="0" w:line="200" w:lineRule="exact"/>
        <w:rPr>
          <w:rFonts w:ascii="Arial" w:cs="Arial" w:eastAsia="Arial" w:hAnsi="Arial"/>
          <w:sz w:val="20"/>
          <w:szCs w:val="20"/>
          <w:color w:val="auto"/>
        </w:rPr>
      </w:pPr>
    </w:p>
    <w:p>
      <w:pPr>
        <w:spacing w:after="0" w:line="226" w:lineRule="exact"/>
        <w:rPr>
          <w:rFonts w:ascii="Arial" w:cs="Arial" w:eastAsia="Arial" w:hAnsi="Arial"/>
          <w:sz w:val="20"/>
          <w:szCs w:val="20"/>
          <w:color w:val="auto"/>
        </w:rPr>
      </w:pPr>
    </w:p>
    <w:p>
      <w:pPr>
        <w:ind w:left="5620" w:hanging="120"/>
        <w:spacing w:after="0"/>
        <w:tabs>
          <w:tab w:leader="none" w:pos="5620" w:val="left"/>
        </w:tabs>
        <w:numPr>
          <w:ilvl w:val="1"/>
          <w:numId w:val="214"/>
        </w:numPr>
        <w:rPr>
          <w:rFonts w:ascii="Arial" w:cs="Arial" w:eastAsia="Arial" w:hAnsi="Arial"/>
          <w:sz w:val="20"/>
          <w:szCs w:val="20"/>
          <w:color w:val="auto"/>
        </w:rPr>
      </w:pPr>
      <w:r>
        <w:rPr>
          <w:rFonts w:ascii="Arial" w:cs="Arial" w:eastAsia="Arial" w:hAnsi="Arial"/>
          <w:sz w:val="20"/>
          <w:szCs w:val="20"/>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2" w:name="page283"/>
    <w:bookmarkEnd w:id="282"/>
    <w:p>
      <w:pPr>
        <w:ind w:right="40"/>
        <w:spacing w:after="0" w:line="243" w:lineRule="auto"/>
        <w:rPr>
          <w:sz w:val="20"/>
          <w:szCs w:val="20"/>
          <w:color w:val="auto"/>
        </w:rPr>
      </w:pPr>
      <w:r>
        <w:rPr>
          <w:rFonts w:ascii="Arial" w:cs="Arial" w:eastAsia="Arial" w:hAnsi="Arial"/>
          <w:sz w:val="20"/>
          <w:szCs w:val="20"/>
          <w:color w:val="auto"/>
        </w:rPr>
        <w:t xml:space="preserve">Obligations are Cash Collateralized) to the extent necessary to eliminate such excess. The Administrative Agent shall promptly notify each affected Lender of the receipt by the Administrative Agent of any notice from a Borrower pursuant to this </w:t>
      </w:r>
      <w:r>
        <w:rPr>
          <w:rFonts w:ascii="Arial" w:cs="Arial" w:eastAsia="Arial" w:hAnsi="Arial"/>
          <w:sz w:val="20"/>
          <w:szCs w:val="20"/>
          <w:u w:val="single" w:color="auto"/>
          <w:color w:val="auto"/>
        </w:rPr>
        <w:t>Section 2.10(a)</w:t>
      </w:r>
      <w:r>
        <w:rPr>
          <w:rFonts w:ascii="Arial" w:cs="Arial" w:eastAsia="Arial" w:hAnsi="Arial"/>
          <w:sz w:val="20"/>
          <w:szCs w:val="20"/>
          <w:color w:val="auto"/>
        </w:rPr>
        <w:t xml:space="preserve">. Any partial reduction of the Revolving Committed Amount pursuant to this </w:t>
      </w:r>
      <w:r>
        <w:rPr>
          <w:rFonts w:ascii="Arial" w:cs="Arial" w:eastAsia="Arial" w:hAnsi="Arial"/>
          <w:sz w:val="20"/>
          <w:szCs w:val="20"/>
          <w:u w:val="single" w:color="auto"/>
          <w:color w:val="auto"/>
        </w:rPr>
        <w:t>Section 2.10(a)</w:t>
      </w:r>
      <w:r>
        <w:rPr>
          <w:rFonts w:ascii="Arial" w:cs="Arial" w:eastAsia="Arial" w:hAnsi="Arial"/>
          <w:sz w:val="20"/>
          <w:szCs w:val="20"/>
          <w:color w:val="auto"/>
        </w:rPr>
        <w:t xml:space="preserve"> shall be applied to the Revolving Commitments of the Lenders pro rata based upon their respective Revolving Commitment Percentages. The applicable Borrower shall pay to the Administrative Agent for the account of the Lenders in accordance with the terms of </w:t>
      </w:r>
      <w:r>
        <w:rPr>
          <w:rFonts w:ascii="Arial" w:cs="Arial" w:eastAsia="Arial" w:hAnsi="Arial"/>
          <w:sz w:val="20"/>
          <w:szCs w:val="20"/>
          <w:u w:val="single" w:color="auto"/>
          <w:color w:val="auto"/>
        </w:rPr>
        <w:t>Section 2.11</w:t>
      </w:r>
      <w:r>
        <w:rPr>
          <w:rFonts w:ascii="Arial" w:cs="Arial" w:eastAsia="Arial" w:hAnsi="Arial"/>
          <w:sz w:val="20"/>
          <w:szCs w:val="20"/>
          <w:color w:val="auto"/>
        </w:rPr>
        <w:t>, on the date of each termination or reduction of the Revolving Committed Amount, any fees accrued through the date of such termination or reduction on the amount of the Revolving Committed Amount so terminated or reduced.</w:t>
      </w:r>
    </w:p>
    <w:p>
      <w:pPr>
        <w:spacing w:after="0" w:line="166" w:lineRule="exact"/>
        <w:rPr>
          <w:sz w:val="20"/>
          <w:szCs w:val="20"/>
          <w:color w:val="auto"/>
        </w:rPr>
      </w:pPr>
    </w:p>
    <w:p>
      <w:pPr>
        <w:ind w:right="120" w:firstLine="1305"/>
        <w:spacing w:after="0" w:line="274" w:lineRule="auto"/>
        <w:tabs>
          <w:tab w:leader="none" w:pos="2175" w:val="left"/>
        </w:tabs>
        <w:numPr>
          <w:ilvl w:val="0"/>
          <w:numId w:val="215"/>
        </w:numPr>
        <w:rPr>
          <w:rFonts w:ascii="Arial" w:cs="Arial" w:eastAsia="Arial" w:hAnsi="Arial"/>
          <w:sz w:val="20"/>
          <w:szCs w:val="20"/>
          <w:color w:val="auto"/>
        </w:rPr>
      </w:pPr>
      <w:r>
        <w:rPr>
          <w:rFonts w:ascii="Arial" w:cs="Arial" w:eastAsia="Arial" w:hAnsi="Arial"/>
          <w:sz w:val="20"/>
          <w:szCs w:val="20"/>
          <w:i w:val="1"/>
          <w:iCs w:val="1"/>
          <w:u w:val="single" w:color="auto"/>
          <w:color w:val="auto"/>
        </w:rPr>
        <w:t>Termination</w:t>
      </w:r>
      <w:r>
        <w:rPr>
          <w:rFonts w:ascii="Arial" w:cs="Arial" w:eastAsia="Arial" w:hAnsi="Arial"/>
          <w:sz w:val="20"/>
          <w:szCs w:val="20"/>
          <w:color w:val="auto"/>
        </w:rPr>
        <w:t>. The Revolving Commitments and the related L/C Commitments of the relevant L/C Issuers shall</w:t>
      </w:r>
      <w:r>
        <w:rPr>
          <w:rFonts w:ascii="Arial" w:cs="Arial" w:eastAsia="Arial" w:hAnsi="Arial"/>
          <w:sz w:val="20"/>
          <w:szCs w:val="20"/>
          <w:i w:val="1"/>
          <w:iCs w:val="1"/>
          <w:color w:val="auto"/>
        </w:rPr>
        <w:t xml:space="preserve"> </w:t>
      </w:r>
      <w:r>
        <w:rPr>
          <w:rFonts w:ascii="Arial" w:cs="Arial" w:eastAsia="Arial" w:hAnsi="Arial"/>
          <w:sz w:val="20"/>
          <w:szCs w:val="20"/>
          <w:color w:val="auto"/>
        </w:rPr>
        <w:t>terminate automatically on the Revolving Termination Date. The Swing Line Commitment of the Swing Line Lender shall terminate automatically on the Swing Line Termination Date. The Term Commitments shall terminate automatically immediately after the making of the Term Loans on the Closing Date.</w:t>
      </w:r>
    </w:p>
    <w:p>
      <w:pPr>
        <w:spacing w:after="0" w:line="151" w:lineRule="exact"/>
        <w:rPr>
          <w:rFonts w:ascii="Arial" w:cs="Arial" w:eastAsia="Arial" w:hAnsi="Arial"/>
          <w:sz w:val="20"/>
          <w:szCs w:val="20"/>
          <w:color w:val="auto"/>
        </w:rPr>
      </w:pPr>
    </w:p>
    <w:p>
      <w:pPr>
        <w:jc w:val="both"/>
        <w:ind w:right="100" w:firstLine="1305"/>
        <w:spacing w:after="0" w:line="274" w:lineRule="auto"/>
        <w:tabs>
          <w:tab w:leader="none" w:pos="2164" w:val="left"/>
        </w:tabs>
        <w:numPr>
          <w:ilvl w:val="0"/>
          <w:numId w:val="215"/>
        </w:numPr>
        <w:rPr>
          <w:rFonts w:ascii="Arial" w:cs="Arial" w:eastAsia="Arial" w:hAnsi="Arial"/>
          <w:sz w:val="20"/>
          <w:szCs w:val="20"/>
          <w:color w:val="auto"/>
        </w:rPr>
      </w:pPr>
      <w:r>
        <w:rPr>
          <w:rFonts w:ascii="Arial" w:cs="Arial" w:eastAsia="Arial" w:hAnsi="Arial"/>
          <w:sz w:val="20"/>
          <w:szCs w:val="20"/>
          <w:i w:val="1"/>
          <w:iCs w:val="1"/>
          <w:u w:val="single" w:color="auto"/>
          <w:color w:val="auto"/>
        </w:rPr>
        <w:t>General</w:t>
      </w:r>
      <w:r>
        <w:rPr>
          <w:rFonts w:ascii="Arial" w:cs="Arial" w:eastAsia="Arial" w:hAnsi="Arial"/>
          <w:sz w:val="20"/>
          <w:szCs w:val="20"/>
          <w:color w:val="auto"/>
        </w:rPr>
        <w:t>. The applicable Borrower shall pay to the Administrative Agent for the account of the Lenders in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accordance with the terms of this </w:t>
      </w:r>
      <w:r>
        <w:rPr>
          <w:rFonts w:ascii="Arial" w:cs="Arial" w:eastAsia="Arial" w:hAnsi="Arial"/>
          <w:sz w:val="20"/>
          <w:szCs w:val="20"/>
          <w:u w:val="single" w:color="auto"/>
          <w:color w:val="auto"/>
        </w:rPr>
        <w:t>Section 2.10</w:t>
      </w:r>
      <w:r>
        <w:rPr>
          <w:rFonts w:ascii="Arial" w:cs="Arial" w:eastAsia="Arial" w:hAnsi="Arial"/>
          <w:sz w:val="20"/>
          <w:szCs w:val="20"/>
          <w:color w:val="auto"/>
        </w:rPr>
        <w:t>, on the date of each termination or reduction of the Revolving Committed Amount, the Commitment Fee accrued through the date of such termination or reduction on the amount of the Revolving Committed Amount so terminated or reduced.</w:t>
      </w:r>
    </w:p>
    <w:p>
      <w:pPr>
        <w:spacing w:after="0" w:line="240"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0"/>
          <w:szCs w:val="20"/>
          <w:b w:val="1"/>
          <w:bCs w:val="1"/>
          <w:color w:val="auto"/>
        </w:rPr>
        <w:t>Section 2.11</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235" w:lineRule="exact"/>
        <w:rPr>
          <w:sz w:val="20"/>
          <w:szCs w:val="20"/>
          <w:color w:val="auto"/>
        </w:rPr>
      </w:pPr>
    </w:p>
    <w:p>
      <w:pPr>
        <w:ind w:firstLine="1305"/>
        <w:spacing w:after="0" w:line="352" w:lineRule="auto"/>
        <w:tabs>
          <w:tab w:leader="none" w:pos="2164" w:val="left"/>
        </w:tabs>
        <w:numPr>
          <w:ilvl w:val="0"/>
          <w:numId w:val="216"/>
        </w:numPr>
        <w:rPr>
          <w:rFonts w:ascii="Arial" w:cs="Arial" w:eastAsia="Arial" w:hAnsi="Arial"/>
          <w:sz w:val="16"/>
          <w:szCs w:val="16"/>
          <w:color w:val="auto"/>
        </w:rPr>
      </w:pPr>
      <w:r>
        <w:rPr>
          <w:rFonts w:ascii="Arial" w:cs="Arial" w:eastAsia="Arial" w:hAnsi="Arial"/>
          <w:sz w:val="16"/>
          <w:szCs w:val="16"/>
          <w:i w:val="1"/>
          <w:iCs w:val="1"/>
          <w:u w:val="single" w:color="auto"/>
          <w:color w:val="auto"/>
        </w:rPr>
        <w:t>Commitment Fee</w:t>
      </w:r>
      <w:r>
        <w:rPr>
          <w:rFonts w:ascii="Arial" w:cs="Arial" w:eastAsia="Arial" w:hAnsi="Arial"/>
          <w:sz w:val="16"/>
          <w:szCs w:val="16"/>
          <w:color w:val="auto"/>
        </w:rPr>
        <w:t>. The Lead Borrower shall pay to the Administrative Agent for the account of each Revolving</w:t>
      </w:r>
      <w:r>
        <w:rPr>
          <w:rFonts w:ascii="Arial" w:cs="Arial" w:eastAsia="Arial" w:hAnsi="Arial"/>
          <w:sz w:val="16"/>
          <w:szCs w:val="16"/>
          <w:i w:val="1"/>
          <w:iCs w:val="1"/>
          <w:color w:val="auto"/>
        </w:rPr>
        <w:t xml:space="preserve"> </w:t>
      </w:r>
      <w:r>
        <w:rPr>
          <w:rFonts w:ascii="Arial" w:cs="Arial" w:eastAsia="Arial" w:hAnsi="Arial"/>
          <w:sz w:val="16"/>
          <w:szCs w:val="16"/>
          <w:color w:val="auto"/>
        </w:rPr>
        <w:t>Lender (other than a Defaulting Lender) a fee (the “</w:t>
      </w:r>
      <w:r>
        <w:rPr>
          <w:rFonts w:ascii="Arial" w:cs="Arial" w:eastAsia="Arial" w:hAnsi="Arial"/>
          <w:sz w:val="16"/>
          <w:szCs w:val="16"/>
          <w:u w:val="single" w:color="auto"/>
          <w:color w:val="auto"/>
        </w:rPr>
        <w:t>Commitment Fee</w:t>
      </w:r>
      <w:r>
        <w:rPr>
          <w:rFonts w:ascii="Arial" w:cs="Arial" w:eastAsia="Arial" w:hAnsi="Arial"/>
          <w:sz w:val="16"/>
          <w:szCs w:val="16"/>
          <w:color w:val="auto"/>
        </w:rPr>
        <w:t xml:space="preserve">”) on such Lender’s Revolving Commitment Percentage of the actual daily Unused Revolving Committed Amount, computed at a per annum rate equal to the Applicable Commitment Fee Percentage. The Commitment Fee shall commence to accrue on the Closing Date and shall be due and payable in arrears on the last Business Day of each March, June, September and December (and on any date that the Revolving Committed Amount is reduced as provided in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and on the Revolving Termination Date) for the period ending on each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first such payment shall be due on September 30, 2015.</w:t>
      </w:r>
    </w:p>
    <w:p>
      <w:pPr>
        <w:spacing w:after="0" w:line="136" w:lineRule="exact"/>
        <w:rPr>
          <w:rFonts w:ascii="Arial" w:cs="Arial" w:eastAsia="Arial" w:hAnsi="Arial"/>
          <w:sz w:val="16"/>
          <w:szCs w:val="16"/>
          <w:color w:val="auto"/>
        </w:rPr>
      </w:pPr>
    </w:p>
    <w:p>
      <w:pPr>
        <w:ind w:left="2180" w:hanging="875"/>
        <w:spacing w:after="0"/>
        <w:tabs>
          <w:tab w:leader="none" w:pos="2180" w:val="left"/>
        </w:tabs>
        <w:numPr>
          <w:ilvl w:val="0"/>
          <w:numId w:val="216"/>
        </w:numPr>
        <w:rPr>
          <w:rFonts w:ascii="Arial" w:cs="Arial" w:eastAsia="Arial" w:hAnsi="Arial"/>
          <w:sz w:val="20"/>
          <w:szCs w:val="20"/>
          <w:color w:val="auto"/>
        </w:rPr>
      </w:pPr>
      <w:r>
        <w:rPr>
          <w:rFonts w:ascii="Arial" w:cs="Arial" w:eastAsia="Arial" w:hAnsi="Arial"/>
          <w:sz w:val="20"/>
          <w:szCs w:val="20"/>
          <w:i w:val="1"/>
          <w:iCs w:val="1"/>
          <w:u w:val="single" w:color="auto"/>
          <w:color w:val="auto"/>
        </w:rPr>
        <w:t>Letter of Credit Fees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right="20" w:firstLine="1467"/>
        <w:spacing w:after="0" w:line="285" w:lineRule="auto"/>
        <w:tabs>
          <w:tab w:leader="none" w:pos="2132" w:val="left"/>
        </w:tabs>
        <w:numPr>
          <w:ilvl w:val="1"/>
          <w:numId w:val="216"/>
        </w:numPr>
        <w:rPr>
          <w:rFonts w:ascii="Arial" w:cs="Arial" w:eastAsia="Arial" w:hAnsi="Arial"/>
          <w:sz w:val="19"/>
          <w:szCs w:val="19"/>
          <w:color w:val="auto"/>
        </w:rPr>
      </w:pPr>
      <w:r>
        <w:rPr>
          <w:rFonts w:ascii="Arial" w:cs="Arial" w:eastAsia="Arial" w:hAnsi="Arial"/>
          <w:sz w:val="19"/>
          <w:szCs w:val="19"/>
          <w:i w:val="1"/>
          <w:iCs w:val="1"/>
          <w:u w:val="single" w:color="auto"/>
          <w:color w:val="auto"/>
        </w:rPr>
        <w:t>Letter of Credit Fee</w:t>
      </w:r>
      <w:r>
        <w:rPr>
          <w:rFonts w:ascii="Arial" w:cs="Arial" w:eastAsia="Arial" w:hAnsi="Arial"/>
          <w:sz w:val="19"/>
          <w:szCs w:val="19"/>
          <w:color w:val="auto"/>
        </w:rPr>
        <w:t>. The applicable Borrower shall pay to the Administrative Agent for the account of each</w:t>
      </w:r>
      <w:r>
        <w:rPr>
          <w:rFonts w:ascii="Arial" w:cs="Arial" w:eastAsia="Arial" w:hAnsi="Arial"/>
          <w:sz w:val="19"/>
          <w:szCs w:val="19"/>
          <w:i w:val="1"/>
          <w:iCs w:val="1"/>
          <w:color w:val="auto"/>
        </w:rPr>
        <w:t xml:space="preserve"> </w:t>
      </w:r>
      <w:r>
        <w:rPr>
          <w:rFonts w:ascii="Arial" w:cs="Arial" w:eastAsia="Arial" w:hAnsi="Arial"/>
          <w:sz w:val="19"/>
          <w:szCs w:val="19"/>
          <w:color w:val="auto"/>
        </w:rPr>
        <w:t>Revolving Lender that is not a Defaulting Lender a fee (the “</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xml:space="preserve">”) on such Lender’s Revolving Commitment Percentage of the average daily maximum amount available to be drawn under each Letter of Credit (whether or not such maximum amount is then in effect under such Letter of Credit) computed at a per annum rate for each day from the date of issuance to the date of expiration equal to the Applicable Margin for Letter of Credit Fees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Letter of Credit Fees otherwise payable for the account of a Defaulting Lender with respect to any Letter of Credit as to which such Defaulting Lender has not provided Cash Collateral satisfactory to the applicable L/C Issuer pursuant to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shall instead be payable, to the maximum extent permitted by applicable Law, to the other Lenders in accordance with the upward adjustments in their respective Applicable Percentages allocable to such Letter of Credit pursuant to </w:t>
      </w:r>
      <w:r>
        <w:rPr>
          <w:rFonts w:ascii="Arial" w:cs="Arial" w:eastAsia="Arial" w:hAnsi="Arial"/>
          <w:sz w:val="19"/>
          <w:szCs w:val="19"/>
          <w:u w:val="single" w:color="auto"/>
          <w:color w:val="auto"/>
        </w:rPr>
        <w:t>Section 2.17(a)(iv)</w:t>
      </w:r>
      <w:r>
        <w:rPr>
          <w:rFonts w:ascii="Arial" w:cs="Arial" w:eastAsia="Arial" w:hAnsi="Arial"/>
          <w:sz w:val="19"/>
          <w:szCs w:val="19"/>
          <w:color w:val="auto"/>
        </w:rPr>
        <w:t>, with the balance of such fee, if any, payable to the applicable L/C Issuer for its own account. The Letter of Credit Fee will be computed on a quarterly basis in arrears and shall be due and payable on the last Business Day of each March, June, September and December, commencing with the first of such dates to occur after the date of issuance of such Letter of Credit, and on the Letter of Credit Expiration Date and thereafter on demand.</w:t>
      </w:r>
    </w:p>
    <w:p>
      <w:pPr>
        <w:spacing w:after="0" w:line="200" w:lineRule="exact"/>
        <w:rPr>
          <w:rFonts w:ascii="Arial" w:cs="Arial" w:eastAsia="Arial" w:hAnsi="Arial"/>
          <w:sz w:val="19"/>
          <w:szCs w:val="19"/>
          <w:color w:val="auto"/>
        </w:rPr>
      </w:pPr>
    </w:p>
    <w:p>
      <w:pPr>
        <w:spacing w:after="0" w:line="319" w:lineRule="exact"/>
        <w:rPr>
          <w:rFonts w:ascii="Arial" w:cs="Arial" w:eastAsia="Arial" w:hAnsi="Arial"/>
          <w:sz w:val="19"/>
          <w:szCs w:val="19"/>
          <w:color w:val="auto"/>
        </w:rPr>
      </w:pPr>
    </w:p>
    <w:p>
      <w:pPr>
        <w:ind w:left="5620" w:hanging="120"/>
        <w:spacing w:after="0"/>
        <w:tabs>
          <w:tab w:leader="none" w:pos="5620" w:val="left"/>
        </w:tabs>
        <w:numPr>
          <w:ilvl w:val="2"/>
          <w:numId w:val="216"/>
        </w:numPr>
        <w:rPr>
          <w:rFonts w:ascii="Arial" w:cs="Arial" w:eastAsia="Arial" w:hAnsi="Arial"/>
          <w:sz w:val="20"/>
          <w:szCs w:val="20"/>
          <w:color w:val="auto"/>
        </w:rPr>
      </w:pPr>
      <w:r>
        <w:rPr>
          <w:rFonts w:ascii="Arial" w:cs="Arial" w:eastAsia="Arial" w:hAnsi="Arial"/>
          <w:sz w:val="20"/>
          <w:szCs w:val="20"/>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83" w:name="page284"/>
    <w:bookmarkEnd w:id="283"/>
    <w:p>
      <w:pPr>
        <w:ind w:left="-1200" w:right="140" w:firstLine="1467"/>
        <w:spacing w:after="0" w:line="272" w:lineRule="auto"/>
        <w:tabs>
          <w:tab w:leader="none" w:pos="986" w:val="left"/>
        </w:tabs>
        <w:numPr>
          <w:ilvl w:val="1"/>
          <w:numId w:val="217"/>
        </w:numPr>
        <w:rPr>
          <w:rFonts w:ascii="Arial" w:cs="Arial" w:eastAsia="Arial" w:hAnsi="Arial"/>
          <w:sz w:val="20"/>
          <w:szCs w:val="20"/>
          <w:color w:val="auto"/>
        </w:rPr>
      </w:pPr>
      <w:r>
        <w:rPr>
          <w:rFonts w:ascii="Arial" w:cs="Arial" w:eastAsia="Arial" w:hAnsi="Arial"/>
          <w:sz w:val="20"/>
          <w:szCs w:val="20"/>
          <w:i w:val="1"/>
          <w:iCs w:val="1"/>
          <w:u w:val="single" w:color="auto"/>
          <w:color w:val="auto"/>
        </w:rPr>
        <w:t>Fronting Fee and Documentary and Processing Charges Payable to the L/C Issuer</w:t>
      </w:r>
      <w:r>
        <w:rPr>
          <w:rFonts w:ascii="Arial" w:cs="Arial" w:eastAsia="Arial" w:hAnsi="Arial"/>
          <w:sz w:val="20"/>
          <w:szCs w:val="20"/>
          <w:color w:val="auto"/>
        </w:rPr>
        <w:t>. The applicable Borrower shall</w:t>
      </w:r>
      <w:r>
        <w:rPr>
          <w:rFonts w:ascii="Arial" w:cs="Arial" w:eastAsia="Arial" w:hAnsi="Arial"/>
          <w:sz w:val="20"/>
          <w:szCs w:val="20"/>
          <w:i w:val="1"/>
          <w:iCs w:val="1"/>
          <w:color w:val="auto"/>
        </w:rPr>
        <w:t xml:space="preserve"> </w:t>
      </w:r>
      <w:r>
        <w:rPr>
          <w:rFonts w:ascii="Arial" w:cs="Arial" w:eastAsia="Arial" w:hAnsi="Arial"/>
          <w:sz w:val="20"/>
          <w:szCs w:val="20"/>
          <w:color w:val="auto"/>
        </w:rPr>
        <w:t>pay directly to the applicable L/C Issuer for its own account a fronting fee with respect to each Letter of Credit (other than the Existing Letter of Credit), at a rate equal to 0.125%, computed on the daily amount available to be drawn under such Letter of Credit on a quarterly basis in arrears. Such fronting fee shall be due and payable on last Business Day after the end of each March, June, September and December, commencing with the first such date after the issuance of such Letter of Credit, and on the Letter of Credit Expiration Date and thereafter on demand.</w:t>
      </w:r>
    </w:p>
    <w:p>
      <w:pPr>
        <w:spacing w:after="0" w:line="151" w:lineRule="exact"/>
        <w:rPr>
          <w:rFonts w:ascii="Arial" w:cs="Arial" w:eastAsia="Arial" w:hAnsi="Arial"/>
          <w:sz w:val="20"/>
          <w:szCs w:val="20"/>
          <w:color w:val="auto"/>
        </w:rPr>
      </w:pPr>
    </w:p>
    <w:p>
      <w:pPr>
        <w:ind w:left="-1200" w:right="20" w:firstLine="1467"/>
        <w:spacing w:after="0" w:line="288" w:lineRule="auto"/>
        <w:tabs>
          <w:tab w:leader="none" w:pos="1041" w:val="left"/>
        </w:tabs>
        <w:numPr>
          <w:ilvl w:val="1"/>
          <w:numId w:val="217"/>
        </w:numPr>
        <w:rPr>
          <w:rFonts w:ascii="Arial" w:cs="Arial" w:eastAsia="Arial" w:hAnsi="Arial"/>
          <w:sz w:val="19"/>
          <w:szCs w:val="19"/>
          <w:color w:val="auto"/>
        </w:rPr>
      </w:pPr>
      <w:r>
        <w:rPr>
          <w:rFonts w:ascii="Arial" w:cs="Arial" w:eastAsia="Arial" w:hAnsi="Arial"/>
          <w:sz w:val="19"/>
          <w:szCs w:val="19"/>
          <w:i w:val="1"/>
          <w:iCs w:val="1"/>
          <w:u w:val="single" w:color="auto"/>
          <w:color w:val="auto"/>
        </w:rPr>
        <w:t>L/C Issuer Fees</w:t>
      </w:r>
      <w:r>
        <w:rPr>
          <w:rFonts w:ascii="Arial" w:cs="Arial" w:eastAsia="Arial" w:hAnsi="Arial"/>
          <w:sz w:val="19"/>
          <w:szCs w:val="19"/>
          <w:color w:val="auto"/>
        </w:rPr>
        <w:t>. In addition to the Letter of Credit Fee payable pursuant to clause (i) above and any fronting fees</w:t>
      </w:r>
      <w:r>
        <w:rPr>
          <w:rFonts w:ascii="Arial" w:cs="Arial" w:eastAsia="Arial" w:hAnsi="Arial"/>
          <w:sz w:val="19"/>
          <w:szCs w:val="19"/>
          <w:i w:val="1"/>
          <w:iCs w:val="1"/>
          <w:color w:val="auto"/>
        </w:rPr>
        <w:t xml:space="preserve"> </w:t>
      </w:r>
      <w:r>
        <w:rPr>
          <w:rFonts w:ascii="Arial" w:cs="Arial" w:eastAsia="Arial" w:hAnsi="Arial"/>
          <w:sz w:val="19"/>
          <w:szCs w:val="19"/>
          <w:color w:val="auto"/>
        </w:rPr>
        <w:t>payable pursuant to clause (ii) above, the applicable Borrower promises to pay to the applicable L/C Issuer for its own account without sharing by the other Lenders the letter of credit fronting and negotiation fees agreed to by such Borrower and the applicable L/C Issuer from time to time and the customary charges from time to time of the applicable L/C Issuer with respect to the issuance, amendment, transfer, administration, cancellation and conversion of, and drawings under, such Letters of Credit (collectively, the “</w:t>
      </w:r>
      <w:r>
        <w:rPr>
          <w:rFonts w:ascii="Arial" w:cs="Arial" w:eastAsia="Arial" w:hAnsi="Arial"/>
          <w:sz w:val="19"/>
          <w:szCs w:val="19"/>
          <w:u w:val="single" w:color="auto"/>
          <w:color w:val="auto"/>
        </w:rPr>
        <w:t>L/C Issuer Fees</w:t>
      </w:r>
      <w:r>
        <w:rPr>
          <w:rFonts w:ascii="Arial" w:cs="Arial" w:eastAsia="Arial" w:hAnsi="Arial"/>
          <w:sz w:val="19"/>
          <w:szCs w:val="19"/>
          <w:color w:val="auto"/>
        </w:rPr>
        <w:t>”). L/C Issuer Fees are due when earned and payable on demand and are nonrefundable.</w:t>
      </w:r>
    </w:p>
    <w:p>
      <w:pPr>
        <w:spacing w:after="0" w:line="142" w:lineRule="exact"/>
        <w:rPr>
          <w:rFonts w:ascii="Arial" w:cs="Arial" w:eastAsia="Arial" w:hAnsi="Arial"/>
          <w:sz w:val="19"/>
          <w:szCs w:val="19"/>
          <w:color w:val="auto"/>
        </w:rPr>
      </w:pPr>
    </w:p>
    <w:p>
      <w:pPr>
        <w:ind w:left="-1200" w:right="60" w:firstLine="1305"/>
        <w:spacing w:after="0" w:line="273" w:lineRule="auto"/>
        <w:tabs>
          <w:tab w:leader="none" w:pos="964" w:val="left"/>
        </w:tabs>
        <w:numPr>
          <w:ilvl w:val="0"/>
          <w:numId w:val="218"/>
        </w:numPr>
        <w:rPr>
          <w:rFonts w:ascii="Arial" w:cs="Arial" w:eastAsia="Arial" w:hAnsi="Arial"/>
          <w:sz w:val="20"/>
          <w:szCs w:val="20"/>
          <w:color w:val="auto"/>
        </w:rPr>
      </w:pPr>
      <w:r>
        <w:rPr>
          <w:rFonts w:ascii="Arial" w:cs="Arial" w:eastAsia="Arial" w:hAnsi="Arial"/>
          <w:sz w:val="20"/>
          <w:szCs w:val="20"/>
          <w:i w:val="1"/>
          <w:iCs w:val="1"/>
          <w:u w:val="single" w:color="auto"/>
          <w:color w:val="auto"/>
        </w:rPr>
        <w:t>Other Fees</w:t>
      </w:r>
      <w:r>
        <w:rPr>
          <w:rFonts w:ascii="Arial" w:cs="Arial" w:eastAsia="Arial" w:hAnsi="Arial"/>
          <w:sz w:val="20"/>
          <w:szCs w:val="20"/>
          <w:color w:val="auto"/>
        </w:rPr>
        <w:t>. The Lead Borrower shall pay to the Lead Arranger and the Administrative Agent for their own</w:t>
      </w:r>
      <w:r>
        <w:rPr>
          <w:rFonts w:ascii="Arial" w:cs="Arial" w:eastAsia="Arial" w:hAnsi="Arial"/>
          <w:sz w:val="20"/>
          <w:szCs w:val="20"/>
          <w:i w:val="1"/>
          <w:iCs w:val="1"/>
          <w:color w:val="auto"/>
        </w:rPr>
        <w:t xml:space="preserve"> </w:t>
      </w:r>
      <w:r>
        <w:rPr>
          <w:rFonts w:ascii="Arial" w:cs="Arial" w:eastAsia="Arial" w:hAnsi="Arial"/>
          <w:sz w:val="20"/>
          <w:szCs w:val="20"/>
          <w:color w:val="auto"/>
        </w:rPr>
        <w:t>respective accounts fees in the amounts and at the times specified in the Fee Letter. Such fees shall be fully earned when paid and shall not be refundable for any reason whatsoever. The applicable Borrower shall pay to the Lenders such fees as shall have been separately agreed upon in writing in the amounts and at the times so specified. Such fees shall be fully earned when paid and shall not be refundable for any reason whatsoever except as otherwise agreed.</w:t>
      </w:r>
    </w:p>
    <w:p>
      <w:pPr>
        <w:spacing w:after="0" w:line="347" w:lineRule="exact"/>
        <w:rPr>
          <w:sz w:val="20"/>
          <w:szCs w:val="20"/>
          <w:color w:val="auto"/>
        </w:rPr>
      </w:pPr>
    </w:p>
    <w:p>
      <w:pPr>
        <w:ind w:left="100"/>
        <w:spacing w:after="0"/>
        <w:tabs>
          <w:tab w:leader="none" w:pos="1300" w:val="left"/>
        </w:tabs>
        <w:rPr>
          <w:sz w:val="20"/>
          <w:szCs w:val="20"/>
          <w:color w:val="auto"/>
        </w:rPr>
      </w:pPr>
      <w:r>
        <w:rPr>
          <w:rFonts w:ascii="Arial" w:cs="Arial" w:eastAsia="Arial" w:hAnsi="Arial"/>
          <w:sz w:val="20"/>
          <w:szCs w:val="20"/>
          <w:b w:val="1"/>
          <w:bCs w:val="1"/>
          <w:color w:val="auto"/>
        </w:rPr>
        <w:t>Section 2.12</w:t>
      </w:r>
      <w:r>
        <w:rPr>
          <w:sz w:val="20"/>
          <w:szCs w:val="20"/>
          <w:color w:val="auto"/>
        </w:rPr>
        <w:tab/>
      </w:r>
      <w:r>
        <w:rPr>
          <w:rFonts w:ascii="Arial" w:cs="Arial" w:eastAsia="Arial" w:hAnsi="Arial"/>
          <w:sz w:val="16"/>
          <w:szCs w:val="16"/>
          <w:u w:val="single" w:color="auto"/>
          <w:color w:val="auto"/>
        </w:rPr>
        <w:t>Pro rata Treatment</w:t>
      </w:r>
      <w:r>
        <w:rPr>
          <w:rFonts w:ascii="Arial" w:cs="Arial" w:eastAsia="Arial" w:hAnsi="Arial"/>
          <w:sz w:val="16"/>
          <w:szCs w:val="16"/>
          <w:color w:val="auto"/>
        </w:rPr>
        <w:t>. Except to the extent otherwise provided herein:</w:t>
      </w:r>
    </w:p>
    <w:p>
      <w:pPr>
        <w:spacing w:after="0" w:line="195" w:lineRule="exact"/>
        <w:rPr>
          <w:sz w:val="20"/>
          <w:szCs w:val="20"/>
          <w:color w:val="auto"/>
        </w:rPr>
      </w:pPr>
    </w:p>
    <w:p>
      <w:pPr>
        <w:ind w:left="-540" w:firstLine="645"/>
        <w:spacing w:after="0" w:line="301" w:lineRule="auto"/>
        <w:tabs>
          <w:tab w:leader="none" w:pos="976" w:val="left"/>
        </w:tabs>
        <w:numPr>
          <w:ilvl w:val="0"/>
          <w:numId w:val="219"/>
        </w:numPr>
        <w:rPr>
          <w:rFonts w:ascii="Arial" w:cs="Arial" w:eastAsia="Arial" w:hAnsi="Arial"/>
          <w:sz w:val="18"/>
          <w:szCs w:val="18"/>
          <w:color w:val="auto"/>
        </w:rPr>
      </w:pPr>
      <w:r>
        <w:rPr>
          <w:rFonts w:ascii="Arial" w:cs="Arial" w:eastAsia="Arial" w:hAnsi="Arial"/>
          <w:sz w:val="18"/>
          <w:szCs w:val="18"/>
          <w:i w:val="1"/>
          <w:iCs w:val="1"/>
          <w:u w:val="single" w:color="auto"/>
          <w:color w:val="auto"/>
        </w:rPr>
        <w:t>Loans</w:t>
      </w:r>
      <w:r>
        <w:rPr>
          <w:rFonts w:ascii="Arial" w:cs="Arial" w:eastAsia="Arial" w:hAnsi="Arial"/>
          <w:sz w:val="18"/>
          <w:szCs w:val="18"/>
          <w:color w:val="auto"/>
        </w:rPr>
        <w:t>. Each Borrowing, each payment or prepayment of principal of or interest on any Loan, each payment of fees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than the L/C Issuer Fees retained by an L/C Issuer for its own account, and the administrative fees retained by the Agents for their own account), each reduction of the Revolving Committed Amount and each conversion or continuation of any Loan, shall be allocated pro rata among the relevant Lenders in accordance with the respective Revolving Commitment Percentages, Term Commitment Percentages, Other Revolving Commitment Percentage, Other Term Commitment Percentage, Incremental Revolving Commitment Percentage and Incremental Term Loan Commitment Percentage, as applicable, of such Lenders (or, if the Commitments of such Lenders have expired or been terminated, in accordance with the respective principal amounts of the outstanding Loans of the applicable Class and Participation Interests of such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any amount paid to any Lender pursuant to this subsection (a) is rescinded or must otherwise be returned by the Administrative Agent, each Lender shall, upon the request of the Administrative Agent, repay to the Administrative Agent the amount so paid to such Lender, with interest for the period commencing on the date such payment is returned by the Administrative Agent until the date the Administrative Agent receives such repayment at a rate per annum equal to the greater of the Federal Funds Rate and a rate determined by the Administrative Agent in accordance with banking industry rules on interbank compensation.</w:t>
      </w:r>
    </w:p>
    <w:p>
      <w:pPr>
        <w:spacing w:after="0" w:line="136" w:lineRule="exact"/>
        <w:rPr>
          <w:rFonts w:ascii="Arial" w:cs="Arial" w:eastAsia="Arial" w:hAnsi="Arial"/>
          <w:sz w:val="18"/>
          <w:szCs w:val="18"/>
          <w:color w:val="auto"/>
        </w:rPr>
      </w:pPr>
    </w:p>
    <w:p>
      <w:pPr>
        <w:ind w:left="-540" w:right="40" w:firstLine="645"/>
        <w:spacing w:after="0" w:line="293" w:lineRule="auto"/>
        <w:tabs>
          <w:tab w:leader="none" w:pos="987" w:val="left"/>
        </w:tabs>
        <w:numPr>
          <w:ilvl w:val="0"/>
          <w:numId w:val="219"/>
        </w:numPr>
        <w:rPr>
          <w:rFonts w:ascii="Arial" w:cs="Arial" w:eastAsia="Arial" w:hAnsi="Arial"/>
          <w:sz w:val="19"/>
          <w:szCs w:val="19"/>
          <w:color w:val="auto"/>
        </w:rPr>
      </w:pPr>
      <w:r>
        <w:rPr>
          <w:rFonts w:ascii="Arial" w:cs="Arial" w:eastAsia="Arial" w:hAnsi="Arial"/>
          <w:sz w:val="19"/>
          <w:szCs w:val="19"/>
          <w:i w:val="1"/>
          <w:iCs w:val="1"/>
          <w:u w:val="single" w:color="auto"/>
          <w:color w:val="auto"/>
        </w:rPr>
        <w:t>Letters of Credit</w:t>
      </w:r>
      <w:r>
        <w:rPr>
          <w:rFonts w:ascii="Arial" w:cs="Arial" w:eastAsia="Arial" w:hAnsi="Arial"/>
          <w:sz w:val="19"/>
          <w:szCs w:val="19"/>
          <w:color w:val="auto"/>
        </w:rPr>
        <w:t>. Each payment of L/C Obligations shall be allocated to each Revolving Lender pro rata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accordance with its Revolving Commitment Percentage;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Revolving Lender shall have failed to pay its applicable pro rata share of any L/C Disbursement as required under </w:t>
      </w:r>
      <w:r>
        <w:rPr>
          <w:rFonts w:ascii="Arial" w:cs="Arial" w:eastAsia="Arial" w:hAnsi="Arial"/>
          <w:sz w:val="19"/>
          <w:szCs w:val="19"/>
          <w:u w:val="single" w:color="auto"/>
          <w:color w:val="auto"/>
        </w:rPr>
        <w:t>Section 2.05(e)(iv)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w:t>
      </w:r>
      <w:r>
        <w:rPr>
          <w:rFonts w:ascii="Arial" w:cs="Arial" w:eastAsia="Arial" w:hAnsi="Arial"/>
          <w:sz w:val="19"/>
          <w:szCs w:val="19"/>
          <w:color w:val="auto"/>
        </w:rPr>
        <w:t>, then any amount to which such Revolving Lender would otherwise be entitled pursuant to this subsection (b) shall instead be payable to the L/C Issuer.</w:t>
      </w:r>
    </w:p>
    <w:p>
      <w:pPr>
        <w:spacing w:after="0" w:line="200" w:lineRule="exact"/>
        <w:rPr>
          <w:rFonts w:ascii="Arial" w:cs="Arial" w:eastAsia="Arial" w:hAnsi="Arial"/>
          <w:sz w:val="19"/>
          <w:szCs w:val="19"/>
          <w:color w:val="auto"/>
        </w:rPr>
      </w:pPr>
    </w:p>
    <w:p>
      <w:pPr>
        <w:spacing w:after="0" w:line="380" w:lineRule="exact"/>
        <w:rPr>
          <w:rFonts w:ascii="Arial" w:cs="Arial" w:eastAsia="Arial" w:hAnsi="Arial"/>
          <w:sz w:val="19"/>
          <w:szCs w:val="19"/>
          <w:color w:val="auto"/>
        </w:rPr>
      </w:pPr>
    </w:p>
    <w:p>
      <w:pPr>
        <w:ind w:left="4420" w:hanging="120"/>
        <w:spacing w:after="0"/>
        <w:tabs>
          <w:tab w:leader="none" w:pos="4420" w:val="left"/>
        </w:tabs>
        <w:numPr>
          <w:ilvl w:val="1"/>
          <w:numId w:val="219"/>
        </w:numPr>
        <w:rPr>
          <w:rFonts w:ascii="Arial" w:cs="Arial" w:eastAsia="Arial" w:hAnsi="Arial"/>
          <w:sz w:val="20"/>
          <w:szCs w:val="20"/>
          <w:color w:val="auto"/>
        </w:rPr>
      </w:pPr>
      <w:r>
        <w:rPr>
          <w:rFonts w:ascii="Arial" w:cs="Arial" w:eastAsia="Arial" w:hAnsi="Arial"/>
          <w:sz w:val="20"/>
          <w:szCs w:val="20"/>
          <w:color w:val="auto"/>
        </w:rPr>
        <w:t>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48895</wp:posOffset>
            </wp:positionV>
            <wp:extent cx="72720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00"/>
          </w:cols>
          <w:pgMar w:left="1440" w:top="379" w:right="259" w:bottom="1440" w:gutter="0" w:footer="0" w:header="0"/>
        </w:sectPr>
      </w:pPr>
    </w:p>
    <w:bookmarkStart w:id="284" w:name="page285"/>
    <w:bookmarkEnd w:id="284"/>
    <w:p>
      <w:pPr>
        <w:ind w:firstLine="1297"/>
        <w:spacing w:after="0" w:line="274" w:lineRule="auto"/>
        <w:rPr>
          <w:sz w:val="20"/>
          <w:szCs w:val="20"/>
          <w:color w:val="auto"/>
        </w:rPr>
      </w:pPr>
      <w:r>
        <w:rPr>
          <w:rFonts w:ascii="Arial" w:cs="Arial" w:eastAsia="Arial" w:hAnsi="Arial"/>
          <w:sz w:val="18"/>
          <w:szCs w:val="18"/>
          <w:b w:val="1"/>
          <w:bCs w:val="1"/>
          <w:color w:val="auto"/>
        </w:rPr>
        <w:t xml:space="preserve">Section 2.13 </w:t>
      </w:r>
      <w:r>
        <w:rPr>
          <w:rFonts w:ascii="Arial" w:cs="Arial" w:eastAsia="Arial" w:hAnsi="Arial"/>
          <w:sz w:val="18"/>
          <w:szCs w:val="18"/>
          <w:u w:val="single" w:color="auto"/>
          <w:color w:val="auto"/>
        </w:rPr>
        <w:t>Sharing of Payments by Lenders</w:t>
      </w:r>
      <w:r>
        <w:rPr>
          <w:rFonts w:ascii="Arial" w:cs="Arial" w:eastAsia="Arial" w:hAnsi="Arial"/>
          <w:sz w:val="18"/>
          <w:szCs w:val="18"/>
          <w:color w:val="auto"/>
        </w:rPr>
        <w:t>. If any Lender shall, by exercising any right of setoff or counterclaim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otherwise, obtain payment in respect of any principal of or interest on any of the Loans made by it or of its Participation Interests in L/C Obligations or Swing Line Loans held by it resulting in such Lender’s receiving payment of a proportion of the aggregate amount of such Loans or such Participation Interests and accrued interest thereon greater than its pro rata share thereof as provided herein, then the Lender receiving such greater proportion shall (i) notify the Administrative Agent of such fact, and (ii) purchase (for cash at face value) participation in the Loans and subparticipations in the Participation Interests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41" w:lineRule="exact"/>
        <w:rPr>
          <w:sz w:val="20"/>
          <w:szCs w:val="20"/>
          <w:color w:val="auto"/>
        </w:rPr>
      </w:pPr>
    </w:p>
    <w:p>
      <w:pPr>
        <w:ind w:left="660" w:right="20" w:firstLine="645"/>
        <w:spacing w:after="0" w:line="278" w:lineRule="auto"/>
        <w:tabs>
          <w:tab w:leader="none" w:pos="2143" w:val="left"/>
        </w:tabs>
        <w:numPr>
          <w:ilvl w:val="0"/>
          <w:numId w:val="220"/>
        </w:numPr>
        <w:rPr>
          <w:rFonts w:ascii="Arial" w:cs="Arial" w:eastAsia="Arial" w:hAnsi="Arial"/>
          <w:sz w:val="20"/>
          <w:szCs w:val="20"/>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46" w:lineRule="exact"/>
        <w:rPr>
          <w:rFonts w:ascii="Arial" w:cs="Arial" w:eastAsia="Arial" w:hAnsi="Arial"/>
          <w:sz w:val="20"/>
          <w:szCs w:val="20"/>
          <w:color w:val="auto"/>
        </w:rPr>
      </w:pPr>
    </w:p>
    <w:p>
      <w:pPr>
        <w:ind w:left="660" w:right="40" w:firstLine="645"/>
        <w:spacing w:after="0" w:line="271" w:lineRule="auto"/>
        <w:tabs>
          <w:tab w:leader="none" w:pos="2198" w:val="left"/>
        </w:tabs>
        <w:numPr>
          <w:ilvl w:val="0"/>
          <w:numId w:val="220"/>
        </w:numPr>
        <w:rPr>
          <w:rFonts w:ascii="Arial" w:cs="Arial" w:eastAsia="Arial" w:hAnsi="Arial"/>
          <w:sz w:val="20"/>
          <w:szCs w:val="20"/>
          <w:color w:val="auto"/>
        </w:rPr>
      </w:pPr>
      <w:r>
        <w:rPr>
          <w:rFonts w:ascii="Arial" w:cs="Arial" w:eastAsia="Arial" w:hAnsi="Arial"/>
          <w:sz w:val="20"/>
          <w:szCs w:val="20"/>
          <w:color w:val="auto"/>
        </w:rPr>
        <w:t xml:space="preserve">the provisions of this Section shall not be construed to apply to (x) any payment made by or on behalf of the applicable Borrower pursuant to and in accordance with the express terms of this Agreement (including the application of funds arising from the existence of a Defaulting Lender and including payments made pursuant to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2.19</w:t>
      </w:r>
      <w:r>
        <w:rPr>
          <w:rFonts w:ascii="Arial" w:cs="Arial" w:eastAsia="Arial" w:hAnsi="Arial"/>
          <w:sz w:val="20"/>
          <w:szCs w:val="20"/>
          <w:color w:val="auto"/>
        </w:rPr>
        <w:t xml:space="preserve">), (y) the application of Cash Collateral provided for in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2.16</w:t>
      </w:r>
      <w:r>
        <w:rPr>
          <w:rFonts w:ascii="Arial" w:cs="Arial" w:eastAsia="Arial" w:hAnsi="Arial"/>
          <w:sz w:val="20"/>
          <w:szCs w:val="20"/>
          <w:color w:val="auto"/>
        </w:rPr>
        <w:t>, or (z) any payment obtained by a Lender as consideration for the assignment of or sale of a participation in any of its Loans or subparticipations in Participation Interests in L/C Obligations or Swing Line Loans to any assignee or participant, other than an assignment to Parent or any Subsidiary thereof (as to which the provisions of this Section shall apply).</w:t>
      </w:r>
    </w:p>
    <w:p>
      <w:pPr>
        <w:spacing w:after="0" w:line="140"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328"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2.14</w:t>
      </w:r>
      <w:r>
        <w:rPr>
          <w:sz w:val="20"/>
          <w:szCs w:val="20"/>
          <w:color w:val="auto"/>
        </w:rPr>
        <w:tab/>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w:t>
      </w:r>
    </w:p>
    <w:p>
      <w:pPr>
        <w:spacing w:after="0" w:line="195" w:lineRule="exact"/>
        <w:rPr>
          <w:sz w:val="20"/>
          <w:szCs w:val="20"/>
          <w:color w:val="auto"/>
        </w:rPr>
      </w:pPr>
    </w:p>
    <w:p>
      <w:pPr>
        <w:ind w:firstLine="1305"/>
        <w:spacing w:after="0" w:line="302" w:lineRule="auto"/>
        <w:tabs>
          <w:tab w:leader="none" w:pos="2164" w:val="left"/>
        </w:tabs>
        <w:numPr>
          <w:ilvl w:val="0"/>
          <w:numId w:val="221"/>
        </w:numPr>
        <w:rPr>
          <w:rFonts w:ascii="Arial" w:cs="Arial" w:eastAsia="Arial" w:hAnsi="Arial"/>
          <w:sz w:val="18"/>
          <w:szCs w:val="18"/>
          <w:color w:val="auto"/>
        </w:rPr>
      </w:pPr>
      <w:r>
        <w:rPr>
          <w:rFonts w:ascii="Arial" w:cs="Arial" w:eastAsia="Arial" w:hAnsi="Arial"/>
          <w:sz w:val="18"/>
          <w:szCs w:val="18"/>
          <w:i w:val="1"/>
          <w:iCs w:val="1"/>
          <w:u w:val="single" w:color="auto"/>
          <w:color w:val="auto"/>
        </w:rPr>
        <w:t>Payments by the Applicable Borrower</w:t>
      </w:r>
      <w:r>
        <w:rPr>
          <w:rFonts w:ascii="Arial" w:cs="Arial" w:eastAsia="Arial" w:hAnsi="Arial"/>
          <w:sz w:val="18"/>
          <w:szCs w:val="18"/>
          <w:color w:val="auto"/>
        </w:rPr>
        <w:t>. All payments to be made by any Borrower shall be made free and clear of</w:t>
      </w:r>
      <w:r>
        <w:rPr>
          <w:rFonts w:ascii="Arial" w:cs="Arial" w:eastAsia="Arial" w:hAnsi="Arial"/>
          <w:sz w:val="18"/>
          <w:szCs w:val="18"/>
          <w:i w:val="1"/>
          <w:iCs w:val="1"/>
          <w:color w:val="auto"/>
        </w:rPr>
        <w:t xml:space="preserve"> </w:t>
      </w:r>
      <w:r>
        <w:rPr>
          <w:rFonts w:ascii="Arial" w:cs="Arial" w:eastAsia="Arial" w:hAnsi="Arial"/>
          <w:sz w:val="18"/>
          <w:szCs w:val="18"/>
          <w:color w:val="auto"/>
        </w:rPr>
        <w:t>and without condition or deduction for any counterclaim, defense, recoupment or setoff. Each payment of principal of and interest on Loans, L/C Obligations and fees hereunder (other than fees payable directly to the L/C Issuer) shall be paid not later than 2:00 P.M. on the date when due, in Dollars and in Federal or other funds immediately available to the Administrative Agent at the account designated by it by notice to the applicable Borrower. Payments received after 2:00 P.M. shall be deemed to have been received on the next Business Day, and any applicable interest or fee shall continue to accrue. The Administrative Agent may, in its sole discretion, distribute such payments to the applicable Lending Offices of the applicable Lenders on the date of receipt thereof, if such payment is received prior to 2:00 P.M.; otherwise the Administrative Agent may, in its sole discretion, distribute such payment to the applicable Lending Offices of the applicable Lenders on the date of receipt thereof or on the immediately succeeding Business Day. Whenever any payment hereunder shall be due on a day which is not a Business Day, the date for payment thereof shall be extended to the next succeeding Business Day (and such extension of time shall be reflected in computing interest or fees, as the case may be), unless (in the case of Eurodollar Loans) such Business Day falls in another calendar month, in which case the date for payment thereof shall be the next</w:t>
      </w:r>
    </w:p>
    <w:p>
      <w:pPr>
        <w:spacing w:after="0" w:line="200" w:lineRule="exact"/>
        <w:rPr>
          <w:rFonts w:ascii="Arial" w:cs="Arial" w:eastAsia="Arial" w:hAnsi="Arial"/>
          <w:sz w:val="18"/>
          <w:szCs w:val="18"/>
          <w:color w:val="auto"/>
        </w:rPr>
      </w:pPr>
    </w:p>
    <w:p>
      <w:pPr>
        <w:spacing w:after="0" w:line="374" w:lineRule="exact"/>
        <w:rPr>
          <w:rFonts w:ascii="Arial" w:cs="Arial" w:eastAsia="Arial" w:hAnsi="Arial"/>
          <w:sz w:val="18"/>
          <w:szCs w:val="18"/>
          <w:color w:val="auto"/>
        </w:rPr>
      </w:pPr>
    </w:p>
    <w:p>
      <w:pPr>
        <w:ind w:left="5620" w:hanging="120"/>
        <w:spacing w:after="0"/>
        <w:tabs>
          <w:tab w:leader="none" w:pos="5620" w:val="left"/>
        </w:tabs>
        <w:numPr>
          <w:ilvl w:val="1"/>
          <w:numId w:val="221"/>
        </w:numPr>
        <w:rPr>
          <w:rFonts w:ascii="Arial" w:cs="Arial" w:eastAsia="Arial" w:hAnsi="Arial"/>
          <w:sz w:val="20"/>
          <w:szCs w:val="20"/>
          <w:color w:val="auto"/>
        </w:rPr>
      </w:pPr>
      <w:r>
        <w:rPr>
          <w:rFonts w:ascii="Arial" w:cs="Arial" w:eastAsia="Arial" w:hAnsi="Arial"/>
          <w:sz w:val="20"/>
          <w:szCs w:val="20"/>
          <w:color w:val="auto"/>
        </w:rPr>
        <w:t>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285" w:name="page286"/>
    <w:bookmarkEnd w:id="285"/>
    <w:p>
      <w:pPr>
        <w:spacing w:after="0" w:line="289" w:lineRule="auto"/>
        <w:rPr>
          <w:sz w:val="20"/>
          <w:szCs w:val="20"/>
          <w:color w:val="auto"/>
        </w:rPr>
      </w:pPr>
      <w:r>
        <w:rPr>
          <w:rFonts w:ascii="Arial" w:cs="Arial" w:eastAsia="Arial" w:hAnsi="Arial"/>
          <w:sz w:val="20"/>
          <w:szCs w:val="20"/>
          <w:color w:val="auto"/>
        </w:rPr>
        <w:t>preceding Business Day. If the date for any payment of principal is extended by operation of Law or otherwise, interest thereon shall be payable for such extended time.</w:t>
      </w:r>
    </w:p>
    <w:p>
      <w:pPr>
        <w:spacing w:after="0" w:line="135" w:lineRule="exact"/>
        <w:rPr>
          <w:sz w:val="20"/>
          <w:szCs w:val="20"/>
          <w:color w:val="auto"/>
        </w:rPr>
      </w:pPr>
    </w:p>
    <w:p>
      <w:pPr>
        <w:ind w:right="40" w:firstLine="1305"/>
        <w:spacing w:after="0" w:line="285" w:lineRule="auto"/>
        <w:tabs>
          <w:tab w:leader="none" w:pos="2175" w:val="left"/>
        </w:tabs>
        <w:numPr>
          <w:ilvl w:val="0"/>
          <w:numId w:val="222"/>
        </w:numPr>
        <w:rPr>
          <w:rFonts w:ascii="Arial" w:cs="Arial" w:eastAsia="Arial" w:hAnsi="Arial"/>
          <w:sz w:val="19"/>
          <w:szCs w:val="19"/>
          <w:color w:val="auto"/>
        </w:rPr>
      </w:pPr>
      <w:r>
        <w:rPr>
          <w:rFonts w:ascii="Arial" w:cs="Arial" w:eastAsia="Arial" w:hAnsi="Arial"/>
          <w:sz w:val="19"/>
          <w:szCs w:val="19"/>
          <w:i w:val="1"/>
          <w:iCs w:val="1"/>
          <w:u w:val="single" w:color="auto"/>
          <w:color w:val="auto"/>
        </w:rPr>
        <w:t>Presumption by the Administrative Agent</w:t>
      </w:r>
      <w:r>
        <w:rPr>
          <w:rFonts w:ascii="Arial" w:cs="Arial" w:eastAsia="Arial" w:hAnsi="Arial"/>
          <w:sz w:val="19"/>
          <w:szCs w:val="19"/>
          <w:color w:val="auto"/>
        </w:rPr>
        <w:t>. Unless the Administrative Agent shall have received notice (which may</w:t>
      </w:r>
      <w:r>
        <w:rPr>
          <w:rFonts w:ascii="Arial" w:cs="Arial" w:eastAsia="Arial" w:hAnsi="Arial"/>
          <w:sz w:val="19"/>
          <w:szCs w:val="19"/>
          <w:i w:val="1"/>
          <w:iCs w:val="1"/>
          <w:color w:val="auto"/>
        </w:rPr>
        <w:t xml:space="preserve"> </w:t>
      </w:r>
      <w:r>
        <w:rPr>
          <w:rFonts w:ascii="Arial" w:cs="Arial" w:eastAsia="Arial" w:hAnsi="Arial"/>
          <w:sz w:val="19"/>
          <w:szCs w:val="19"/>
          <w:color w:val="auto"/>
        </w:rPr>
        <w:t>be by telephone if promptly confirmed in writing) from the applicable Borrower prior to the date on which any payment is due to the applicable Lenders or any L/C Issuer hereunder that such Borrower will not make such payment, the Administrative Agent may assume that such Borrower has made such payment on such date in accordance herewith, and may, in reliance upon such assumption, distribute to the applicable Lenders or the L/C Issuer, as the case may be, the amount due. In such event, if such Borrower has not in fact made such payment, then each of the applicable Lenders or the L/C Issuer, as the case may be, severally agrees to repay to the Administrative Agent forthwith on demand the amount so distributed to such Lender or L/C Issuer, in immediately available funds with interest thereon, for each day from and including the date such amount is distributed to but excluding the date of payment to the Administrative Agent at the greater of the Federal Funds Rate and a rate determined by the Administrative Agent in accordance with banking industry rules on interbank compensation. A notice of the Administrative Agent to any Lender or any Borrower with respect to any amount owing under this subsection (b) shall be conclusive, absent manifest error.</w:t>
      </w:r>
    </w:p>
    <w:p>
      <w:pPr>
        <w:spacing w:after="0" w:line="144" w:lineRule="exact"/>
        <w:rPr>
          <w:rFonts w:ascii="Arial" w:cs="Arial" w:eastAsia="Arial" w:hAnsi="Arial"/>
          <w:sz w:val="19"/>
          <w:szCs w:val="19"/>
          <w:color w:val="auto"/>
        </w:rPr>
      </w:pPr>
    </w:p>
    <w:p>
      <w:pPr>
        <w:ind w:right="260" w:firstLine="1305"/>
        <w:spacing w:after="0" w:line="273" w:lineRule="auto"/>
        <w:tabs>
          <w:tab w:leader="none" w:pos="2164" w:val="left"/>
        </w:tabs>
        <w:numPr>
          <w:ilvl w:val="0"/>
          <w:numId w:val="222"/>
        </w:numPr>
        <w:rPr>
          <w:rFonts w:ascii="Arial" w:cs="Arial" w:eastAsia="Arial" w:hAnsi="Arial"/>
          <w:sz w:val="20"/>
          <w:szCs w:val="20"/>
          <w:color w:val="auto"/>
        </w:rPr>
      </w:pPr>
      <w:r>
        <w:rPr>
          <w:rFonts w:ascii="Arial" w:cs="Arial" w:eastAsia="Arial" w:hAnsi="Arial"/>
          <w:sz w:val="20"/>
          <w:szCs w:val="20"/>
          <w:i w:val="1"/>
          <w:iCs w:val="1"/>
          <w:u w:val="single" w:color="auto"/>
          <w:color w:val="auto"/>
        </w:rPr>
        <w:t>Failure to Satisfy Conditions Precedent</w:t>
      </w:r>
      <w:r>
        <w:rPr>
          <w:rFonts w:ascii="Arial" w:cs="Arial" w:eastAsia="Arial" w:hAnsi="Arial"/>
          <w:sz w:val="20"/>
          <w:szCs w:val="20"/>
          <w:color w:val="auto"/>
        </w:rPr>
        <w:t>. If any Lender makes available to the Administrative Agent funds for any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applicable Borrower by the Administrative Agent because the conditions to the applicable Credit Extension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 the Administrative Agent shall return such funds promptly (in like funds as received from such Lender) to such Lender, without interest.</w:t>
      </w:r>
    </w:p>
    <w:p>
      <w:pPr>
        <w:spacing w:after="0" w:line="150" w:lineRule="exact"/>
        <w:rPr>
          <w:rFonts w:ascii="Arial" w:cs="Arial" w:eastAsia="Arial" w:hAnsi="Arial"/>
          <w:sz w:val="20"/>
          <w:szCs w:val="20"/>
          <w:color w:val="auto"/>
        </w:rPr>
      </w:pPr>
    </w:p>
    <w:p>
      <w:pPr>
        <w:ind w:right="300" w:firstLine="1305"/>
        <w:spacing w:after="0" w:line="272" w:lineRule="auto"/>
        <w:tabs>
          <w:tab w:leader="none" w:pos="2175" w:val="left"/>
        </w:tabs>
        <w:numPr>
          <w:ilvl w:val="0"/>
          <w:numId w:val="222"/>
        </w:numPr>
        <w:rPr>
          <w:rFonts w:ascii="Arial" w:cs="Arial" w:eastAsia="Arial" w:hAnsi="Arial"/>
          <w:sz w:val="20"/>
          <w:szCs w:val="20"/>
          <w:color w:val="auto"/>
        </w:rPr>
      </w:pPr>
      <w:r>
        <w:rPr>
          <w:rFonts w:ascii="Arial" w:cs="Arial" w:eastAsia="Arial" w:hAnsi="Arial"/>
          <w:sz w:val="20"/>
          <w:szCs w:val="20"/>
          <w:i w:val="1"/>
          <w:iCs w:val="1"/>
          <w:u w:val="single" w:color="auto"/>
          <w:color w:val="auto"/>
        </w:rPr>
        <w:t>Obligations of Lenders Several</w:t>
      </w:r>
      <w:r>
        <w:rPr>
          <w:rFonts w:ascii="Arial" w:cs="Arial" w:eastAsia="Arial" w:hAnsi="Arial"/>
          <w:sz w:val="20"/>
          <w:szCs w:val="20"/>
          <w:color w:val="auto"/>
        </w:rPr>
        <w:t>. The obligations of the Lenders hereunder to make Loans and to purchase</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Participation Interests in the Letters of Credit and Swing Line Loans are several and not joint. The failure of any Lender to make a Loan required to be made by it as part of any Borrowing hereunder or to fund a Participation Interest shall not relieve any other Lender of its obligation, if any, hereunder to make any Loan on the date of such Borrowing or fund any such Participation Interest, but no Lender shall be responsible for the failure of any other Lender to make the Loan to be made by such other Lender on such date of Borrowing or fund its Participation Interest.</w:t>
      </w:r>
    </w:p>
    <w:p>
      <w:pPr>
        <w:spacing w:after="0" w:line="151" w:lineRule="exact"/>
        <w:rPr>
          <w:rFonts w:ascii="Arial" w:cs="Arial" w:eastAsia="Arial" w:hAnsi="Arial"/>
          <w:sz w:val="20"/>
          <w:szCs w:val="20"/>
          <w:color w:val="auto"/>
        </w:rPr>
      </w:pPr>
    </w:p>
    <w:p>
      <w:pPr>
        <w:ind w:right="400" w:firstLine="1305"/>
        <w:spacing w:after="0" w:line="278" w:lineRule="auto"/>
        <w:tabs>
          <w:tab w:leader="none" w:pos="2164" w:val="left"/>
        </w:tabs>
        <w:numPr>
          <w:ilvl w:val="0"/>
          <w:numId w:val="222"/>
        </w:numPr>
        <w:rPr>
          <w:rFonts w:ascii="Arial" w:cs="Arial" w:eastAsia="Arial" w:hAnsi="Arial"/>
          <w:sz w:val="20"/>
          <w:szCs w:val="20"/>
          <w:color w:val="auto"/>
        </w:rPr>
      </w:pPr>
      <w:r>
        <w:rPr>
          <w:rFonts w:ascii="Arial" w:cs="Arial" w:eastAsia="Arial" w:hAnsi="Arial"/>
          <w:sz w:val="20"/>
          <w:szCs w:val="20"/>
          <w:i w:val="1"/>
          <w:iCs w:val="1"/>
          <w:u w:val="single" w:color="auto"/>
          <w:color w:val="auto"/>
        </w:rPr>
        <w:t>Funding Source</w:t>
      </w:r>
      <w:r>
        <w:rPr>
          <w:rFonts w:ascii="Arial" w:cs="Arial" w:eastAsia="Arial" w:hAnsi="Arial"/>
          <w:sz w:val="20"/>
          <w:szCs w:val="20"/>
          <w:color w:val="auto"/>
        </w:rPr>
        <w:t>. Nothing herein shall be deemed to obligate any Lender to obtain the funds for any Loan in any</w:t>
      </w:r>
      <w:r>
        <w:rPr>
          <w:rFonts w:ascii="Arial" w:cs="Arial" w:eastAsia="Arial" w:hAnsi="Arial"/>
          <w:sz w:val="20"/>
          <w:szCs w:val="20"/>
          <w:i w:val="1"/>
          <w:iCs w:val="1"/>
          <w:color w:val="auto"/>
        </w:rPr>
        <w:t xml:space="preserve"> </w:t>
      </w:r>
      <w:r>
        <w:rPr>
          <w:rFonts w:ascii="Arial" w:cs="Arial" w:eastAsia="Arial" w:hAnsi="Arial"/>
          <w:sz w:val="20"/>
          <w:szCs w:val="20"/>
          <w:color w:val="auto"/>
        </w:rPr>
        <w:t>particular place or manner or to constitute a representation by any Lender that it has obtained or will obtain the funds for any Loan in any particular place or manner.</w:t>
      </w:r>
    </w:p>
    <w:p>
      <w:pPr>
        <w:spacing w:after="0" w:line="146" w:lineRule="exact"/>
        <w:rPr>
          <w:rFonts w:ascii="Arial" w:cs="Arial" w:eastAsia="Arial" w:hAnsi="Arial"/>
          <w:sz w:val="20"/>
          <w:szCs w:val="20"/>
          <w:color w:val="auto"/>
        </w:rPr>
      </w:pPr>
    </w:p>
    <w:p>
      <w:pPr>
        <w:ind w:right="20" w:firstLine="1305"/>
        <w:spacing w:after="0" w:line="286" w:lineRule="auto"/>
        <w:tabs>
          <w:tab w:leader="none" w:pos="2143" w:val="left"/>
        </w:tabs>
        <w:numPr>
          <w:ilvl w:val="0"/>
          <w:numId w:val="222"/>
        </w:numPr>
        <w:rPr>
          <w:rFonts w:ascii="Arial" w:cs="Arial" w:eastAsia="Arial" w:hAnsi="Arial"/>
          <w:sz w:val="19"/>
          <w:szCs w:val="19"/>
          <w:color w:val="auto"/>
        </w:rPr>
      </w:pPr>
      <w:r>
        <w:rPr>
          <w:rFonts w:ascii="Arial" w:cs="Arial" w:eastAsia="Arial" w:hAnsi="Arial"/>
          <w:sz w:val="19"/>
          <w:szCs w:val="19"/>
          <w:i w:val="1"/>
          <w:iCs w:val="1"/>
          <w:u w:val="single" w:color="auto"/>
          <w:color w:val="auto"/>
        </w:rPr>
        <w:t>Computations</w:t>
      </w:r>
      <w:r>
        <w:rPr>
          <w:rFonts w:ascii="Arial" w:cs="Arial" w:eastAsia="Arial" w:hAnsi="Arial"/>
          <w:sz w:val="19"/>
          <w:szCs w:val="19"/>
          <w:color w:val="auto"/>
        </w:rPr>
        <w:t>. All computations of interest for Base Rate Loans (including Base Rate Loans determined by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reference to the Eurodollar Rate) shall be made on the basis of a year of 365 or 366 days, as the case may be, and actual days elapsed. All computations of Commitment Fees and other computations of fees and interest shall be made on the basis of a 360-day year and actual days elapsed (which results in more fees or interest, as applicable, being paid than if computed on the basis of a 365-day year). Interest shall accrue on each Loan for the day on which Loan is made (or converted or continued), and shall not accrue on a Loan, or any portion thereof, for the day on which the Loan or such portion is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Loan that is repaid on the same day on which it is made (or continued or converted) shall, subject to subsection (a) above, bear interest for one day. Each determination by the Administrative Agent of an interest rate or fee hereunder shall be conclusive and binding for all purposes, absent manifest error.</w:t>
      </w:r>
    </w:p>
    <w:p>
      <w:pPr>
        <w:spacing w:after="0" w:line="200" w:lineRule="exact"/>
        <w:rPr>
          <w:rFonts w:ascii="Arial" w:cs="Arial" w:eastAsia="Arial" w:hAnsi="Arial"/>
          <w:sz w:val="19"/>
          <w:szCs w:val="19"/>
          <w:color w:val="auto"/>
        </w:rPr>
      </w:pPr>
    </w:p>
    <w:p>
      <w:pPr>
        <w:spacing w:after="0" w:line="391" w:lineRule="exact"/>
        <w:rPr>
          <w:rFonts w:ascii="Arial" w:cs="Arial" w:eastAsia="Arial" w:hAnsi="Arial"/>
          <w:sz w:val="19"/>
          <w:szCs w:val="19"/>
          <w:color w:val="auto"/>
        </w:rPr>
      </w:pPr>
    </w:p>
    <w:p>
      <w:pPr>
        <w:ind w:left="5620" w:hanging="120"/>
        <w:spacing w:after="0"/>
        <w:tabs>
          <w:tab w:leader="none" w:pos="562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286" w:name="page287"/>
    <w:bookmarkEnd w:id="286"/>
    <w:p>
      <w:pPr>
        <w:ind w:left="100"/>
        <w:spacing w:after="0"/>
        <w:tabs>
          <w:tab w:leader="none" w:pos="1300" w:val="left"/>
        </w:tabs>
        <w:rPr>
          <w:sz w:val="20"/>
          <w:szCs w:val="20"/>
          <w:color w:val="auto"/>
        </w:rPr>
      </w:pPr>
      <w:r>
        <w:rPr>
          <w:rFonts w:ascii="Arial" w:cs="Arial" w:eastAsia="Arial" w:hAnsi="Arial"/>
          <w:sz w:val="20"/>
          <w:szCs w:val="20"/>
          <w:b w:val="1"/>
          <w:bCs w:val="1"/>
          <w:color w:val="auto"/>
        </w:rPr>
        <w:t>Section 2.15</w:t>
      </w:r>
      <w:r>
        <w:rPr>
          <w:sz w:val="20"/>
          <w:szCs w:val="20"/>
          <w:color w:val="auto"/>
        </w:rPr>
        <w:tab/>
      </w:r>
      <w:r>
        <w:rPr>
          <w:rFonts w:ascii="Arial" w:cs="Arial" w:eastAsia="Arial" w:hAnsi="Arial"/>
          <w:sz w:val="16"/>
          <w:szCs w:val="16"/>
          <w:u w:val="single" w:color="auto"/>
          <w:color w:val="auto"/>
        </w:rPr>
        <w:t>Increase in Commitments</w:t>
      </w:r>
      <w:r>
        <w:rPr>
          <w:rFonts w:ascii="Arial" w:cs="Arial" w:eastAsia="Arial" w:hAnsi="Arial"/>
          <w:sz w:val="16"/>
          <w:szCs w:val="16"/>
          <w:color w:val="auto"/>
        </w:rPr>
        <w:t>.</w:t>
      </w:r>
    </w:p>
    <w:p>
      <w:pPr>
        <w:spacing w:after="0" w:line="195" w:lineRule="exact"/>
        <w:rPr>
          <w:sz w:val="20"/>
          <w:szCs w:val="20"/>
          <w:color w:val="auto"/>
        </w:rPr>
      </w:pPr>
    </w:p>
    <w:p>
      <w:pPr>
        <w:ind w:left="-1200" w:firstLine="1305"/>
        <w:spacing w:after="0" w:line="300" w:lineRule="auto"/>
        <w:tabs>
          <w:tab w:leader="none" w:pos="964" w:val="left"/>
        </w:tabs>
        <w:numPr>
          <w:ilvl w:val="0"/>
          <w:numId w:val="223"/>
        </w:numPr>
        <w:rPr>
          <w:rFonts w:ascii="Arial" w:cs="Arial" w:eastAsia="Arial" w:hAnsi="Arial"/>
          <w:sz w:val="18"/>
          <w:szCs w:val="18"/>
          <w:color w:val="auto"/>
        </w:rPr>
      </w:pPr>
      <w:r>
        <w:rPr>
          <w:rFonts w:ascii="Arial" w:cs="Arial" w:eastAsia="Arial" w:hAnsi="Arial"/>
          <w:sz w:val="18"/>
          <w:szCs w:val="18"/>
          <w:i w:val="1"/>
          <w:iCs w:val="1"/>
          <w:u w:val="single" w:color="auto"/>
          <w:color w:val="auto"/>
        </w:rPr>
        <w:t>Increase in Commitments</w:t>
      </w:r>
      <w:r>
        <w:rPr>
          <w:rFonts w:ascii="Arial" w:cs="Arial" w:eastAsia="Arial" w:hAnsi="Arial"/>
          <w:sz w:val="18"/>
          <w:szCs w:val="18"/>
          <w:color w:val="auto"/>
        </w:rPr>
        <w:t>. Any Borrower may by written notice to the Administrative Agent elect to add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incremental term loan facilities hereunder (each, an “</w:t>
      </w:r>
      <w:r>
        <w:rPr>
          <w:rFonts w:ascii="Arial" w:cs="Arial" w:eastAsia="Arial" w:hAnsi="Arial"/>
          <w:sz w:val="18"/>
          <w:szCs w:val="18"/>
          <w:u w:val="single" w:color="auto"/>
          <w:color w:val="auto"/>
        </w:rPr>
        <w:t>Incremental Term Facility</w:t>
      </w:r>
      <w:r>
        <w:rPr>
          <w:rFonts w:ascii="Arial" w:cs="Arial" w:eastAsia="Arial" w:hAnsi="Arial"/>
          <w:sz w:val="18"/>
          <w:szCs w:val="18"/>
          <w:color w:val="auto"/>
        </w:rPr>
        <w:t>”; the commitments thereunder are referred to as “</w:t>
      </w:r>
      <w:r>
        <w:rPr>
          <w:rFonts w:ascii="Arial" w:cs="Arial" w:eastAsia="Arial" w:hAnsi="Arial"/>
          <w:sz w:val="18"/>
          <w:szCs w:val="18"/>
          <w:u w:val="single" w:color="auto"/>
          <w:color w:val="auto"/>
        </w:rPr>
        <w:t>Incremental Term Loan Commitments</w:t>
      </w:r>
      <w:r>
        <w:rPr>
          <w:rFonts w:ascii="Arial" w:cs="Arial" w:eastAsia="Arial" w:hAnsi="Arial"/>
          <w:sz w:val="18"/>
          <w:szCs w:val="18"/>
          <w:color w:val="auto"/>
        </w:rPr>
        <w:t>” and loans pursuant thereto “</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and/or increase the Revolving Commitments (any such increase, an “</w:t>
      </w:r>
      <w:r>
        <w:rPr>
          <w:rFonts w:ascii="Arial" w:cs="Arial" w:eastAsia="Arial" w:hAnsi="Arial"/>
          <w:sz w:val="18"/>
          <w:szCs w:val="18"/>
          <w:u w:val="single" w:color="auto"/>
          <w:color w:val="auto"/>
        </w:rPr>
        <w:t>Incremental Revolving Increase</w:t>
      </w:r>
      <w:r>
        <w:rPr>
          <w:rFonts w:ascii="Arial" w:cs="Arial" w:eastAsia="Arial" w:hAnsi="Arial"/>
          <w:sz w:val="18"/>
          <w:szCs w:val="18"/>
          <w:color w:val="auto"/>
        </w:rPr>
        <w:t>”; the commitments thereunder are referred to as “</w:t>
      </w:r>
      <w:r>
        <w:rPr>
          <w:rFonts w:ascii="Arial" w:cs="Arial" w:eastAsia="Arial" w:hAnsi="Arial"/>
          <w:sz w:val="18"/>
          <w:szCs w:val="18"/>
          <w:u w:val="single" w:color="auto"/>
          <w:color w:val="auto"/>
        </w:rPr>
        <w:t>Incremental Revolving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Commitments</w:t>
      </w:r>
      <w:r>
        <w:rPr>
          <w:rFonts w:ascii="Arial" w:cs="Arial" w:eastAsia="Arial" w:hAnsi="Arial"/>
          <w:sz w:val="18"/>
          <w:szCs w:val="18"/>
          <w:color w:val="auto"/>
        </w:rPr>
        <w:t>” and loans pursuant thereto “</w:t>
      </w:r>
      <w:r>
        <w:rPr>
          <w:rFonts w:ascii="Arial" w:cs="Arial" w:eastAsia="Arial" w:hAnsi="Arial"/>
          <w:sz w:val="18"/>
          <w:szCs w:val="18"/>
          <w:u w:val="single" w:color="auto"/>
          <w:color w:val="auto"/>
        </w:rPr>
        <w:t>Incremental Revolving Loans</w:t>
      </w:r>
      <w:r>
        <w:rPr>
          <w:rFonts w:ascii="Arial" w:cs="Arial" w:eastAsia="Arial" w:hAnsi="Arial"/>
          <w:sz w:val="18"/>
          <w:szCs w:val="18"/>
          <w:color w:val="auto"/>
        </w:rPr>
        <w:t>”); the Incremental Term Facilities and the Incremental Revolving Increases are collectively referred to as “</w:t>
      </w:r>
      <w:r>
        <w:rPr>
          <w:rFonts w:ascii="Arial" w:cs="Arial" w:eastAsia="Arial" w:hAnsi="Arial"/>
          <w:sz w:val="18"/>
          <w:szCs w:val="18"/>
          <w:u w:val="single" w:color="auto"/>
          <w:color w:val="auto"/>
        </w:rPr>
        <w:t>Incremental Facilities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(1) total aggregate amount for all such Incremental Facilities (assuming, for the purposes of determining each of clauses (A) and (B), in the case of any Incremental Revolving Increase, the full amount thereof is drawn) shall not (as of any date of incurrence thereof) exceed the sum of (A) $450,000,000 and (B) an amount such that, subject to </w:t>
      </w:r>
      <w:r>
        <w:rPr>
          <w:rFonts w:ascii="Arial" w:cs="Arial" w:eastAsia="Arial" w:hAnsi="Arial"/>
          <w:sz w:val="18"/>
          <w:szCs w:val="18"/>
          <w:u w:val="single" w:color="auto"/>
          <w:color w:val="auto"/>
        </w:rPr>
        <w:t>Section 1.03(e)</w:t>
      </w:r>
      <w:r>
        <w:rPr>
          <w:rFonts w:ascii="Arial" w:cs="Arial" w:eastAsia="Arial" w:hAnsi="Arial"/>
          <w:sz w:val="18"/>
          <w:szCs w:val="18"/>
          <w:color w:val="auto"/>
        </w:rPr>
        <w:t>, at the time of such incurrence and after giving effect thereto on a pro forma basis the Secured Leverage Ratio (calculated assuming (i) no proceeds of any such Incremental Facility shall be considered Unrestricted Cash and (ii) any amounts incurred under clause (A) concurrently with amounts incurred under clause (B) will not count as Indebtedness for the purposes of calculating the Secured Leverage Ratio in clause (B) at such time) is less than or equal to 3.00 to 1.00 and (2) the total aggregate amount for each Incremental Facility shall not be less than a minimum principal amount of $25,000,000 or, if less, the remaining amount permitted pursuant to the foregoing clause (1). Each such notice shall specify (x) the date (each, an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on which such Borrower proposes that the Incremental Facility shall be effective, which shall be a date not less than five Business Days after the date on which such notice is delivered to the Administrative Agent and (y) the identity of each Eligible Assignee to whom such Borrower proposes any portion of such Incremental Facility be allocated and the amounts of such allocations;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existing Lender approached to provide all or a portion of the Incremental Facility may elect or decline, in its sole discretion, to provide such portion of the Incremental Facility. </w:t>
      </w:r>
      <w:r>
        <w:rPr>
          <w:rFonts w:ascii="Arial" w:cs="Arial" w:eastAsia="Arial" w:hAnsi="Arial"/>
          <w:sz w:val="18"/>
          <w:szCs w:val="18"/>
          <w:u w:val="single" w:color="auto"/>
          <w:color w:val="0000FF"/>
        </w:rPr>
        <w:t>Notwithstanding the foregoing, no such notice shall be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required in connection with the Incremental Revolving Increase provided pursuant to Amendment No. 1.</w:t>
      </w:r>
    </w:p>
    <w:p>
      <w:pPr>
        <w:spacing w:after="0" w:line="135" w:lineRule="exact"/>
        <w:rPr>
          <w:rFonts w:ascii="Arial" w:cs="Arial" w:eastAsia="Arial" w:hAnsi="Arial"/>
          <w:sz w:val="18"/>
          <w:szCs w:val="18"/>
          <w:color w:val="auto"/>
        </w:rPr>
      </w:pPr>
    </w:p>
    <w:p>
      <w:pPr>
        <w:ind w:left="980" w:hanging="875"/>
        <w:spacing w:after="0"/>
        <w:tabs>
          <w:tab w:leader="none" w:pos="980" w:val="left"/>
        </w:tabs>
        <w:numPr>
          <w:ilvl w:val="0"/>
          <w:numId w:val="223"/>
        </w:numPr>
        <w:rPr>
          <w:rFonts w:ascii="Arial" w:cs="Arial" w:eastAsia="Arial" w:hAnsi="Arial"/>
          <w:sz w:val="18"/>
          <w:szCs w:val="18"/>
          <w:color w:val="auto"/>
        </w:rPr>
      </w:pPr>
      <w:r>
        <w:rPr>
          <w:rFonts w:ascii="Arial" w:cs="Arial" w:eastAsia="Arial" w:hAnsi="Arial"/>
          <w:sz w:val="18"/>
          <w:szCs w:val="18"/>
          <w:i w:val="1"/>
          <w:iCs w:val="1"/>
          <w:u w:val="single" w:color="auto"/>
          <w:color w:val="auto"/>
        </w:rPr>
        <w:t>Conditions</w:t>
      </w:r>
      <w:r>
        <w:rPr>
          <w:rFonts w:ascii="Arial" w:cs="Arial" w:eastAsia="Arial" w:hAnsi="Arial"/>
          <w:sz w:val="18"/>
          <w:szCs w:val="18"/>
          <w:color w:val="auto"/>
        </w:rPr>
        <w:t>. The Incremental Facilities shall become effective, as of such Increase Effective Date;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w:t>
      </w:r>
    </w:p>
    <w:p>
      <w:pPr>
        <w:spacing w:after="0" w:line="225" w:lineRule="exact"/>
        <w:rPr>
          <w:rFonts w:ascii="Arial" w:cs="Arial" w:eastAsia="Arial" w:hAnsi="Arial"/>
          <w:sz w:val="18"/>
          <w:szCs w:val="18"/>
          <w:color w:val="auto"/>
        </w:rPr>
      </w:pPr>
    </w:p>
    <w:p>
      <w:pPr>
        <w:ind w:left="940" w:hanging="673"/>
        <w:spacing w:after="0"/>
        <w:tabs>
          <w:tab w:leader="none" w:pos="940" w:val="left"/>
        </w:tabs>
        <w:numPr>
          <w:ilvl w:val="1"/>
          <w:numId w:val="223"/>
        </w:numPr>
        <w:rPr>
          <w:rFonts w:ascii="Arial" w:cs="Arial" w:eastAsia="Arial" w:hAnsi="Arial"/>
          <w:sz w:val="20"/>
          <w:szCs w:val="20"/>
          <w:color w:val="auto"/>
        </w:rPr>
      </w:pPr>
      <w:r>
        <w:rPr>
          <w:rFonts w:ascii="Arial" w:cs="Arial" w:eastAsia="Arial" w:hAnsi="Arial"/>
          <w:sz w:val="20"/>
          <w:szCs w:val="20"/>
          <w:color w:val="auto"/>
        </w:rPr>
        <w:t xml:space="preserve">each of the conditions set forth in </w:t>
      </w:r>
      <w:r>
        <w:rPr>
          <w:rFonts w:ascii="Arial" w:cs="Arial" w:eastAsia="Arial" w:hAnsi="Arial"/>
          <w:sz w:val="20"/>
          <w:szCs w:val="20"/>
          <w:u w:val="single" w:color="auto"/>
          <w:color w:val="auto"/>
        </w:rPr>
        <w:t>Sections 4.02(a)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shall be satisfied;</w:t>
      </w:r>
    </w:p>
    <w:p>
      <w:pPr>
        <w:spacing w:after="0" w:line="202" w:lineRule="exact"/>
        <w:rPr>
          <w:rFonts w:ascii="Arial" w:cs="Arial" w:eastAsia="Arial" w:hAnsi="Arial"/>
          <w:sz w:val="20"/>
          <w:szCs w:val="20"/>
          <w:color w:val="auto"/>
        </w:rPr>
      </w:pPr>
    </w:p>
    <w:p>
      <w:pPr>
        <w:ind w:left="-540" w:right="360" w:firstLine="807"/>
        <w:spacing w:after="0" w:line="289" w:lineRule="auto"/>
        <w:tabs>
          <w:tab w:leader="none" w:pos="998" w:val="left"/>
        </w:tabs>
        <w:numPr>
          <w:ilvl w:val="1"/>
          <w:numId w:val="223"/>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1.03(d)</w:t>
      </w:r>
      <w:r>
        <w:rPr>
          <w:rFonts w:ascii="Arial" w:cs="Arial" w:eastAsia="Arial" w:hAnsi="Arial"/>
          <w:sz w:val="20"/>
          <w:szCs w:val="20"/>
          <w:color w:val="auto"/>
        </w:rPr>
        <w:t>, no Default or Event of Default shall have occurred and be continuing or would result from the Borrowings to be made on the Increase Effective Date;</w:t>
      </w:r>
    </w:p>
    <w:p>
      <w:pPr>
        <w:spacing w:after="0" w:line="134" w:lineRule="exact"/>
        <w:rPr>
          <w:rFonts w:ascii="Arial" w:cs="Arial" w:eastAsia="Arial" w:hAnsi="Arial"/>
          <w:sz w:val="20"/>
          <w:szCs w:val="20"/>
          <w:color w:val="auto"/>
        </w:rPr>
      </w:pPr>
    </w:p>
    <w:p>
      <w:pPr>
        <w:jc w:val="both"/>
        <w:ind w:left="-540" w:right="20" w:firstLine="807"/>
        <w:spacing w:after="0" w:line="278" w:lineRule="auto"/>
        <w:tabs>
          <w:tab w:leader="none" w:pos="1053" w:val="left"/>
        </w:tabs>
        <w:numPr>
          <w:ilvl w:val="1"/>
          <w:numId w:val="223"/>
        </w:numPr>
        <w:rPr>
          <w:rFonts w:ascii="Arial" w:cs="Arial" w:eastAsia="Arial" w:hAnsi="Arial"/>
          <w:sz w:val="20"/>
          <w:szCs w:val="20"/>
          <w:color w:val="auto"/>
        </w:rPr>
      </w:pPr>
      <w:r>
        <w:rPr>
          <w:rFonts w:ascii="Arial" w:cs="Arial" w:eastAsia="Arial" w:hAnsi="Arial"/>
          <w:sz w:val="20"/>
          <w:szCs w:val="20"/>
          <w:color w:val="auto"/>
        </w:rPr>
        <w:t xml:space="preserve">after giving effect to the making of any Loans pursuant to any Incremental Facilities, Parent shall be in compliance with the covenant set forth in </w:t>
      </w:r>
      <w:r>
        <w:rPr>
          <w:rFonts w:ascii="Arial" w:cs="Arial" w:eastAsia="Arial" w:hAnsi="Arial"/>
          <w:sz w:val="20"/>
          <w:szCs w:val="20"/>
          <w:u w:val="single" w:color="auto"/>
          <w:color w:val="auto"/>
        </w:rPr>
        <w:t>Section 7.10</w:t>
      </w:r>
      <w:r>
        <w:rPr>
          <w:rFonts w:ascii="Arial" w:cs="Arial" w:eastAsia="Arial" w:hAnsi="Arial"/>
          <w:sz w:val="20"/>
          <w:szCs w:val="20"/>
          <w:color w:val="auto"/>
        </w:rPr>
        <w:t xml:space="preserve"> on a pro forma basis in accordance with </w:t>
      </w:r>
      <w:r>
        <w:rPr>
          <w:rFonts w:ascii="Arial" w:cs="Arial" w:eastAsia="Arial" w:hAnsi="Arial"/>
          <w:sz w:val="20"/>
          <w:szCs w:val="20"/>
          <w:u w:val="single" w:color="auto"/>
          <w:color w:val="auto"/>
        </w:rPr>
        <w:t>Section 1.03(c)</w:t>
      </w:r>
      <w:r>
        <w:rPr>
          <w:rFonts w:ascii="Arial" w:cs="Arial" w:eastAsia="Arial" w:hAnsi="Arial"/>
          <w:sz w:val="20"/>
          <w:szCs w:val="20"/>
          <w:color w:val="auto"/>
        </w:rPr>
        <w:t xml:space="preserve"> (and, if applicable, </w:t>
      </w:r>
      <w:r>
        <w:rPr>
          <w:rFonts w:ascii="Arial" w:cs="Arial" w:eastAsia="Arial" w:hAnsi="Arial"/>
          <w:sz w:val="20"/>
          <w:szCs w:val="20"/>
          <w:u w:val="single" w:color="auto"/>
          <w:color w:val="auto"/>
        </w:rPr>
        <w:t>Section 1.03(e)</w:t>
      </w:r>
      <w:r>
        <w:rPr>
          <w:rFonts w:ascii="Arial" w:cs="Arial" w:eastAsia="Arial" w:hAnsi="Arial"/>
          <w:sz w:val="20"/>
          <w:szCs w:val="20"/>
          <w:color w:val="auto"/>
        </w:rPr>
        <w:t>); and</w:t>
      </w:r>
    </w:p>
    <w:p>
      <w:pPr>
        <w:spacing w:after="0" w:line="146" w:lineRule="exact"/>
        <w:rPr>
          <w:rFonts w:ascii="Arial" w:cs="Arial" w:eastAsia="Arial" w:hAnsi="Arial"/>
          <w:sz w:val="20"/>
          <w:szCs w:val="20"/>
          <w:color w:val="auto"/>
        </w:rPr>
      </w:pPr>
    </w:p>
    <w:p>
      <w:pPr>
        <w:ind w:left="-540" w:right="220" w:firstLine="807"/>
        <w:spacing w:after="0" w:line="289" w:lineRule="auto"/>
        <w:tabs>
          <w:tab w:leader="none" w:pos="1042" w:val="left"/>
        </w:tabs>
        <w:numPr>
          <w:ilvl w:val="1"/>
          <w:numId w:val="223"/>
        </w:numPr>
        <w:rPr>
          <w:rFonts w:ascii="Arial" w:cs="Arial" w:eastAsia="Arial" w:hAnsi="Arial"/>
          <w:sz w:val="20"/>
          <w:szCs w:val="20"/>
          <w:color w:val="auto"/>
        </w:rPr>
      </w:pPr>
      <w:r>
        <w:rPr>
          <w:rFonts w:ascii="Arial" w:cs="Arial" w:eastAsia="Arial" w:hAnsi="Arial"/>
          <w:sz w:val="20"/>
          <w:szCs w:val="20"/>
          <w:color w:val="auto"/>
        </w:rPr>
        <w:t>Parent shall deliver or cause to be delivered a certificate of a Responsible Officer demonstrating compliance with the foregoing conditions and in connection with any such transaction.</w:t>
      </w:r>
    </w:p>
    <w:p>
      <w:pPr>
        <w:spacing w:after="0" w:line="134" w:lineRule="exact"/>
        <w:rPr>
          <w:rFonts w:ascii="Arial" w:cs="Arial" w:eastAsia="Arial" w:hAnsi="Arial"/>
          <w:sz w:val="20"/>
          <w:szCs w:val="20"/>
          <w:color w:val="auto"/>
        </w:rPr>
      </w:pPr>
    </w:p>
    <w:p>
      <w:pPr>
        <w:ind w:left="980" w:hanging="875"/>
        <w:spacing w:after="0"/>
        <w:tabs>
          <w:tab w:leader="none" w:pos="980" w:val="left"/>
        </w:tabs>
        <w:numPr>
          <w:ilvl w:val="0"/>
          <w:numId w:val="223"/>
        </w:numPr>
        <w:rPr>
          <w:rFonts w:ascii="Arial" w:cs="Arial" w:eastAsia="Arial" w:hAnsi="Arial"/>
          <w:sz w:val="19"/>
          <w:szCs w:val="19"/>
          <w:color w:val="auto"/>
        </w:rPr>
      </w:pPr>
      <w:r>
        <w:rPr>
          <w:rFonts w:ascii="Arial" w:cs="Arial" w:eastAsia="Arial" w:hAnsi="Arial"/>
          <w:sz w:val="19"/>
          <w:szCs w:val="19"/>
          <w:i w:val="1"/>
          <w:iCs w:val="1"/>
          <w:u w:val="single" w:color="auto"/>
          <w:color w:val="auto"/>
        </w:rPr>
        <w:t>Terms of Incremental Facilities</w:t>
      </w:r>
      <w:r>
        <w:rPr>
          <w:rFonts w:ascii="Arial" w:cs="Arial" w:eastAsia="Arial" w:hAnsi="Arial"/>
          <w:sz w:val="19"/>
          <w:szCs w:val="19"/>
          <w:color w:val="auto"/>
        </w:rPr>
        <w:t>. The terms and provisions of the Incremental Facilities shall be as follows: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9" w:lineRule="exact"/>
        <w:rPr>
          <w:rFonts w:ascii="Arial" w:cs="Arial" w:eastAsia="Arial" w:hAnsi="Arial"/>
          <w:sz w:val="19"/>
          <w:szCs w:val="19"/>
          <w:color w:val="auto"/>
        </w:rPr>
      </w:pPr>
    </w:p>
    <w:p>
      <w:pPr>
        <w:ind w:left="4420" w:hanging="120"/>
        <w:spacing w:after="0"/>
        <w:tabs>
          <w:tab w:leader="none" w:pos="4420" w:val="left"/>
        </w:tabs>
        <w:numPr>
          <w:ilvl w:val="2"/>
          <w:numId w:val="223"/>
        </w:numPr>
        <w:rPr>
          <w:rFonts w:ascii="Arial" w:cs="Arial" w:eastAsia="Arial" w:hAnsi="Arial"/>
          <w:sz w:val="20"/>
          <w:szCs w:val="20"/>
          <w:color w:val="auto"/>
        </w:rPr>
      </w:pPr>
      <w:r>
        <w:rPr>
          <w:rFonts w:ascii="Arial" w:cs="Arial" w:eastAsia="Arial" w:hAnsi="Arial"/>
          <w:sz w:val="20"/>
          <w:szCs w:val="20"/>
          <w:color w:val="auto"/>
        </w:rPr>
        <w:t>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48895</wp:posOffset>
            </wp:positionV>
            <wp:extent cx="72720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576" w:right="239" w:bottom="1440" w:gutter="0" w:footer="0" w:header="0"/>
        </w:sectPr>
      </w:pPr>
    </w:p>
    <w:bookmarkStart w:id="287" w:name="page288"/>
    <w:bookmarkEnd w:id="287"/>
    <w:p>
      <w:pPr>
        <w:ind w:left="660" w:firstLine="807"/>
        <w:spacing w:after="0" w:line="278" w:lineRule="auto"/>
        <w:tabs>
          <w:tab w:leader="none" w:pos="2143" w:val="left"/>
        </w:tabs>
        <w:numPr>
          <w:ilvl w:val="0"/>
          <w:numId w:val="224"/>
        </w:numPr>
        <w:rPr>
          <w:rFonts w:ascii="Arial" w:cs="Arial" w:eastAsia="Arial" w:hAnsi="Arial"/>
          <w:sz w:val="20"/>
          <w:szCs w:val="20"/>
          <w:color w:val="auto"/>
        </w:rPr>
      </w:pPr>
      <w:r>
        <w:rPr>
          <w:rFonts w:ascii="Arial" w:cs="Arial" w:eastAsia="Arial" w:hAnsi="Arial"/>
          <w:sz w:val="20"/>
          <w:szCs w:val="20"/>
          <w:color w:val="auto"/>
        </w:rPr>
        <w:t>the Weighted Average Life to Maturity of any Incremental Term Loans shall be no shorter than the Weighted Average Life to Maturity of the existing Term Loans and the maturity date of Incremental Term Loans shall not be earlier than the Term Loan Maturity Date;</w:t>
      </w:r>
    </w:p>
    <w:p>
      <w:pPr>
        <w:spacing w:after="0" w:line="146" w:lineRule="exact"/>
        <w:rPr>
          <w:rFonts w:ascii="Arial" w:cs="Arial" w:eastAsia="Arial" w:hAnsi="Arial"/>
          <w:sz w:val="20"/>
          <w:szCs w:val="20"/>
          <w:color w:val="auto"/>
        </w:rPr>
      </w:pPr>
    </w:p>
    <w:p>
      <w:pPr>
        <w:ind w:left="660" w:right="60" w:firstLine="807"/>
        <w:spacing w:after="0" w:line="290" w:lineRule="auto"/>
        <w:tabs>
          <w:tab w:leader="none" w:pos="2198" w:val="left"/>
        </w:tabs>
        <w:numPr>
          <w:ilvl w:val="0"/>
          <w:numId w:val="224"/>
        </w:numPr>
        <w:rPr>
          <w:rFonts w:ascii="Arial" w:cs="Arial" w:eastAsia="Arial" w:hAnsi="Arial"/>
          <w:sz w:val="19"/>
          <w:szCs w:val="19"/>
          <w:color w:val="auto"/>
        </w:rPr>
      </w:pPr>
      <w:r>
        <w:rPr>
          <w:rFonts w:ascii="Arial" w:cs="Arial" w:eastAsia="Arial" w:hAnsi="Arial"/>
          <w:sz w:val="19"/>
          <w:szCs w:val="19"/>
          <w:color w:val="auto"/>
        </w:rPr>
        <w:t>in the case of an Incremental Revolving Increase, the maturity date of such Incremental Revolving Increase shall be the Revolving Termination Date, such Incremental Revolving Increase shall require no scheduled amortization or mandatory commitment reduction (except as provided herein for all Revolving Commitments) and the Incremental Revolving Increase shall be on the exact same terms (other than pricing, as set forth in the Increase Joinder) and pursuant to the exact same documentation applicable to the existing Revolving Commitments (and Revolving Loans);</w:t>
      </w:r>
    </w:p>
    <w:p>
      <w:pPr>
        <w:spacing w:after="0" w:line="138" w:lineRule="exact"/>
        <w:rPr>
          <w:rFonts w:ascii="Arial" w:cs="Arial" w:eastAsia="Arial" w:hAnsi="Arial"/>
          <w:sz w:val="19"/>
          <w:szCs w:val="19"/>
          <w:color w:val="auto"/>
        </w:rPr>
      </w:pPr>
    </w:p>
    <w:p>
      <w:pPr>
        <w:ind w:left="660" w:right="80" w:firstLine="807"/>
        <w:spacing w:after="0" w:line="289" w:lineRule="auto"/>
        <w:tabs>
          <w:tab w:leader="none" w:pos="2253" w:val="left"/>
        </w:tabs>
        <w:numPr>
          <w:ilvl w:val="0"/>
          <w:numId w:val="224"/>
        </w:numPr>
        <w:rPr>
          <w:rFonts w:ascii="Arial" w:cs="Arial" w:eastAsia="Arial" w:hAnsi="Arial"/>
          <w:sz w:val="20"/>
          <w:szCs w:val="20"/>
          <w:color w:val="auto"/>
        </w:rPr>
      </w:pPr>
      <w:r>
        <w:rPr>
          <w:rFonts w:ascii="Arial" w:cs="Arial" w:eastAsia="Arial" w:hAnsi="Arial"/>
          <w:sz w:val="20"/>
          <w:szCs w:val="20"/>
          <w:color w:val="auto"/>
        </w:rPr>
        <w:t>the Applicable Margins for the Incremental Loans shall be determined by the applicable Borrower and the Lenders of the Incremental Loans; and</w:t>
      </w:r>
    </w:p>
    <w:p>
      <w:pPr>
        <w:spacing w:after="0" w:line="134" w:lineRule="exact"/>
        <w:rPr>
          <w:rFonts w:ascii="Arial" w:cs="Arial" w:eastAsia="Arial" w:hAnsi="Arial"/>
          <w:sz w:val="20"/>
          <w:szCs w:val="20"/>
          <w:color w:val="auto"/>
        </w:rPr>
      </w:pPr>
    </w:p>
    <w:p>
      <w:pPr>
        <w:ind w:left="660" w:right="140" w:firstLine="807"/>
        <w:spacing w:after="0" w:line="290" w:lineRule="auto"/>
        <w:tabs>
          <w:tab w:leader="none" w:pos="2242"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any Incremental Term Loans, for purposes of prepayments, shall be treated substantially the same as (and in any event no more favorably than) the Term Loans and shall otherwise be on terms and pursuant to documentation as set forth in the Increase Joinder;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such terms and documentation are not consistent with the existing Term Loans (except to the extent permitted by clause (i) or (ii) above), they shall be reasonably satisfactory to the Administrative Agent. No Incremental Revolving Loan shall mature prior to the Revolving Termination Date.</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The Incremental Term Loan Commitments and the Incremental Revolving Commitments shall be effected by a joinder agreement (the</w:t>
      </w:r>
    </w:p>
    <w:p>
      <w:pPr>
        <w:spacing w:after="0" w:line="27"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Joinder</w:t>
      </w:r>
      <w:r>
        <w:rPr>
          <w:rFonts w:ascii="Arial" w:cs="Arial" w:eastAsia="Arial" w:hAnsi="Arial"/>
          <w:sz w:val="18"/>
          <w:szCs w:val="18"/>
          <w:color w:val="auto"/>
        </w:rPr>
        <w:t xml:space="preserve">”) executed by the applicable Borrower, the Administrative Agent and each Lender making such Incremental Term Loan Commitment or Incremental Revolving Commitment, as applicable, in form attached hereto or otherwise in form and substance satisfactory to each of them. The Increase Joinder may, without the consent of any other Lenders, effect such amendments to this Agreement and the other Loan Documents as may be necessary or appropriate, in the opinion of the Administrative Agent, to effect the provisions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In addition, unless otherwise specifically provided herein or in the Increase Joinder, all references in Loan Documents to Term Loans shall be deemed, unless the context otherwise requires, to include references to Incremental Term Loans and unless otherwise specifically provided herein, all references in Loan Documents to Revolving Loans shall be deemed, unless the context otherwise requires, to include references to Incremental Revolving Loans and Incremental Revolving Commitments, respectively.</w:t>
      </w:r>
    </w:p>
    <w:p>
      <w:pPr>
        <w:spacing w:after="0" w:line="147" w:lineRule="exact"/>
        <w:rPr>
          <w:sz w:val="20"/>
          <w:szCs w:val="20"/>
          <w:color w:val="auto"/>
        </w:rPr>
      </w:pPr>
    </w:p>
    <w:p>
      <w:pPr>
        <w:ind w:right="100" w:firstLine="1305"/>
        <w:spacing w:after="0" w:line="305" w:lineRule="auto"/>
        <w:tabs>
          <w:tab w:leader="none" w:pos="2175" w:val="left"/>
        </w:tabs>
        <w:numPr>
          <w:ilvl w:val="0"/>
          <w:numId w:val="225"/>
        </w:numPr>
        <w:rPr>
          <w:rFonts w:ascii="Arial" w:cs="Arial" w:eastAsia="Arial" w:hAnsi="Arial"/>
          <w:sz w:val="18"/>
          <w:szCs w:val="18"/>
          <w:color w:val="auto"/>
        </w:rPr>
      </w:pPr>
      <w:r>
        <w:rPr>
          <w:rFonts w:ascii="Arial" w:cs="Arial" w:eastAsia="Arial" w:hAnsi="Arial"/>
          <w:sz w:val="18"/>
          <w:szCs w:val="18"/>
          <w:i w:val="1"/>
          <w:iCs w:val="1"/>
          <w:u w:val="single" w:color="auto"/>
          <w:color w:val="auto"/>
        </w:rPr>
        <w:t>Incremental Revolving Increases</w:t>
      </w:r>
      <w:r>
        <w:rPr>
          <w:rFonts w:ascii="Arial" w:cs="Arial" w:eastAsia="Arial" w:hAnsi="Arial"/>
          <w:sz w:val="18"/>
          <w:szCs w:val="18"/>
          <w:color w:val="auto"/>
        </w:rPr>
        <w:t>. On any Increase Effective Date on which an Incremental Revolving Increase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the participations held by the Revolving Lenders in the L/C Obligations and Swing Line Loans immediately prior to such increase will be reallocated so as to be held by the Revolving Lenders ratably in accordance with their respective Applicable Percentages after giving effect to such Incremental Revolving Increase. If, on the date of an Incremental Revolving Increase, there are any Revolving Loans outstanding, the applicable Borrower shall prepay such Revolving Loans in accordance with this Agreement on the date of effectiveness of such Incremental Revolving Increase (but such Borrower may finance such prepayment with a concurrent borrowing of Revolving Loans from the Revolving Lenders in accordance with their Applicable Percentages after giving effect to such Incremental Revolving Increase).</w:t>
      </w:r>
    </w:p>
    <w:p>
      <w:pPr>
        <w:spacing w:after="0" w:line="130" w:lineRule="exact"/>
        <w:rPr>
          <w:rFonts w:ascii="Arial" w:cs="Arial" w:eastAsia="Arial" w:hAnsi="Arial"/>
          <w:sz w:val="18"/>
          <w:szCs w:val="18"/>
          <w:color w:val="auto"/>
        </w:rPr>
      </w:pPr>
    </w:p>
    <w:p>
      <w:pPr>
        <w:jc w:val="both"/>
        <w:ind w:right="380" w:firstLine="1305"/>
        <w:spacing w:after="0" w:line="322" w:lineRule="auto"/>
        <w:tabs>
          <w:tab w:leader="none" w:pos="2164" w:val="left"/>
        </w:tabs>
        <w:numPr>
          <w:ilvl w:val="0"/>
          <w:numId w:val="225"/>
        </w:numPr>
        <w:rPr>
          <w:rFonts w:ascii="Arial" w:cs="Arial" w:eastAsia="Arial" w:hAnsi="Arial"/>
          <w:sz w:val="18"/>
          <w:szCs w:val="18"/>
          <w:color w:val="auto"/>
        </w:rPr>
      </w:pPr>
      <w:r>
        <w:rPr>
          <w:rFonts w:ascii="Arial" w:cs="Arial" w:eastAsia="Arial" w:hAnsi="Arial"/>
          <w:sz w:val="18"/>
          <w:szCs w:val="18"/>
          <w:i w:val="1"/>
          <w:iCs w:val="1"/>
          <w:u w:val="single" w:color="auto"/>
          <w:color w:val="auto"/>
        </w:rPr>
        <w:t>Making of New Term Loans</w:t>
      </w:r>
      <w:r>
        <w:rPr>
          <w:rFonts w:ascii="Arial" w:cs="Arial" w:eastAsia="Arial" w:hAnsi="Arial"/>
          <w:sz w:val="18"/>
          <w:szCs w:val="18"/>
          <w:color w:val="auto"/>
        </w:rPr>
        <w:t>. On any Increase Effective Date on which an Incremental Term Facility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satisfaction of the foregoing terms and conditions, each Lender holding Incremental Term Loan Commitments shall make an Incremental Term Loan to the applicable Borrower in an amount equal to its Incremental Term Loan Commitment.</w:t>
      </w:r>
    </w:p>
    <w:p>
      <w:pPr>
        <w:spacing w:after="0" w:line="200" w:lineRule="exact"/>
        <w:rPr>
          <w:rFonts w:ascii="Arial" w:cs="Arial" w:eastAsia="Arial" w:hAnsi="Arial"/>
          <w:sz w:val="18"/>
          <w:szCs w:val="18"/>
          <w:color w:val="auto"/>
        </w:rPr>
      </w:pPr>
    </w:p>
    <w:p>
      <w:pPr>
        <w:spacing w:after="0" w:line="357" w:lineRule="exact"/>
        <w:rPr>
          <w:rFonts w:ascii="Arial" w:cs="Arial" w:eastAsia="Arial" w:hAnsi="Arial"/>
          <w:sz w:val="18"/>
          <w:szCs w:val="18"/>
          <w:color w:val="auto"/>
        </w:rPr>
      </w:pPr>
    </w:p>
    <w:p>
      <w:pPr>
        <w:ind w:left="5620" w:hanging="120"/>
        <w:spacing w:after="0"/>
        <w:tabs>
          <w:tab w:leader="none" w:pos="562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288" w:name="page289"/>
    <w:bookmarkEnd w:id="288"/>
    <w:p>
      <w:pPr>
        <w:ind w:left="-8" w:right="160" w:firstLine="1305"/>
        <w:spacing w:after="0" w:line="288" w:lineRule="auto"/>
        <w:tabs>
          <w:tab w:leader="none" w:pos="2135" w:val="left"/>
        </w:tabs>
        <w:numPr>
          <w:ilvl w:val="0"/>
          <w:numId w:val="226"/>
        </w:numPr>
        <w:rPr>
          <w:rFonts w:ascii="Arial" w:cs="Arial" w:eastAsia="Arial" w:hAnsi="Arial"/>
          <w:sz w:val="19"/>
          <w:szCs w:val="19"/>
          <w:color w:val="auto"/>
        </w:rPr>
      </w:pPr>
      <w:r>
        <w:rPr>
          <w:rFonts w:ascii="Arial" w:cs="Arial" w:eastAsia="Arial" w:hAnsi="Arial"/>
          <w:sz w:val="19"/>
          <w:szCs w:val="19"/>
          <w:i w:val="1"/>
          <w:iCs w:val="1"/>
          <w:u w:val="single" w:color="auto"/>
          <w:color w:val="auto"/>
        </w:rPr>
        <w:t>Equal and Ratable Benefit</w:t>
      </w:r>
      <w:r>
        <w:rPr>
          <w:rFonts w:ascii="Arial" w:cs="Arial" w:eastAsia="Arial" w:hAnsi="Arial"/>
          <w:sz w:val="19"/>
          <w:szCs w:val="19"/>
          <w:color w:val="auto"/>
        </w:rPr>
        <w:t>. The Loans and Commitments established pursuant to this paragraph shall constitute</w:t>
      </w:r>
      <w:r>
        <w:rPr>
          <w:rFonts w:ascii="Arial" w:cs="Arial" w:eastAsia="Arial" w:hAnsi="Arial"/>
          <w:sz w:val="19"/>
          <w:szCs w:val="19"/>
          <w:i w:val="1"/>
          <w:iCs w:val="1"/>
          <w:color w:val="auto"/>
        </w:rPr>
        <w:t xml:space="preserve"> </w:t>
      </w:r>
      <w:r>
        <w:rPr>
          <w:rFonts w:ascii="Arial" w:cs="Arial" w:eastAsia="Arial" w:hAnsi="Arial"/>
          <w:sz w:val="19"/>
          <w:szCs w:val="19"/>
          <w:color w:val="auto"/>
        </w:rPr>
        <w:t>Loans and Commitments under, and shall be entitled to all the benefits afforded by, this Agreement and the other Loan Documents, and shall, without limiting the foregoing, benefit equally and ratably from the Guaranty Agreement and security interests created by the Collateral Documents. The Loan Parties shall take any actions reasonably required by the Administrative Agent to ensure and/or demonstrate that the Lien and security interests granted by the Collateral Documents continue to be perfected under the UCC or otherwise after giving effect to the establishment of any such Class of Loans or any such new Commitments.</w:t>
      </w:r>
    </w:p>
    <w:p>
      <w:pPr>
        <w:spacing w:after="0" w:line="231" w:lineRule="exact"/>
        <w:rPr>
          <w:sz w:val="20"/>
          <w:szCs w:val="20"/>
          <w:color w:val="auto"/>
        </w:rPr>
      </w:pPr>
    </w:p>
    <w:p>
      <w:pPr>
        <w:ind w:left="1292"/>
        <w:spacing w:after="0"/>
        <w:tabs>
          <w:tab w:leader="none" w:pos="2492" w:val="left"/>
        </w:tabs>
        <w:rPr>
          <w:sz w:val="20"/>
          <w:szCs w:val="20"/>
          <w:color w:val="auto"/>
        </w:rPr>
      </w:pPr>
      <w:r>
        <w:rPr>
          <w:rFonts w:ascii="Arial" w:cs="Arial" w:eastAsia="Arial" w:hAnsi="Arial"/>
          <w:sz w:val="20"/>
          <w:szCs w:val="20"/>
          <w:b w:val="1"/>
          <w:bCs w:val="1"/>
          <w:color w:val="auto"/>
        </w:rPr>
        <w:t>Section 2.16</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35" w:lineRule="exact"/>
        <w:rPr>
          <w:sz w:val="20"/>
          <w:szCs w:val="20"/>
          <w:color w:val="auto"/>
        </w:rPr>
      </w:pPr>
    </w:p>
    <w:p>
      <w:pPr>
        <w:ind w:left="-8" w:right="20" w:firstLine="1305"/>
        <w:spacing w:after="0" w:line="297" w:lineRule="auto"/>
        <w:tabs>
          <w:tab w:leader="none" w:pos="2156" w:val="left"/>
        </w:tabs>
        <w:numPr>
          <w:ilvl w:val="1"/>
          <w:numId w:val="227"/>
        </w:numPr>
        <w:rPr>
          <w:rFonts w:ascii="Arial" w:cs="Arial" w:eastAsia="Arial" w:hAnsi="Arial"/>
          <w:sz w:val="18"/>
          <w:szCs w:val="18"/>
          <w:color w:val="auto"/>
        </w:rPr>
      </w:pPr>
      <w:r>
        <w:rPr>
          <w:rFonts w:ascii="Arial" w:cs="Arial" w:eastAsia="Arial" w:hAnsi="Arial"/>
          <w:sz w:val="18"/>
          <w:szCs w:val="18"/>
          <w:i w:val="1"/>
          <w:iCs w:val="1"/>
          <w:u w:val="single" w:color="auto"/>
          <w:color w:val="auto"/>
        </w:rPr>
        <w:t>Obligation to Cash Collateralize</w:t>
      </w:r>
      <w:r>
        <w:rPr>
          <w:rFonts w:ascii="Arial" w:cs="Arial" w:eastAsia="Arial" w:hAnsi="Arial"/>
          <w:sz w:val="18"/>
          <w:szCs w:val="18"/>
          <w:color w:val="auto"/>
        </w:rPr>
        <w:t>. Upon the request of the Administrative Agent or the applicable L/C Issuer (i) if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applicable L/C Issuer has honored any full or partial drawing under any Letter of Credit and such drawing has resulted in an L/C Disbursement or (ii) if, as of the date that is ten (10) Business Days prior to the Revolving Termination Date, any L/C Obligation for any reason remains outstanding or there are any L/C Borrowings outstanding or there are any outstanding Letters of Credit, or as otherwise required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2.09(c)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the applicable Borrower shall, in each case, immediately Cash Collateralize the then Outstanding Amount of all L/C Obligations in an amount not less than the Minimum Collateral Amount. At any time that there shall exist a Defaulting Lender, immediately upon the written request of the Administrative Agent or any applicable L/C Issuer or Swing Line Bank (in each case, with a copy to the Administrative Agent), the applicable Borrower shall Cash Collateralize all Fronting Exposure of such L/C Issuer or Swing Line Bank, as applicable, with respect to such Defaulting Lender (determined after giving effect to </w:t>
      </w:r>
      <w:r>
        <w:rPr>
          <w:rFonts w:ascii="Arial" w:cs="Arial" w:eastAsia="Arial" w:hAnsi="Arial"/>
          <w:sz w:val="18"/>
          <w:szCs w:val="18"/>
          <w:u w:val="single" w:color="auto"/>
          <w:color w:val="auto"/>
        </w:rPr>
        <w:t>Section 2.17(a)</w:t>
      </w:r>
    </w:p>
    <w:p>
      <w:pPr>
        <w:spacing w:after="0" w:line="4" w:lineRule="exact"/>
        <w:rPr>
          <w:rFonts w:ascii="Arial" w:cs="Arial" w:eastAsia="Arial" w:hAnsi="Arial"/>
          <w:sz w:val="18"/>
          <w:szCs w:val="18"/>
          <w:color w:val="auto"/>
        </w:rPr>
      </w:pPr>
    </w:p>
    <w:p>
      <w:pPr>
        <w:ind w:left="-8" w:right="400" w:firstLine="8"/>
        <w:spacing w:after="0" w:line="289" w:lineRule="auto"/>
        <w:tabs>
          <w:tab w:leader="none" w:pos="327" w:val="left"/>
        </w:tabs>
        <w:numPr>
          <w:ilvl w:val="0"/>
          <w:numId w:val="228"/>
        </w:numPr>
        <w:rPr>
          <w:rFonts w:ascii="Arial" w:cs="Arial" w:eastAsia="Arial" w:hAnsi="Arial"/>
          <w:sz w:val="20"/>
          <w:szCs w:val="20"/>
          <w:u w:val="single" w:color="auto"/>
          <w:color w:val="auto"/>
        </w:rPr>
      </w:pPr>
      <w:r>
        <w:rPr>
          <w:rFonts w:ascii="Arial" w:cs="Arial" w:eastAsia="Arial" w:hAnsi="Arial"/>
          <w:sz w:val="20"/>
          <w:szCs w:val="20"/>
          <w:color w:val="auto"/>
        </w:rPr>
        <w:t>and any Cash Collateral provided by such Defaulting Lender) in an amount not less than the Minimum Collateral Amount with respect thereto.</w:t>
      </w:r>
    </w:p>
    <w:p>
      <w:pPr>
        <w:spacing w:after="0" w:line="175" w:lineRule="exact"/>
        <w:rPr>
          <w:rFonts w:ascii="Arial" w:cs="Arial" w:eastAsia="Arial" w:hAnsi="Arial"/>
          <w:sz w:val="20"/>
          <w:szCs w:val="20"/>
          <w:u w:val="single" w:color="auto"/>
          <w:color w:val="auto"/>
        </w:rPr>
      </w:pPr>
    </w:p>
    <w:p>
      <w:pPr>
        <w:ind w:left="-8" w:firstLine="1305"/>
        <w:spacing w:after="0" w:line="303" w:lineRule="auto"/>
        <w:tabs>
          <w:tab w:leader="none" w:pos="2167" w:val="left"/>
        </w:tabs>
        <w:numPr>
          <w:ilvl w:val="1"/>
          <w:numId w:val="228"/>
        </w:numPr>
        <w:rPr>
          <w:rFonts w:ascii="Arial" w:cs="Arial" w:eastAsia="Arial" w:hAnsi="Arial"/>
          <w:sz w:val="18"/>
          <w:szCs w:val="18"/>
          <w:color w:val="auto"/>
        </w:rPr>
      </w:pPr>
      <w:r>
        <w:rPr>
          <w:rFonts w:ascii="Arial" w:cs="Arial" w:eastAsia="Arial" w:hAnsi="Arial"/>
          <w:sz w:val="18"/>
          <w:szCs w:val="18"/>
          <w:i w:val="1"/>
          <w:iCs w:val="1"/>
          <w:u w:val="single" w:color="auto"/>
          <w:color w:val="auto"/>
        </w:rPr>
        <w:t>Grant of Security Interest</w:t>
      </w:r>
      <w:r>
        <w:rPr>
          <w:rFonts w:ascii="Arial" w:cs="Arial" w:eastAsia="Arial" w:hAnsi="Arial"/>
          <w:sz w:val="18"/>
          <w:szCs w:val="18"/>
          <w:color w:val="auto"/>
        </w:rPr>
        <w:t>. All Cash Collateral (other than credit support not constituting funds subject to deposit)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shall be maintained in blocked, non-interest bearing deposit accounts at the Collateral Agent. Each Borrower, and to the extent provided by any Lender, such Lender, hereby grants to (and subjects to the control of) the Collateral Agent, for the benefit of the Collateral Agent, the applicable L/C Issuers and the applicable Lenders (including the applicable Swing Line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8"/>
          <w:szCs w:val="18"/>
          <w:u w:val="single" w:color="auto"/>
          <w:color w:val="auto"/>
        </w:rPr>
        <w:t>Section 2.16(c)</w:t>
      </w:r>
      <w:r>
        <w:rPr>
          <w:rFonts w:ascii="Arial" w:cs="Arial" w:eastAsia="Arial" w:hAnsi="Arial"/>
          <w:sz w:val="18"/>
          <w:szCs w:val="18"/>
          <w:color w:val="auto"/>
        </w:rPr>
        <w:t>. If at any time the Collateral Agent determines that Cash Collateral is subject to any right or claim of any Person other than the Collateral Agent as herein provided, or that the total amount of such Cash Collateral is less than the Minimum Collateral Amount, or, if applicable, the applicable Fronting Exposure and other obligations secured thereby, the applicable Borrower or the relevant Defaulting Lender will, promptly upon demand by the Collateral Agent, pay or provide to the Collateral Agent additional Cash Collateral in an amount sufficient to eliminate such deficiency.</w:t>
      </w:r>
    </w:p>
    <w:p>
      <w:pPr>
        <w:spacing w:after="0" w:line="168" w:lineRule="exact"/>
        <w:rPr>
          <w:rFonts w:ascii="Arial" w:cs="Arial" w:eastAsia="Arial" w:hAnsi="Arial"/>
          <w:sz w:val="18"/>
          <w:szCs w:val="18"/>
          <w:color w:val="auto"/>
        </w:rPr>
      </w:pPr>
    </w:p>
    <w:p>
      <w:pPr>
        <w:ind w:left="-8" w:right="60" w:firstLine="1305"/>
        <w:spacing w:after="0" w:line="290" w:lineRule="auto"/>
        <w:tabs>
          <w:tab w:leader="none" w:pos="2156" w:val="left"/>
        </w:tabs>
        <w:numPr>
          <w:ilvl w:val="1"/>
          <w:numId w:val="228"/>
        </w:numPr>
        <w:rPr>
          <w:rFonts w:ascii="Arial" w:cs="Arial" w:eastAsia="Arial" w:hAnsi="Arial"/>
          <w:sz w:val="19"/>
          <w:szCs w:val="19"/>
          <w:color w:val="auto"/>
        </w:rPr>
      </w:pPr>
      <w:r>
        <w:rPr>
          <w:rFonts w:ascii="Arial" w:cs="Arial" w:eastAsia="Arial" w:hAnsi="Arial"/>
          <w:sz w:val="19"/>
          <w:szCs w:val="19"/>
          <w:i w:val="1"/>
          <w:iCs w:val="1"/>
          <w:u w:val="single" w:color="auto"/>
          <w:color w:val="auto"/>
        </w:rPr>
        <w:t>Application</w:t>
      </w:r>
      <w:r>
        <w:rPr>
          <w:rFonts w:ascii="Arial" w:cs="Arial" w:eastAsia="Arial" w:hAnsi="Arial"/>
          <w:sz w:val="19"/>
          <w:szCs w:val="19"/>
          <w:color w:val="auto"/>
        </w:rPr>
        <w:t>. Notwithstanding anything to the contrary contained in this Agreement, Cash Collateral provided under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any of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Sections 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2.09(c)</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w:t>
      </w:r>
      <w:r>
        <w:rPr>
          <w:rFonts w:ascii="Arial" w:cs="Arial" w:eastAsia="Arial" w:hAnsi="Arial"/>
          <w:sz w:val="19"/>
          <w:szCs w:val="19"/>
          <w:u w:val="single" w:color="auto"/>
          <w:color w:val="auto"/>
        </w:rPr>
        <w:t>8.02</w:t>
      </w:r>
      <w:r>
        <w:rPr>
          <w:rFonts w:ascii="Arial" w:cs="Arial" w:eastAsia="Arial" w:hAnsi="Arial"/>
          <w:sz w:val="19"/>
          <w:szCs w:val="19"/>
          <w:color w:val="auto"/>
        </w:rPr>
        <w:t xml:space="preserve"> or otherwise in respect of Letters of Credit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79" w:lineRule="exact"/>
        <w:rPr>
          <w:rFonts w:ascii="Arial" w:cs="Arial" w:eastAsia="Arial" w:hAnsi="Arial"/>
          <w:sz w:val="19"/>
          <w:szCs w:val="19"/>
          <w:color w:val="auto"/>
        </w:rPr>
      </w:pPr>
    </w:p>
    <w:p>
      <w:pPr>
        <w:ind w:left="-8" w:right="740" w:firstLine="1305"/>
        <w:spacing w:after="0" w:line="289" w:lineRule="auto"/>
        <w:tabs>
          <w:tab w:leader="none" w:pos="2167" w:val="left"/>
        </w:tabs>
        <w:numPr>
          <w:ilvl w:val="1"/>
          <w:numId w:val="228"/>
        </w:numPr>
        <w:rPr>
          <w:rFonts w:ascii="Arial" w:cs="Arial" w:eastAsia="Arial" w:hAnsi="Arial"/>
          <w:sz w:val="20"/>
          <w:szCs w:val="20"/>
          <w:color w:val="auto"/>
        </w:rPr>
      </w:pPr>
      <w:r>
        <w:rPr>
          <w:rFonts w:ascii="Arial" w:cs="Arial" w:eastAsia="Arial" w:hAnsi="Arial"/>
          <w:sz w:val="20"/>
          <w:szCs w:val="20"/>
          <w:i w:val="1"/>
          <w:iCs w:val="1"/>
          <w:u w:val="single" w:color="auto"/>
          <w:color w:val="auto"/>
        </w:rPr>
        <w:t>Release</w:t>
      </w:r>
      <w:r>
        <w:rPr>
          <w:rFonts w:ascii="Arial" w:cs="Arial" w:eastAsia="Arial" w:hAnsi="Arial"/>
          <w:sz w:val="20"/>
          <w:szCs w:val="20"/>
          <w:color w:val="auto"/>
        </w:rPr>
        <w:t>. Cash Collateral (or the appropriate portion thereof) provided to reduce Fronting Exposure or other</w:t>
      </w:r>
      <w:r>
        <w:rPr>
          <w:rFonts w:ascii="Arial" w:cs="Arial" w:eastAsia="Arial" w:hAnsi="Arial"/>
          <w:sz w:val="20"/>
          <w:szCs w:val="20"/>
          <w:i w:val="1"/>
          <w:iCs w:val="1"/>
          <w:color w:val="auto"/>
        </w:rPr>
        <w:t xml:space="preserve"> </w:t>
      </w:r>
      <w:r>
        <w:rPr>
          <w:rFonts w:ascii="Arial" w:cs="Arial" w:eastAsia="Arial" w:hAnsi="Arial"/>
          <w:sz w:val="20"/>
          <w:szCs w:val="20"/>
          <w:color w:val="auto"/>
        </w:rPr>
        <w:t>obligations shall be released promptly following (i) the elimination of the</w:t>
      </w:r>
    </w:p>
    <w:p>
      <w:pPr>
        <w:spacing w:after="0" w:line="200" w:lineRule="exact"/>
        <w:rPr>
          <w:rFonts w:ascii="Arial" w:cs="Arial" w:eastAsia="Arial" w:hAnsi="Arial"/>
          <w:sz w:val="20"/>
          <w:szCs w:val="20"/>
          <w:color w:val="auto"/>
        </w:rPr>
      </w:pPr>
    </w:p>
    <w:p>
      <w:pPr>
        <w:spacing w:after="0" w:line="313" w:lineRule="exact"/>
        <w:rPr>
          <w:rFonts w:ascii="Arial" w:cs="Arial" w:eastAsia="Arial" w:hAnsi="Arial"/>
          <w:sz w:val="20"/>
          <w:szCs w:val="20"/>
          <w:color w:val="auto"/>
        </w:rPr>
      </w:pPr>
    </w:p>
    <w:p>
      <w:pPr>
        <w:ind w:left="5612" w:hanging="120"/>
        <w:spacing w:after="0"/>
        <w:tabs>
          <w:tab w:leader="none" w:pos="5612" w:val="left"/>
        </w:tabs>
        <w:numPr>
          <w:ilvl w:val="2"/>
          <w:numId w:val="228"/>
        </w:numPr>
        <w:rPr>
          <w:rFonts w:ascii="Arial" w:cs="Arial" w:eastAsia="Arial" w:hAnsi="Arial"/>
          <w:sz w:val="20"/>
          <w:szCs w:val="20"/>
          <w:color w:val="auto"/>
        </w:rPr>
      </w:pPr>
      <w:r>
        <w:rPr>
          <w:rFonts w:ascii="Arial" w:cs="Arial" w:eastAsia="Arial" w:hAnsi="Arial"/>
          <w:sz w:val="20"/>
          <w:szCs w:val="20"/>
          <w:color w:val="auto"/>
        </w:rPr>
        <w:t>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72720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12"/>
          </w:cols>
          <w:pgMar w:left="248" w:top="379" w:right="239" w:bottom="1440" w:gutter="0" w:footer="0" w:header="0"/>
        </w:sectPr>
      </w:pPr>
    </w:p>
    <w:bookmarkStart w:id="289" w:name="page290"/>
    <w:bookmarkEnd w:id="289"/>
    <w:p>
      <w:pPr>
        <w:spacing w:after="0" w:line="276" w:lineRule="auto"/>
        <w:rPr>
          <w:sz w:val="20"/>
          <w:szCs w:val="20"/>
          <w:color w:val="auto"/>
        </w:rPr>
      </w:pPr>
      <w:r>
        <w:rPr>
          <w:rFonts w:ascii="Arial" w:cs="Arial" w:eastAsia="Arial" w:hAnsi="Arial"/>
          <w:sz w:val="18"/>
          <w:szCs w:val="18"/>
          <w:color w:val="auto"/>
        </w:rPr>
        <w:t xml:space="preserve">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or (ii) the determination by the Collateral Agent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(x) that Cash Collateral furnished by or on behalf of a Loan Party shall not be released during the continuance of a Default or Event of Default (and following application as provided in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may be otherwise applied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 and (y) the Person providing Cash Collateral and the applicable L/C Issuer or Swing Line Lender, as applicable, may agree that Cash Collateral shall not be released but instead held to support future anticipated Fronting Exposure or other obligations.</w:t>
      </w:r>
    </w:p>
    <w:p>
      <w:pPr>
        <w:spacing w:after="0" w:line="335"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2.17</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95" w:lineRule="exact"/>
        <w:rPr>
          <w:sz w:val="20"/>
          <w:szCs w:val="20"/>
          <w:color w:val="auto"/>
        </w:rPr>
      </w:pPr>
    </w:p>
    <w:p>
      <w:pPr>
        <w:ind w:right="560" w:firstLine="1305"/>
        <w:spacing w:after="0" w:line="347" w:lineRule="auto"/>
        <w:tabs>
          <w:tab w:leader="none" w:pos="2164" w:val="left"/>
        </w:tabs>
        <w:numPr>
          <w:ilvl w:val="0"/>
          <w:numId w:val="229"/>
        </w:numPr>
        <w:rPr>
          <w:rFonts w:ascii="Arial" w:cs="Arial" w:eastAsia="Arial" w:hAnsi="Arial"/>
          <w:sz w:val="18"/>
          <w:szCs w:val="18"/>
          <w:color w:val="auto"/>
        </w:rPr>
      </w:pPr>
      <w:r>
        <w:rPr>
          <w:rFonts w:ascii="Arial" w:cs="Arial" w:eastAsia="Arial" w:hAnsi="Arial"/>
          <w:sz w:val="18"/>
          <w:szCs w:val="18"/>
          <w:i w:val="1"/>
          <w:iCs w:val="1"/>
          <w:u w:val="single" w:color="auto"/>
          <w:color w:val="auto"/>
        </w:rPr>
        <w:t>Adjustments</w:t>
      </w:r>
      <w:r>
        <w:rPr>
          <w:rFonts w:ascii="Arial" w:cs="Arial" w:eastAsia="Arial" w:hAnsi="Arial"/>
          <w:sz w:val="18"/>
          <w:szCs w:val="18"/>
          <w:color w:val="auto"/>
        </w:rPr>
        <w:t>. Notwithstanding anything to the contrary contained in this Agreement, if any Lender becomes a</w:t>
      </w:r>
      <w:r>
        <w:rPr>
          <w:rFonts w:ascii="Arial" w:cs="Arial" w:eastAsia="Arial" w:hAnsi="Arial"/>
          <w:sz w:val="18"/>
          <w:szCs w:val="18"/>
          <w:i w:val="1"/>
          <w:iCs w:val="1"/>
          <w:color w:val="auto"/>
        </w:rPr>
        <w:t xml:space="preserve"> </w:t>
      </w:r>
      <w:r>
        <w:rPr>
          <w:rFonts w:ascii="Arial" w:cs="Arial" w:eastAsia="Arial" w:hAnsi="Arial"/>
          <w:sz w:val="18"/>
          <w:szCs w:val="18"/>
          <w:color w:val="auto"/>
        </w:rPr>
        <w:t>Defaulting Lender, then, until such time as that Lender is no longer a Defaulting Lender, to the extent permitted by applicable Law:</w:t>
      </w:r>
    </w:p>
    <w:p>
      <w:pPr>
        <w:spacing w:after="0" w:line="90" w:lineRule="exact"/>
        <w:rPr>
          <w:rFonts w:ascii="Arial" w:cs="Arial" w:eastAsia="Arial" w:hAnsi="Arial"/>
          <w:sz w:val="18"/>
          <w:szCs w:val="18"/>
          <w:color w:val="auto"/>
        </w:rPr>
      </w:pPr>
    </w:p>
    <w:p>
      <w:pPr>
        <w:ind w:left="660" w:right="500" w:firstLine="807"/>
        <w:spacing w:after="0" w:line="289" w:lineRule="auto"/>
        <w:tabs>
          <w:tab w:leader="none" w:pos="2143" w:val="left"/>
        </w:tabs>
        <w:numPr>
          <w:ilvl w:val="1"/>
          <w:numId w:val="229"/>
        </w:numPr>
        <w:rPr>
          <w:rFonts w:ascii="Arial" w:cs="Arial" w:eastAsia="Arial" w:hAnsi="Arial"/>
          <w:sz w:val="20"/>
          <w:szCs w:val="20"/>
          <w:color w:val="auto"/>
        </w:rPr>
      </w:pPr>
      <w:r>
        <w:rPr>
          <w:rFonts w:ascii="Arial" w:cs="Arial" w:eastAsia="Arial" w:hAnsi="Arial"/>
          <w:sz w:val="20"/>
          <w:szCs w:val="20"/>
          <w:i w:val="1"/>
          <w:iCs w:val="1"/>
          <w:u w:val="single" w:color="auto"/>
          <w:color w:val="auto"/>
        </w:rPr>
        <w:t>Waivers and Amendments</w:t>
      </w:r>
      <w:r>
        <w:rPr>
          <w:rFonts w:ascii="Arial" w:cs="Arial" w:eastAsia="Arial" w:hAnsi="Arial"/>
          <w:sz w:val="20"/>
          <w:szCs w:val="20"/>
          <w:color w:val="auto"/>
        </w:rPr>
        <w:t>. That Defaulting Lender’s right to approve or disapprove any amendment, waiver or</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consent with respect to this Agreement shall be restricted as set forth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134" w:lineRule="exact"/>
        <w:rPr>
          <w:rFonts w:ascii="Arial" w:cs="Arial" w:eastAsia="Arial" w:hAnsi="Arial"/>
          <w:sz w:val="20"/>
          <w:szCs w:val="20"/>
          <w:color w:val="auto"/>
        </w:rPr>
      </w:pPr>
    </w:p>
    <w:p>
      <w:pPr>
        <w:jc w:val="both"/>
        <w:ind w:left="660" w:right="40" w:firstLine="807"/>
        <w:spacing w:after="0" w:line="274" w:lineRule="auto"/>
        <w:tabs>
          <w:tab w:leader="none" w:pos="2198" w:val="left"/>
        </w:tabs>
        <w:numPr>
          <w:ilvl w:val="1"/>
          <w:numId w:val="229"/>
        </w:numPr>
        <w:rPr>
          <w:rFonts w:ascii="Arial" w:cs="Arial" w:eastAsia="Arial" w:hAnsi="Arial"/>
          <w:sz w:val="20"/>
          <w:szCs w:val="20"/>
          <w:color w:val="auto"/>
        </w:rPr>
      </w:pPr>
      <w:r>
        <w:rPr>
          <w:rFonts w:ascii="Arial" w:cs="Arial" w:eastAsia="Arial" w:hAnsi="Arial"/>
          <w:sz w:val="20"/>
          <w:szCs w:val="20"/>
          <w:i w:val="1"/>
          <w:iCs w:val="1"/>
          <w:u w:val="single" w:color="auto"/>
          <w:color w:val="auto"/>
        </w:rPr>
        <w:t>Reallocation of Payments</w:t>
      </w:r>
      <w:r>
        <w:rPr>
          <w:rFonts w:ascii="Arial" w:cs="Arial" w:eastAsia="Arial" w:hAnsi="Arial"/>
          <w:sz w:val="20"/>
          <w:szCs w:val="20"/>
          <w:color w:val="auto"/>
        </w:rPr>
        <w:t>. Any payment of principal, interest, fees or other amounts received by the Administrative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Agent for the account of such Defaulting Lender (whether voluntary or mandatory, at maturity, pursuant to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or otherwise or received by the Administrative Agent from such Defaulting Lender pursuant to </w:t>
      </w:r>
      <w:r>
        <w:rPr>
          <w:rFonts w:ascii="Arial" w:cs="Arial" w:eastAsia="Arial" w:hAnsi="Arial"/>
          <w:sz w:val="20"/>
          <w:szCs w:val="20"/>
          <w:u w:val="single" w:color="auto"/>
          <w:color w:val="auto"/>
        </w:rPr>
        <w:t>Section 10.08</w:t>
      </w:r>
      <w:r>
        <w:rPr>
          <w:rFonts w:ascii="Arial" w:cs="Arial" w:eastAsia="Arial" w:hAnsi="Arial"/>
          <w:sz w:val="20"/>
          <w:szCs w:val="20"/>
          <w:color w:val="auto"/>
        </w:rPr>
        <w:t>) shall be applied at such time or times as may be determined by the Administrative Agent as follows:</w:t>
      </w:r>
    </w:p>
    <w:p>
      <w:pPr>
        <w:spacing w:after="0" w:line="138"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FIRST, to the payment of any amounts owing by such Defaulting Lender to the Administrative Agent hereunder;</w:t>
      </w:r>
    </w:p>
    <w:p>
      <w:pPr>
        <w:spacing w:after="0" w:line="187" w:lineRule="exact"/>
        <w:rPr>
          <w:sz w:val="20"/>
          <w:szCs w:val="20"/>
          <w:color w:val="auto"/>
        </w:rPr>
      </w:pPr>
    </w:p>
    <w:p>
      <w:pPr>
        <w:ind w:left="1300" w:right="200" w:firstLine="648"/>
        <w:spacing w:after="0" w:line="260" w:lineRule="auto"/>
        <w:rPr>
          <w:sz w:val="20"/>
          <w:szCs w:val="20"/>
          <w:color w:val="auto"/>
        </w:rPr>
      </w:pPr>
      <w:r>
        <w:rPr>
          <w:rFonts w:ascii="Arial" w:cs="Arial" w:eastAsia="Arial" w:hAnsi="Arial"/>
          <w:sz w:val="20"/>
          <w:szCs w:val="20"/>
          <w:color w:val="auto"/>
        </w:rPr>
        <w:t>SECOND, to the payment on a pro rata basis of any amounts owing by such Defaulting Lender to the applicable L/C Issuer or Swing Line Lender hereunder;</w:t>
      </w:r>
    </w:p>
    <w:p>
      <w:pPr>
        <w:spacing w:after="0" w:line="136" w:lineRule="exact"/>
        <w:rPr>
          <w:sz w:val="20"/>
          <w:szCs w:val="20"/>
          <w:color w:val="auto"/>
        </w:rPr>
      </w:pPr>
    </w:p>
    <w:p>
      <w:pPr>
        <w:ind w:left="1300" w:right="900" w:firstLine="648"/>
        <w:spacing w:after="0" w:line="260" w:lineRule="auto"/>
        <w:rPr>
          <w:sz w:val="20"/>
          <w:szCs w:val="20"/>
          <w:color w:val="auto"/>
        </w:rPr>
      </w:pPr>
      <w:r>
        <w:rPr>
          <w:rFonts w:ascii="Arial" w:cs="Arial" w:eastAsia="Arial" w:hAnsi="Arial"/>
          <w:sz w:val="20"/>
          <w:szCs w:val="20"/>
          <w:color w:val="auto"/>
        </w:rPr>
        <w:t xml:space="preserve">THIRD, to Cash Collateralize the L/C Issuers’ Fronting Exposure with respect to such Defaulting Lender in accordance with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136" w:lineRule="exact"/>
        <w:rPr>
          <w:sz w:val="20"/>
          <w:szCs w:val="20"/>
          <w:color w:val="auto"/>
        </w:rPr>
      </w:pPr>
    </w:p>
    <w:p>
      <w:pPr>
        <w:ind w:left="1300" w:right="60" w:firstLine="648"/>
        <w:spacing w:after="0" w:line="250" w:lineRule="auto"/>
        <w:rPr>
          <w:sz w:val="20"/>
          <w:szCs w:val="20"/>
          <w:color w:val="auto"/>
        </w:rPr>
      </w:pPr>
      <w:r>
        <w:rPr>
          <w:rFonts w:ascii="Arial" w:cs="Arial" w:eastAsia="Arial" w:hAnsi="Arial"/>
          <w:sz w:val="20"/>
          <w:szCs w:val="20"/>
          <w:color w:val="auto"/>
        </w:rPr>
        <w:t>FOURTH, as the applicable Borrower may request (so long as no Default or Event of Default exists), to the funding of any Loan in respect of which that Defaulting Lender has failed to fund its portion thereof as required by this Agreement, as determined by the Administrative Agent;</w:t>
      </w:r>
    </w:p>
    <w:p>
      <w:pPr>
        <w:spacing w:after="0" w:line="146" w:lineRule="exact"/>
        <w:rPr>
          <w:sz w:val="20"/>
          <w:szCs w:val="20"/>
          <w:color w:val="auto"/>
        </w:rPr>
      </w:pPr>
    </w:p>
    <w:p>
      <w:pPr>
        <w:ind w:left="1300" w:right="80" w:firstLine="648"/>
        <w:spacing w:after="0" w:line="282" w:lineRule="auto"/>
        <w:rPr>
          <w:sz w:val="20"/>
          <w:szCs w:val="20"/>
          <w:color w:val="auto"/>
        </w:rPr>
      </w:pPr>
      <w:r>
        <w:rPr>
          <w:rFonts w:ascii="Arial" w:cs="Arial" w:eastAsia="Arial" w:hAnsi="Arial"/>
          <w:sz w:val="18"/>
          <w:szCs w:val="18"/>
          <w:color w:val="auto"/>
        </w:rPr>
        <w:t xml:space="preserve">FIFTH, if so determined by the Administrative Agent and the applicable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21" w:lineRule="exact"/>
        <w:rPr>
          <w:sz w:val="20"/>
          <w:szCs w:val="20"/>
          <w:color w:val="auto"/>
        </w:rPr>
      </w:pPr>
    </w:p>
    <w:p>
      <w:pPr>
        <w:ind w:left="1300" w:right="280" w:firstLine="648"/>
        <w:spacing w:after="0" w:line="250" w:lineRule="auto"/>
        <w:rPr>
          <w:sz w:val="20"/>
          <w:szCs w:val="20"/>
          <w:color w:val="auto"/>
        </w:rPr>
      </w:pPr>
      <w:r>
        <w:rPr>
          <w:rFonts w:ascii="Arial" w:cs="Arial" w:eastAsia="Arial" w:hAnsi="Arial"/>
          <w:sz w:val="20"/>
          <w:szCs w:val="20"/>
          <w:color w:val="auto"/>
        </w:rPr>
        <w:t>SIXTH, to the payment of any amounts owing to the Lenders, the applicable L/C Issuer or applicable Swing Line Lender as a result of any judgment of a court of competent jurisdiction obtained by any Lender, the applicable L/C Issuer or applicable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90" w:name="page291"/>
    <w:bookmarkEnd w:id="290"/>
    <w:p>
      <w:pPr>
        <w:ind w:left="640" w:right="160"/>
        <w:spacing w:after="0" w:line="260" w:lineRule="auto"/>
        <w:rPr>
          <w:sz w:val="20"/>
          <w:szCs w:val="20"/>
          <w:color w:val="auto"/>
        </w:rPr>
      </w:pPr>
      <w:r>
        <w:rPr>
          <w:rFonts w:ascii="Arial" w:cs="Arial" w:eastAsia="Arial" w:hAnsi="Arial"/>
          <w:sz w:val="20"/>
          <w:szCs w:val="20"/>
          <w:color w:val="auto"/>
        </w:rPr>
        <w:t>Swing Line Lender against such Defaulting Lender as a result of such Defaulting Lender’s breach of its obligations under this Agreement;</w:t>
      </w:r>
    </w:p>
    <w:p>
      <w:pPr>
        <w:spacing w:after="0" w:line="69" w:lineRule="exact"/>
        <w:rPr>
          <w:sz w:val="20"/>
          <w:szCs w:val="20"/>
          <w:color w:val="auto"/>
        </w:rPr>
      </w:pPr>
    </w:p>
    <w:p>
      <w:pPr>
        <w:ind w:left="640" w:right="260" w:firstLine="648"/>
        <w:spacing w:after="0" w:line="291" w:lineRule="auto"/>
        <w:rPr>
          <w:sz w:val="20"/>
          <w:szCs w:val="20"/>
          <w:color w:val="auto"/>
        </w:rPr>
      </w:pPr>
      <w:r>
        <w:rPr>
          <w:rFonts w:ascii="Arial" w:cs="Arial" w:eastAsia="Arial" w:hAnsi="Arial"/>
          <w:sz w:val="18"/>
          <w:szCs w:val="18"/>
          <w:color w:val="auto"/>
        </w:rPr>
        <w:t>SEVENTH, so long as no Default or Event of Default exists, to the payment of any amounts owing to the applicable Borrower as a result of any judgment of a court of competent jurisdiction obtained by the such Borrower against such Defaulting Lender as a result of such Defaulting Lender’s breach of its obligations under this Agreement; and</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EIGHTH, to such Defaulting Lender or as otherwise directed by a court of competent jurisdiction;</w:t>
      </w:r>
    </w:p>
    <w:p>
      <w:pPr>
        <w:spacing w:after="0" w:line="108" w:lineRule="exact"/>
        <w:rPr>
          <w:sz w:val="20"/>
          <w:szCs w:val="20"/>
          <w:color w:val="auto"/>
        </w:rPr>
      </w:pPr>
    </w:p>
    <w:p>
      <w:pPr>
        <w:ind w:right="320"/>
        <w:spacing w:after="0" w:line="27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or L/C Borrowings in respect of which such Defaulting Lender has not fully funded its appropriate share and (y) such Loans or L/C Borrowings were made at a time when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were satisfied or waived, such payment shall be applied solely to pay the Loans of, and L/C Borrowings owed to, all non-Defaulting Lenders on a pro rata basis prior to being applied to the payment of any Loans of, or L/C Borrowings owed to, such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2.17(a)(ii)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75" w:lineRule="exact"/>
        <w:rPr>
          <w:sz w:val="20"/>
          <w:szCs w:val="20"/>
          <w:color w:val="auto"/>
        </w:rPr>
      </w:pPr>
    </w:p>
    <w:p>
      <w:pPr>
        <w:ind w:right="40" w:firstLine="807"/>
        <w:spacing w:after="0" w:line="274" w:lineRule="auto"/>
        <w:tabs>
          <w:tab w:leader="none" w:pos="1593" w:val="left"/>
        </w:tabs>
        <w:numPr>
          <w:ilvl w:val="1"/>
          <w:numId w:val="230"/>
        </w:numPr>
        <w:rPr>
          <w:rFonts w:ascii="Arial" w:cs="Arial" w:eastAsia="Arial" w:hAnsi="Arial"/>
          <w:sz w:val="20"/>
          <w:szCs w:val="20"/>
          <w:color w:val="auto"/>
        </w:rPr>
      </w:pPr>
      <w:r>
        <w:rPr>
          <w:rFonts w:ascii="Arial" w:cs="Arial" w:eastAsia="Arial" w:hAnsi="Arial"/>
          <w:sz w:val="20"/>
          <w:szCs w:val="20"/>
          <w:i w:val="1"/>
          <w:iCs w:val="1"/>
          <w:u w:val="single" w:color="auto"/>
          <w:color w:val="auto"/>
        </w:rPr>
        <w:t>Certain Fees</w:t>
      </w:r>
      <w:r>
        <w:rPr>
          <w:rFonts w:ascii="Arial" w:cs="Arial" w:eastAsia="Arial" w:hAnsi="Arial"/>
          <w:sz w:val="20"/>
          <w:szCs w:val="20"/>
          <w:color w:val="auto"/>
        </w:rPr>
        <w:t>. (x) No Defaulting Lender shall be entitled to receive any Commitment Fee payable pursuant to</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2.11(a)</w:t>
      </w:r>
      <w:r>
        <w:rPr>
          <w:rFonts w:ascii="Arial" w:cs="Arial" w:eastAsia="Arial" w:hAnsi="Arial"/>
          <w:sz w:val="20"/>
          <w:szCs w:val="20"/>
          <w:color w:val="auto"/>
        </w:rPr>
        <w:t xml:space="preserve"> for any period during which such Lender is a Defaulting Lender (and no Borrower shall be required to pay any such fee that otherwise would have been required to have been paid to such Defaulting Lender) and (y) each Defaulting Lender shall be limited in its right to receive Letter of Credit Fees as provided in </w:t>
      </w:r>
      <w:r>
        <w:rPr>
          <w:rFonts w:ascii="Arial" w:cs="Arial" w:eastAsia="Arial" w:hAnsi="Arial"/>
          <w:sz w:val="20"/>
          <w:szCs w:val="20"/>
          <w:u w:val="single" w:color="auto"/>
          <w:color w:val="auto"/>
        </w:rPr>
        <w:t>Section 2.11(b)</w:t>
      </w:r>
      <w:r>
        <w:rPr>
          <w:rFonts w:ascii="Arial" w:cs="Arial" w:eastAsia="Arial" w:hAnsi="Arial"/>
          <w:sz w:val="20"/>
          <w:szCs w:val="20"/>
          <w:color w:val="auto"/>
        </w:rPr>
        <w:t>.</w:t>
      </w:r>
    </w:p>
    <w:p>
      <w:pPr>
        <w:spacing w:after="0" w:line="84" w:lineRule="exact"/>
        <w:rPr>
          <w:rFonts w:ascii="Arial" w:cs="Arial" w:eastAsia="Arial" w:hAnsi="Arial"/>
          <w:sz w:val="20"/>
          <w:szCs w:val="20"/>
          <w:color w:val="auto"/>
        </w:rPr>
      </w:pPr>
    </w:p>
    <w:p>
      <w:pPr>
        <w:ind w:firstLine="807"/>
        <w:spacing w:after="0" w:line="285" w:lineRule="auto"/>
        <w:tabs>
          <w:tab w:leader="none" w:pos="1582" w:val="left"/>
        </w:tabs>
        <w:numPr>
          <w:ilvl w:val="1"/>
          <w:numId w:val="230"/>
        </w:numPr>
        <w:rPr>
          <w:rFonts w:ascii="Arial" w:cs="Arial" w:eastAsia="Arial" w:hAnsi="Arial"/>
          <w:sz w:val="19"/>
          <w:szCs w:val="19"/>
          <w:color w:val="auto"/>
        </w:rPr>
      </w:pPr>
      <w:r>
        <w:rPr>
          <w:rFonts w:ascii="Arial" w:cs="Arial" w:eastAsia="Arial" w:hAnsi="Arial"/>
          <w:sz w:val="19"/>
          <w:szCs w:val="19"/>
          <w:i w:val="1"/>
          <w:iCs w:val="1"/>
          <w:u w:val="single" w:color="auto"/>
          <w:color w:val="auto"/>
        </w:rPr>
        <w:t>Reallocation of Participations to Reduce Fronting Exposure</w:t>
      </w:r>
      <w:r>
        <w:rPr>
          <w:rFonts w:ascii="Arial" w:cs="Arial" w:eastAsia="Arial" w:hAnsi="Arial"/>
          <w:sz w:val="19"/>
          <w:szCs w:val="19"/>
          <w:color w:val="auto"/>
        </w:rPr>
        <w:t>. All or any part of such Defaulting Lender’s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participation in L/C Obligations and Swing Line Loans shall be reallocated among the non-Defaulting Lenders in accordance with their respective Revolving Commitment Percentages (calculated without regard to such Defaulting Lender’s Commitment) but only to the extent that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are satisfied at the time of such reallocation (and, unless the applicable Borrower shall have otherwise notified the Administrative Agent at such time, such Borrower shall be deemed to have represented and warranted that such conditions are satisfied at such time), and (y) such reallocation does not cause the sum of, without duplication, the aggregate Outstanding Amount of the Revolving Loans of any non-Defaulting Lender,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Lender’s Revolving Commitment Percentage of the Outstanding Amount of all L/C Obligations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Lender’s Revolving Commitment Percentage of the Outstanding Amount of all Swing Line Loans at such time to exceed such Lender’s Revolving Commitment. </w:t>
      </w:r>
      <w:r>
        <w:rPr>
          <w:rFonts w:ascii="Arial" w:cs="Arial" w:eastAsia="Arial" w:hAnsi="Arial"/>
          <w:sz w:val="19"/>
          <w:szCs w:val="19"/>
          <w:color w:val="FF0000"/>
          <w:strike w:val="1"/>
        </w:rPr>
        <w:t>No</w:t>
      </w:r>
      <w:r>
        <w:rPr>
          <w:rFonts w:ascii="Arial" w:cs="Arial" w:eastAsia="Arial" w:hAnsi="Arial"/>
          <w:sz w:val="19"/>
          <w:szCs w:val="19"/>
          <w:u w:val="single" w:color="auto"/>
          <w:color w:val="0000FF"/>
        </w:rPr>
        <w:t>Subject to Section 10.17, no</w:t>
      </w:r>
      <w:r>
        <w:rPr>
          <w:rFonts w:ascii="Arial" w:cs="Arial" w:eastAsia="Arial" w:hAnsi="Arial"/>
          <w:sz w:val="19"/>
          <w:szCs w:val="19"/>
          <w:color w:val="auto"/>
        </w:rPr>
        <w:t xml:space="preserve"> reallocation hereunder shall constitute a waiver or release of any claim of any party hereunder against a Defaulting Lender arising from such Lender having become a Defaulting Lender, including any claim of a non-Defaulting Lender as a result of such non-Defaulting Lender’s increased exposure following such reallocation.</w:t>
      </w:r>
    </w:p>
    <w:p>
      <w:pPr>
        <w:spacing w:after="0" w:line="73" w:lineRule="exact"/>
        <w:rPr>
          <w:rFonts w:ascii="Arial" w:cs="Arial" w:eastAsia="Arial" w:hAnsi="Arial"/>
          <w:sz w:val="19"/>
          <w:szCs w:val="19"/>
          <w:color w:val="auto"/>
        </w:rPr>
      </w:pPr>
    </w:p>
    <w:p>
      <w:pPr>
        <w:ind w:left="-660" w:right="240" w:firstLine="1305"/>
        <w:spacing w:after="0" w:line="293" w:lineRule="auto"/>
        <w:tabs>
          <w:tab w:leader="none" w:pos="1515" w:val="left"/>
        </w:tabs>
        <w:numPr>
          <w:ilvl w:val="0"/>
          <w:numId w:val="231"/>
        </w:numPr>
        <w:rPr>
          <w:rFonts w:ascii="Arial" w:cs="Arial" w:eastAsia="Arial" w:hAnsi="Arial"/>
          <w:sz w:val="19"/>
          <w:szCs w:val="19"/>
          <w:color w:val="auto"/>
        </w:rPr>
      </w:pPr>
      <w:r>
        <w:rPr>
          <w:rFonts w:ascii="Arial" w:cs="Arial" w:eastAsia="Arial" w:hAnsi="Arial"/>
          <w:sz w:val="19"/>
          <w:szCs w:val="19"/>
          <w:i w:val="1"/>
          <w:iCs w:val="1"/>
          <w:u w:val="single" w:color="auto"/>
          <w:color w:val="auto"/>
        </w:rPr>
        <w:t>Defaulting Lender Cure</w:t>
      </w:r>
      <w:r>
        <w:rPr>
          <w:rFonts w:ascii="Arial" w:cs="Arial" w:eastAsia="Arial" w:hAnsi="Arial"/>
          <w:sz w:val="19"/>
          <w:szCs w:val="19"/>
          <w:color w:val="auto"/>
        </w:rPr>
        <w:t>. If the Borrower, the Administrative Agent, each Swing Line Lender and each L/C Issuer</w:t>
      </w:r>
      <w:r>
        <w:rPr>
          <w:rFonts w:ascii="Arial" w:cs="Arial" w:eastAsia="Arial" w:hAnsi="Arial"/>
          <w:sz w:val="19"/>
          <w:szCs w:val="19"/>
          <w:i w:val="1"/>
          <w:iCs w:val="1"/>
          <w:color w:val="auto"/>
        </w:rPr>
        <w:t xml:space="preserve"> </w:t>
      </w:r>
      <w:r>
        <w:rPr>
          <w:rFonts w:ascii="Arial" w:cs="Arial" w:eastAsia="Arial" w:hAnsi="Arial"/>
          <w:sz w:val="19"/>
          <w:szCs w:val="19"/>
          <w:color w:val="auto"/>
        </w:rPr>
        <w:t>agree in writing that a Defaulting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w:t>
      </w:r>
    </w:p>
    <w:p>
      <w:pPr>
        <w:spacing w:after="0" w:line="200" w:lineRule="exact"/>
        <w:rPr>
          <w:rFonts w:ascii="Arial" w:cs="Arial" w:eastAsia="Arial" w:hAnsi="Arial"/>
          <w:sz w:val="19"/>
          <w:szCs w:val="19"/>
          <w:color w:val="auto"/>
        </w:rPr>
      </w:pPr>
    </w:p>
    <w:p>
      <w:pPr>
        <w:spacing w:after="0" w:line="313" w:lineRule="exact"/>
        <w:rPr>
          <w:rFonts w:ascii="Arial" w:cs="Arial" w:eastAsia="Arial" w:hAnsi="Arial"/>
          <w:sz w:val="19"/>
          <w:szCs w:val="19"/>
          <w:color w:val="auto"/>
        </w:rPr>
      </w:pPr>
    </w:p>
    <w:p>
      <w:pPr>
        <w:ind w:left="4960" w:hanging="120"/>
        <w:spacing w:after="0"/>
        <w:tabs>
          <w:tab w:leader="none" w:pos="4960" w:val="left"/>
        </w:tabs>
        <w:numPr>
          <w:ilvl w:val="2"/>
          <w:numId w:val="231"/>
        </w:numPr>
        <w:rPr>
          <w:rFonts w:ascii="Arial" w:cs="Arial" w:eastAsia="Arial" w:hAnsi="Arial"/>
          <w:sz w:val="20"/>
          <w:szCs w:val="20"/>
          <w:color w:val="auto"/>
        </w:rPr>
      </w:pPr>
      <w:r>
        <w:rPr>
          <w:rFonts w:ascii="Arial" w:cs="Arial" w:eastAsia="Arial" w:hAnsi="Arial"/>
          <w:sz w:val="20"/>
          <w:szCs w:val="20"/>
          <w:color w:val="auto"/>
        </w:rPr>
        <w:t>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48895</wp:posOffset>
            </wp:positionV>
            <wp:extent cx="72720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366" w:right="239" w:bottom="1440" w:gutter="0" w:footer="0" w:header="0"/>
        </w:sectPr>
      </w:pPr>
    </w:p>
    <w:bookmarkStart w:id="291" w:name="page292"/>
    <w:bookmarkEnd w:id="291"/>
    <w:p>
      <w:pPr>
        <w:spacing w:after="0" w:line="258" w:lineRule="auto"/>
        <w:rPr>
          <w:sz w:val="20"/>
          <w:szCs w:val="20"/>
          <w:color w:val="auto"/>
        </w:rPr>
      </w:pPr>
      <w:r>
        <w:rPr>
          <w:rFonts w:ascii="Arial" w:cs="Arial" w:eastAsia="Arial" w:hAnsi="Arial"/>
          <w:sz w:val="19"/>
          <w:szCs w:val="19"/>
          <w:color w:val="auto"/>
        </w:rPr>
        <w:t xml:space="preserve">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applicable Borrower while such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85" w:lineRule="exact"/>
        <w:rPr>
          <w:sz w:val="20"/>
          <w:szCs w:val="20"/>
          <w:color w:val="auto"/>
        </w:rPr>
      </w:pPr>
    </w:p>
    <w:p>
      <w:pPr>
        <w:ind w:right="60" w:firstLine="1305"/>
        <w:spacing w:after="0" w:line="274" w:lineRule="auto"/>
        <w:tabs>
          <w:tab w:leader="none" w:pos="2164" w:val="left"/>
        </w:tabs>
        <w:numPr>
          <w:ilvl w:val="0"/>
          <w:numId w:val="232"/>
        </w:numPr>
        <w:rPr>
          <w:rFonts w:ascii="Arial" w:cs="Arial" w:eastAsia="Arial" w:hAnsi="Arial"/>
          <w:sz w:val="20"/>
          <w:szCs w:val="20"/>
          <w:color w:val="auto"/>
        </w:rPr>
      </w:pPr>
      <w:r>
        <w:rPr>
          <w:rFonts w:ascii="Arial" w:cs="Arial" w:eastAsia="Arial" w:hAnsi="Arial"/>
          <w:sz w:val="20"/>
          <w:szCs w:val="20"/>
          <w:i w:val="1"/>
          <w:iCs w:val="1"/>
          <w:u w:val="single" w:color="auto"/>
          <w:color w:val="auto"/>
        </w:rPr>
        <w:t>New Swing Line Loans and Letters of Credit</w:t>
      </w:r>
      <w:r>
        <w:rPr>
          <w:rFonts w:ascii="Arial" w:cs="Arial" w:eastAsia="Arial" w:hAnsi="Arial"/>
          <w:sz w:val="20"/>
          <w:szCs w:val="20"/>
          <w:color w:val="auto"/>
        </w:rPr>
        <w:t>. So long as any Revolving Lender is a Defaulting Lender, (i) no Swing</w:t>
      </w:r>
      <w:r>
        <w:rPr>
          <w:rFonts w:ascii="Arial" w:cs="Arial" w:eastAsia="Arial" w:hAnsi="Arial"/>
          <w:sz w:val="20"/>
          <w:szCs w:val="20"/>
          <w:i w:val="1"/>
          <w:iCs w:val="1"/>
          <w:color w:val="auto"/>
        </w:rPr>
        <w:t xml:space="preserve"> </w:t>
      </w:r>
      <w:r>
        <w:rPr>
          <w:rFonts w:ascii="Arial" w:cs="Arial" w:eastAsia="Arial" w:hAnsi="Arial"/>
          <w:sz w:val="20"/>
          <w:szCs w:val="20"/>
          <w:color w:val="auto"/>
        </w:rPr>
        <w:t>Line Lender shall be required to fund any Swing Line Loans unless it is satisfied that it will have no Fronting Exposure after giving effect to such Swing Line Loan and (ii) no L/C Issuer shall be required to issue, extend or amend any Letter of Credit unless it is satisfied that it will have no Fronting Exposure after giving effect thereto.</w:t>
      </w:r>
    </w:p>
    <w:p>
      <w:pPr>
        <w:spacing w:after="0" w:line="146"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2.18</w:t>
      </w:r>
      <w:r>
        <w:rPr>
          <w:sz w:val="20"/>
          <w:szCs w:val="20"/>
          <w:color w:val="auto"/>
        </w:rPr>
        <w:tab/>
      </w:r>
      <w:r>
        <w:rPr>
          <w:rFonts w:ascii="Arial" w:cs="Arial" w:eastAsia="Arial" w:hAnsi="Arial"/>
          <w:sz w:val="18"/>
          <w:szCs w:val="18"/>
          <w:u w:val="single" w:color="auto"/>
          <w:color w:val="auto"/>
        </w:rPr>
        <w:t>Refinancing Amendments</w:t>
      </w:r>
      <w:r>
        <w:rPr>
          <w:rFonts w:ascii="Arial" w:cs="Arial" w:eastAsia="Arial" w:hAnsi="Arial"/>
          <w:sz w:val="18"/>
          <w:szCs w:val="18"/>
          <w:color w:val="auto"/>
        </w:rPr>
        <w:t>.</w:t>
      </w:r>
    </w:p>
    <w:p>
      <w:pPr>
        <w:spacing w:after="0" w:line="181" w:lineRule="exact"/>
        <w:rPr>
          <w:sz w:val="20"/>
          <w:szCs w:val="20"/>
          <w:color w:val="auto"/>
        </w:rPr>
      </w:pPr>
    </w:p>
    <w:p>
      <w:pPr>
        <w:ind w:firstLine="1305"/>
        <w:spacing w:after="0" w:line="299" w:lineRule="auto"/>
        <w:tabs>
          <w:tab w:leader="none" w:pos="216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At any time after the Closing Date, a Borrower may obtain, from any Lender or any Eligible Assignee, Credit Agreement Refinancing Indebtedness in respect of (a) all or any portion of the Term Loans and Incremental Term Loans then outstanding under this Agreement (which for purposes of this clause (a) will be deemed to include any then outstanding Other Term Loans) or (b) all or any portion of the Revolving Loans (or unused Revolving Commitments) and Incremental Revolving Loans (or unused Incremental Revolving Commitments) under this Agreement (which for purposes of this clause (b) will be deemed to include any then outstanding Other Revolving Loans and Other Revolving Commitments), in the form of (x) Other Term Loans or Other Term Commitments or (y) Other Revolving Loans or Other Revolving Commitments, as the case may be, in each case pursuant to a Refinancing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Credit Agreement Refinancing Indebtedness will rank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in right of payment and of security with the other Loans and Commitments hereunder. The effectiveness of any Refinancing Amendment shall be subject to the satisfaction on the date thereof of each of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to the extent reasonably requested by the Administrative Agent, receipt by the Administrative Agent of legal opinions, board resolutions, officers’ certificates and/or reaffirmation agreements consistent with those delivered on the Closing Date under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(other than changes to such legal opinions resulting from a change in law, change in fact or change to counsel’s form of opinion and such other changes as are reasonably satisfactory to the Administrative Agent). Each Class of Credit Agreement Refinancing Indebtedness incurred under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shall be in an aggregate principal amount that is (x) (A) not less than $25,000,000 in the case of Other Term Loans or $10,000,000 in the case of Other Revolving Loans and (B) an integral multiple of $1,000,000 in excess thereof or (y) such other amount as shall represent a refinancing of a Class of Loans in its entirety. Any Refinancing Amendment may, with the consent of the applicable L/C Issuers and Swing Line Lender, provide for the issuance of Letters of Credit for the account of the applicable Borrower, or the provision to such Borrower of Swing Line Loans, pursuant to any Other Revolving Commitments established thereby, in each case on terms substantially equivalent to the terms applicable to Letters of Credit and Swing Line Loans under the Revolving Commitments.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Commitments). Any Refinancing Amendment may, without the consent of any other Lenders, effect</w:t>
      </w: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5620" w:hanging="120"/>
        <w:spacing w:after="0"/>
        <w:tabs>
          <w:tab w:leader="none" w:pos="5620" w:val="left"/>
        </w:tabs>
        <w:numPr>
          <w:ilvl w:val="1"/>
          <w:numId w:val="233"/>
        </w:numPr>
        <w:rPr>
          <w:rFonts w:ascii="Arial" w:cs="Arial" w:eastAsia="Arial" w:hAnsi="Arial"/>
          <w:sz w:val="20"/>
          <w:szCs w:val="20"/>
          <w:color w:val="auto"/>
        </w:rPr>
      </w:pPr>
      <w:r>
        <w:rPr>
          <w:rFonts w:ascii="Arial" w:cs="Arial" w:eastAsia="Arial" w:hAnsi="Arial"/>
          <w:sz w:val="20"/>
          <w:szCs w:val="20"/>
          <w:color w:val="auto"/>
        </w:rPr>
        <w:t>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92" w:name="page293"/>
    <w:bookmarkEnd w:id="292"/>
    <w:p>
      <w:pPr>
        <w:ind w:right="100"/>
        <w:spacing w:after="0" w:line="242" w:lineRule="auto"/>
        <w:rPr>
          <w:sz w:val="20"/>
          <w:szCs w:val="20"/>
          <w:color w:val="auto"/>
        </w:rPr>
      </w:pPr>
      <w:r>
        <w:rPr>
          <w:rFonts w:ascii="Arial" w:cs="Arial" w:eastAsia="Arial" w:hAnsi="Arial"/>
          <w:sz w:val="20"/>
          <w:szCs w:val="20"/>
          <w:color w:val="auto"/>
        </w:rPr>
        <w:t xml:space="preserve">such amendments to this Agreement and the other Loan Documents as may be necessary or appropriate, in the reasonable opinion of the Administrative Agent and each applicable Borrower, to effect the provisions of this Section. In addition, if so provided in the relevant Refinancing Amendment and with the consent of each L/C Issuer, participations in Letters of Credit expiring on or after the Revolving Termination Date shall be reallocated from Lenders holding Revolving Commitments to Lenders holding extended revolving commitments in accordance with the terms of such Refinancing Amendment;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Participation Interests shall, upon receipt thereof by the relevant Lenders holding Other Revolving Commitments, be deemed to be Participation Interests in respect of such Other Revolving Commitments and the terms of such Participation Interests (including, without limitation, the commission applicable thereto) shall be adjusted accordingly.</w:t>
      </w:r>
    </w:p>
    <w:p>
      <w:pPr>
        <w:spacing w:after="0" w:line="103" w:lineRule="exact"/>
        <w:rPr>
          <w:sz w:val="20"/>
          <w:szCs w:val="20"/>
          <w:color w:val="auto"/>
        </w:rPr>
      </w:pPr>
    </w:p>
    <w:p>
      <w:pPr>
        <w:ind w:left="2180" w:hanging="875"/>
        <w:spacing w:after="0"/>
        <w:tabs>
          <w:tab w:leader="none" w:pos="218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to the contrary.</w:t>
      </w:r>
    </w:p>
    <w:p>
      <w:pPr>
        <w:spacing w:after="0" w:line="196"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2.19</w:t>
      </w:r>
      <w:r>
        <w:rPr>
          <w:sz w:val="20"/>
          <w:szCs w:val="20"/>
          <w:color w:val="auto"/>
        </w:rPr>
        <w:tab/>
      </w:r>
      <w:r>
        <w:rPr>
          <w:rFonts w:ascii="Arial" w:cs="Arial" w:eastAsia="Arial" w:hAnsi="Arial"/>
          <w:sz w:val="18"/>
          <w:szCs w:val="18"/>
          <w:u w:val="single" w:color="auto"/>
          <w:color w:val="auto"/>
        </w:rPr>
        <w:t>Discounted Prepayments</w:t>
      </w:r>
      <w:r>
        <w:rPr>
          <w:rFonts w:ascii="Arial" w:cs="Arial" w:eastAsia="Arial" w:hAnsi="Arial"/>
          <w:sz w:val="18"/>
          <w:szCs w:val="18"/>
          <w:color w:val="auto"/>
        </w:rPr>
        <w:t>. Notwithstanding anything in any Loan Document to the contrary, Parent or any of its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Subsidiaries may prepay the outstanding Term Loans on the following basis:</w:t>
      </w:r>
    </w:p>
    <w:p>
      <w:pPr>
        <w:spacing w:after="0" w:line="240" w:lineRule="exact"/>
        <w:rPr>
          <w:sz w:val="20"/>
          <w:szCs w:val="20"/>
          <w:color w:val="auto"/>
        </w:rPr>
      </w:pPr>
    </w:p>
    <w:p>
      <w:pPr>
        <w:ind w:left="660" w:right="120" w:firstLine="645"/>
        <w:spacing w:after="0" w:line="297" w:lineRule="auto"/>
        <w:tabs>
          <w:tab w:leader="none" w:pos="2176" w:val="left"/>
        </w:tabs>
        <w:numPr>
          <w:ilvl w:val="1"/>
          <w:numId w:val="235"/>
        </w:numPr>
        <w:rPr>
          <w:rFonts w:ascii="Arial" w:cs="Arial" w:eastAsia="Arial" w:hAnsi="Arial"/>
          <w:sz w:val="18"/>
          <w:szCs w:val="18"/>
          <w:color w:val="auto"/>
        </w:rPr>
      </w:pPr>
      <w:r>
        <w:rPr>
          <w:rFonts w:ascii="Arial" w:cs="Arial" w:eastAsia="Arial" w:hAnsi="Arial"/>
          <w:sz w:val="18"/>
          <w:szCs w:val="18"/>
          <w:color w:val="auto"/>
        </w:rPr>
        <w:t>Parent or any of its Subsidiaries shall have the right to make a voluntary prepayment of any Term Loans at a discount to par (such prepayment, a “</w:t>
      </w:r>
      <w:r>
        <w:rPr>
          <w:rFonts w:ascii="Arial" w:cs="Arial" w:eastAsia="Arial" w:hAnsi="Arial"/>
          <w:sz w:val="18"/>
          <w:szCs w:val="18"/>
          <w:u w:val="single" w:color="auto"/>
          <w:color w:val="auto"/>
        </w:rPr>
        <w:t>Discounted Term Loan Prepayment</w:t>
      </w:r>
      <w:r>
        <w:rPr>
          <w:rFonts w:ascii="Arial" w:cs="Arial" w:eastAsia="Arial" w:hAnsi="Arial"/>
          <w:sz w:val="18"/>
          <w:szCs w:val="18"/>
          <w:color w:val="auto"/>
        </w:rPr>
        <w:t xml:space="preserve">”) pursuant to an Offer of Specified Discount Prepayment, Solicitation of Discount Range Prepayment Offers or Solicitation of Discounted Prepayment Offers, in each case made in accordance with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Parent shall not make any Borrowing of Revolving Loans to fund any Discounted Term Loan Prepayment, (ii) any Term Loans purchased are immediately cancelled, (iii) Parent or any Subsidiary, as applicable, does not have any material non-public information (“</w:t>
      </w:r>
      <w:r>
        <w:rPr>
          <w:rFonts w:ascii="Arial" w:cs="Arial" w:eastAsia="Arial" w:hAnsi="Arial"/>
          <w:sz w:val="18"/>
          <w:szCs w:val="18"/>
          <w:u w:val="single" w:color="auto"/>
          <w:color w:val="auto"/>
        </w:rPr>
        <w:t>MNPI</w:t>
      </w:r>
      <w:r>
        <w:rPr>
          <w:rFonts w:ascii="Arial" w:cs="Arial" w:eastAsia="Arial" w:hAnsi="Arial"/>
          <w:sz w:val="18"/>
          <w:szCs w:val="18"/>
          <w:color w:val="auto"/>
        </w:rPr>
        <w:t>”) with respect to Parent or any of its Subsidiaries that (a) has not been disclosed to the Lenders (other than Lenders that do not wish to receive MNPI with respect to Parent or any of its Subsidiaries) prior to such time and</w:t>
      </w:r>
    </w:p>
    <w:p>
      <w:pPr>
        <w:spacing w:after="0" w:line="3" w:lineRule="exact"/>
        <w:rPr>
          <w:rFonts w:ascii="Arial" w:cs="Arial" w:eastAsia="Arial" w:hAnsi="Arial"/>
          <w:sz w:val="18"/>
          <w:szCs w:val="18"/>
          <w:color w:val="auto"/>
        </w:rPr>
      </w:pPr>
    </w:p>
    <w:p>
      <w:pPr>
        <w:ind w:left="660" w:right="160" w:hanging="4"/>
        <w:spacing w:after="0" w:line="274" w:lineRule="auto"/>
        <w:tabs>
          <w:tab w:leader="none" w:pos="94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could reasonably be expected to have a material effect upon, or otherwise be material to a Lender’s decision to participate in any Discounted Term Loan Prepayment, and (iv) as of the date Parent or its Subsidiary provides a Specified Discount Prepayment Notice, Discount Range Prepayment Notice or Solicited Discounted Prepayment Notice, no Default or Event of Default shall have occurred and be continuing.</w:t>
      </w:r>
    </w:p>
    <w:p>
      <w:pPr>
        <w:spacing w:after="0" w:line="246" w:lineRule="exact"/>
        <w:rPr>
          <w:rFonts w:ascii="Arial" w:cs="Arial" w:eastAsia="Arial" w:hAnsi="Arial"/>
          <w:sz w:val="20"/>
          <w:szCs w:val="20"/>
          <w:color w:val="auto"/>
        </w:rPr>
      </w:pPr>
    </w:p>
    <w:p>
      <w:pPr>
        <w:ind w:left="660" w:firstLine="645"/>
        <w:spacing w:after="0" w:line="284" w:lineRule="auto"/>
        <w:tabs>
          <w:tab w:leader="none" w:pos="2187" w:val="left"/>
        </w:tabs>
        <w:numPr>
          <w:ilvl w:val="1"/>
          <w:numId w:val="236"/>
        </w:numPr>
        <w:rPr>
          <w:rFonts w:ascii="Arial" w:cs="Arial" w:eastAsia="Arial" w:hAnsi="Arial"/>
          <w:sz w:val="19"/>
          <w:szCs w:val="19"/>
          <w:color w:val="auto"/>
        </w:rPr>
      </w:pPr>
      <w:r>
        <w:rPr>
          <w:rFonts w:ascii="Arial" w:cs="Arial" w:eastAsia="Arial" w:hAnsi="Arial"/>
          <w:sz w:val="19"/>
          <w:szCs w:val="19"/>
          <w:color w:val="auto"/>
        </w:rPr>
        <w:t xml:space="preserve">(i) Subject to the proviso to subsection (a) above, Parent or any of its Subsidiaries may from time to time offer to make an Offer of Specified Discount Prepayment by providing the Auction Agent with three (3) Business Days’ notice in the form of a Specified Discount Prepayment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 any such offer shall be made available, at the sole discretion of Parent or its Subsidiary, to each Term Lender with respect to any Class of Term Loans on an individual Class basis, (x) any such offer shall specify the aggregate principal amount offered to be prepaid (the “</w:t>
      </w:r>
      <w:r>
        <w:rPr>
          <w:rFonts w:ascii="Arial" w:cs="Arial" w:eastAsia="Arial" w:hAnsi="Arial"/>
          <w:sz w:val="19"/>
          <w:szCs w:val="19"/>
          <w:u w:val="single" w:color="auto"/>
          <w:color w:val="auto"/>
        </w:rPr>
        <w:t>Specified Discount Prepayment Amount</w:t>
      </w:r>
      <w:r>
        <w:rPr>
          <w:rFonts w:ascii="Arial" w:cs="Arial" w:eastAsia="Arial" w:hAnsi="Arial"/>
          <w:sz w:val="19"/>
          <w:szCs w:val="19"/>
          <w:color w:val="auto"/>
        </w:rPr>
        <w:t>”) with respect to each applicable Class, the Class or Classes of Term Loans subject to such offer and the specific percentage discount to par (the “</w:t>
      </w:r>
      <w:r>
        <w:rPr>
          <w:rFonts w:ascii="Arial" w:cs="Arial" w:eastAsia="Arial" w:hAnsi="Arial"/>
          <w:sz w:val="19"/>
          <w:szCs w:val="19"/>
          <w:u w:val="single" w:color="auto"/>
          <w:color w:val="auto"/>
        </w:rPr>
        <w:t>Specified Discount</w:t>
      </w:r>
      <w:r>
        <w:rPr>
          <w:rFonts w:ascii="Arial" w:cs="Arial" w:eastAsia="Arial" w:hAnsi="Arial"/>
          <w:sz w:val="19"/>
          <w:szCs w:val="19"/>
          <w:color w:val="auto"/>
        </w:rPr>
        <w:t>”) of such Term Loans to be prepaid (it being understood that different Specified Discounts and/or Specified Discount Prepayment Amounts may be offered with respect to different Classes of Term Loans and, in such an event, each such offer will be treated as a separate offer pursuant to the terms of this Section), (y) the Specified Discount Prepayment Amount shall be in an aggregate amount not less than $5,000,000 and whole increments of $1,000,000 in excess thereof and (z)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w:t>
      </w:r>
    </w:p>
    <w:p>
      <w:pPr>
        <w:spacing w:after="0" w:line="200" w:lineRule="exact"/>
        <w:rPr>
          <w:rFonts w:ascii="Arial" w:cs="Arial" w:eastAsia="Arial" w:hAnsi="Arial"/>
          <w:sz w:val="19"/>
          <w:szCs w:val="19"/>
          <w:color w:val="auto"/>
        </w:rPr>
      </w:pPr>
    </w:p>
    <w:p>
      <w:pPr>
        <w:spacing w:after="0" w:line="328" w:lineRule="exact"/>
        <w:rPr>
          <w:rFonts w:ascii="Arial" w:cs="Arial" w:eastAsia="Arial" w:hAnsi="Arial"/>
          <w:sz w:val="19"/>
          <w:szCs w:val="19"/>
          <w:color w:val="auto"/>
        </w:rPr>
      </w:pPr>
    </w:p>
    <w:p>
      <w:pPr>
        <w:ind w:left="5620" w:hanging="120"/>
        <w:spacing w:after="0"/>
        <w:tabs>
          <w:tab w:leader="none" w:pos="5620" w:val="left"/>
        </w:tabs>
        <w:numPr>
          <w:ilvl w:val="2"/>
          <w:numId w:val="236"/>
        </w:numPr>
        <w:rPr>
          <w:rFonts w:ascii="Arial" w:cs="Arial" w:eastAsia="Arial" w:hAnsi="Arial"/>
          <w:sz w:val="20"/>
          <w:szCs w:val="20"/>
          <w:color w:val="auto"/>
        </w:rPr>
      </w:pPr>
      <w:r>
        <w:rPr>
          <w:rFonts w:ascii="Arial" w:cs="Arial" w:eastAsia="Arial" w:hAnsi="Arial"/>
          <w:sz w:val="20"/>
          <w:szCs w:val="20"/>
          <w:color w:val="auto"/>
        </w:rPr>
        <w:t>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293" w:name="page294"/>
    <w:bookmarkEnd w:id="293"/>
    <w:p>
      <w:pPr>
        <w:ind w:right="160"/>
        <w:spacing w:after="0" w:line="316" w:lineRule="auto"/>
        <w:rPr>
          <w:sz w:val="20"/>
          <w:szCs w:val="20"/>
          <w:color w:val="auto"/>
        </w:rPr>
      </w:pPr>
      <w:r>
        <w:rPr>
          <w:rFonts w:ascii="Arial" w:cs="Arial" w:eastAsia="Arial" w:hAnsi="Arial"/>
          <w:sz w:val="18"/>
          <w:szCs w:val="18"/>
          <w:color w:val="auto"/>
        </w:rPr>
        <w:t>by each such Lender to the Auction Agent (or its delegate) by no later than 5:00 P.M., New York time, on the third Business Day after the date of delivery of such notice to the relevant Term Lenders (the “</w:t>
      </w:r>
      <w:r>
        <w:rPr>
          <w:rFonts w:ascii="Arial" w:cs="Arial" w:eastAsia="Arial" w:hAnsi="Arial"/>
          <w:sz w:val="18"/>
          <w:szCs w:val="18"/>
          <w:u w:val="single" w:color="auto"/>
          <w:color w:val="auto"/>
        </w:rPr>
        <w:t>Specified Discount Prepayment Response Date</w:t>
      </w:r>
      <w:r>
        <w:rPr>
          <w:rFonts w:ascii="Arial" w:cs="Arial" w:eastAsia="Arial" w:hAnsi="Arial"/>
          <w:sz w:val="18"/>
          <w:szCs w:val="18"/>
          <w:color w:val="auto"/>
        </w:rPr>
        <w:t>”).</w:t>
      </w:r>
    </w:p>
    <w:p>
      <w:pPr>
        <w:spacing w:after="0" w:line="103" w:lineRule="exact"/>
        <w:rPr>
          <w:sz w:val="20"/>
          <w:szCs w:val="20"/>
          <w:color w:val="auto"/>
        </w:rPr>
      </w:pPr>
    </w:p>
    <w:p>
      <w:pPr>
        <w:ind w:right="120" w:firstLine="807"/>
        <w:spacing w:after="0" w:line="305" w:lineRule="auto"/>
        <w:tabs>
          <w:tab w:leader="none" w:pos="1538" w:val="left"/>
        </w:tabs>
        <w:numPr>
          <w:ilvl w:val="1"/>
          <w:numId w:val="237"/>
        </w:numPr>
        <w:rPr>
          <w:rFonts w:ascii="Arial" w:cs="Arial" w:eastAsia="Arial" w:hAnsi="Arial"/>
          <w:sz w:val="18"/>
          <w:szCs w:val="18"/>
          <w:color w:val="auto"/>
        </w:rPr>
      </w:pPr>
      <w:r>
        <w:rPr>
          <w:rFonts w:ascii="Arial" w:cs="Arial" w:eastAsia="Arial" w:hAnsi="Arial"/>
          <w:sz w:val="18"/>
          <w:szCs w:val="18"/>
          <w:color w:val="auto"/>
        </w:rPr>
        <w:t>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Arial" w:cs="Arial" w:eastAsia="Arial" w:hAnsi="Arial"/>
          <w:sz w:val="18"/>
          <w:szCs w:val="18"/>
          <w:u w:val="single" w:color="auto"/>
          <w:color w:val="auto"/>
        </w:rPr>
        <w:t>Discount Prepayment Accepting Lender</w:t>
      </w:r>
      <w:r>
        <w:rPr>
          <w:rFonts w:ascii="Arial" w:cs="Arial" w:eastAsia="Arial" w:hAnsi="Arial"/>
          <w:sz w:val="18"/>
          <w:szCs w:val="18"/>
          <w:color w:val="auto"/>
        </w:rPr>
        <w:t>”), the amount and the Class or Classes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Offer of Specified Discount Prepayment.</w:t>
      </w:r>
    </w:p>
    <w:p>
      <w:pPr>
        <w:spacing w:after="0" w:line="130" w:lineRule="exact"/>
        <w:rPr>
          <w:rFonts w:ascii="Arial" w:cs="Arial" w:eastAsia="Arial" w:hAnsi="Arial"/>
          <w:sz w:val="18"/>
          <w:szCs w:val="18"/>
          <w:color w:val="auto"/>
        </w:rPr>
      </w:pPr>
    </w:p>
    <w:p>
      <w:pPr>
        <w:ind w:right="20" w:firstLine="807"/>
        <w:spacing w:after="0" w:line="300" w:lineRule="auto"/>
        <w:tabs>
          <w:tab w:leader="none" w:pos="1593" w:val="left"/>
        </w:tabs>
        <w:numPr>
          <w:ilvl w:val="1"/>
          <w:numId w:val="237"/>
        </w:numPr>
        <w:rPr>
          <w:rFonts w:ascii="Arial" w:cs="Arial" w:eastAsia="Arial" w:hAnsi="Arial"/>
          <w:sz w:val="18"/>
          <w:szCs w:val="18"/>
          <w:color w:val="auto"/>
        </w:rPr>
      </w:pPr>
      <w:r>
        <w:rPr>
          <w:rFonts w:ascii="Arial" w:cs="Arial" w:eastAsia="Arial" w:hAnsi="Arial"/>
          <w:sz w:val="18"/>
          <w:szCs w:val="18"/>
          <w:color w:val="auto"/>
        </w:rPr>
        <w:t xml:space="preserve">If there is at least one Discount Prepayment Accepting Lender, Parent or its Subsidiary, as applicable, will make prepayment of outstanding Term Loans pursuant to this paragraph (b) to each Discount Prepayment Accepting Lender in accordance with the respective outstanding amount and Class of Term Loans specified in such Lender’s Specified Discount Prepayment Response given pursuant to subsection (ii);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aggregate principal amount of Term Loans accepted for prepayment by all Discount Prepayment Accepting Lenders exceeds the Specified Discount Prepayment Amount, such prepayment shall be made pro rata among the Discount Prepayment Accepting Lenders in accordance with the respective principal amounts accepted to be prepaid by each such Discount Prepayment Accepting Lender and the Auction Agent (in consultation with Parent or its Subsidiary, as applicable, and subject to rounding requirements of the Auction Agent made in its reasonable discretion) will calculate such proration (the “</w:t>
      </w:r>
      <w:r>
        <w:rPr>
          <w:rFonts w:ascii="Arial" w:cs="Arial" w:eastAsia="Arial" w:hAnsi="Arial"/>
          <w:sz w:val="18"/>
          <w:szCs w:val="18"/>
          <w:u w:val="single" w:color="auto"/>
          <w:color w:val="auto"/>
        </w:rPr>
        <w:t>Specified Discount Proration</w:t>
      </w:r>
      <w:r>
        <w:rPr>
          <w:rFonts w:ascii="Arial" w:cs="Arial" w:eastAsia="Arial" w:hAnsi="Arial"/>
          <w:sz w:val="18"/>
          <w:szCs w:val="18"/>
          <w:color w:val="auto"/>
        </w:rPr>
        <w:t>”). The Auction Agent shall promptly, and in any case within three (3) Business Days following the Specified Discount Prepayment Response Date, notify (x) the applicable Borrower or its Subsidiary, as applicable, of the respective Term Lenders’ responses to such offer, the Discounted Prepayment Effective Date and the aggregate principal amount of the Discounted Term Loan Prepayment and the Classes to be prepaid, (y) each Term Lender of the Discounted Prepayment Effective Date, and the aggregate principal amount and the Classes of Term Loans to be prepaid at the Specified Discount on such date and (z) each Discount Prepayment Accepting Lender of the Specified Discount Proration, if any, and confirmation of the principal amount and Class of Term Loans of such Lender to be prepaid at the Specified Discount on such date. Each determination by the Auction Agent of the amounts stated in the foregoing notices to Parent or its Subsidiary, as applicable, and Term Lenders shall be conclusive and binding for all purposes absent manifest error. The payment amount specified in such notice to Parent or its Subsidiary shall be due and payable by Parent or its Subsidiary, as applicable, on the Discounted Prepayment Effective Date in accordance with subsection (f) below (subject to subsection (j) below).</w:t>
      </w:r>
    </w:p>
    <w:p>
      <w:pPr>
        <w:spacing w:after="0" w:line="135" w:lineRule="exact"/>
        <w:rPr>
          <w:rFonts w:ascii="Arial" w:cs="Arial" w:eastAsia="Arial" w:hAnsi="Arial"/>
          <w:sz w:val="18"/>
          <w:szCs w:val="18"/>
          <w:color w:val="auto"/>
        </w:rPr>
      </w:pPr>
    </w:p>
    <w:p>
      <w:pPr>
        <w:ind w:firstLine="645"/>
        <w:spacing w:after="0" w:line="271" w:lineRule="auto"/>
        <w:tabs>
          <w:tab w:leader="none" w:pos="1516" w:val="left"/>
        </w:tabs>
        <w:numPr>
          <w:ilvl w:val="0"/>
          <w:numId w:val="238"/>
        </w:numPr>
        <w:rPr>
          <w:rFonts w:ascii="Arial" w:cs="Arial" w:eastAsia="Arial" w:hAnsi="Arial"/>
          <w:sz w:val="20"/>
          <w:szCs w:val="20"/>
          <w:color w:val="auto"/>
        </w:rPr>
      </w:pPr>
      <w:r>
        <w:rPr>
          <w:rFonts w:ascii="Arial" w:cs="Arial" w:eastAsia="Arial" w:hAnsi="Arial"/>
          <w:sz w:val="20"/>
          <w:szCs w:val="20"/>
          <w:color w:val="auto"/>
        </w:rPr>
        <w:t xml:space="preserve">(i) Subject to the proviso to subsection (a) above, Parent or any of its Subsidiaries may from time to time solicit Discount Range Prepayment Offers by providing the Auction Agent with three (3) Business Days’ notice in the form of a Discount Range Prepayment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 any such solicitation shall be extended, at the sole discretion of Parent or its Subsidiary, as applicable, to each Term Lender with respect to any Class of Term Loans on an individual Class basis, (x) any such notice shall specify the maximum aggregate principal amount of the relevant Term Loans (the “</w:t>
      </w:r>
      <w:r>
        <w:rPr>
          <w:rFonts w:ascii="Arial" w:cs="Arial" w:eastAsia="Arial" w:hAnsi="Arial"/>
          <w:sz w:val="20"/>
          <w:szCs w:val="20"/>
          <w:u w:val="single" w:color="auto"/>
          <w:color w:val="auto"/>
        </w:rPr>
        <w:t>Discount Range Prepayment Amount</w:t>
      </w:r>
      <w:r>
        <w:rPr>
          <w:rFonts w:ascii="Arial" w:cs="Arial" w:eastAsia="Arial" w:hAnsi="Arial"/>
          <w:sz w:val="20"/>
          <w:szCs w:val="20"/>
          <w:color w:val="auto"/>
        </w:rPr>
        <w:t>”), the Class or Classes of Term Loans subject to such offer and the maximum and minimum percentage discounts to par (the “</w:t>
      </w:r>
      <w:r>
        <w:rPr>
          <w:rFonts w:ascii="Arial" w:cs="Arial" w:eastAsia="Arial" w:hAnsi="Arial"/>
          <w:sz w:val="20"/>
          <w:szCs w:val="20"/>
          <w:u w:val="single" w:color="auto"/>
          <w:color w:val="auto"/>
        </w:rPr>
        <w:t>Discount Range</w:t>
      </w:r>
      <w:r>
        <w:rPr>
          <w:rFonts w:ascii="Arial" w:cs="Arial" w:eastAsia="Arial" w:hAnsi="Arial"/>
          <w:sz w:val="20"/>
          <w:szCs w:val="20"/>
          <w:color w:val="auto"/>
        </w:rPr>
        <w:t>”) of the principal amount of such Term Loans with respect</w:t>
      </w:r>
    </w:p>
    <w:p>
      <w:pPr>
        <w:spacing w:after="0" w:line="200" w:lineRule="exact"/>
        <w:rPr>
          <w:rFonts w:ascii="Arial" w:cs="Arial" w:eastAsia="Arial" w:hAnsi="Arial"/>
          <w:sz w:val="20"/>
          <w:szCs w:val="20"/>
          <w:color w:val="auto"/>
        </w:rPr>
      </w:pPr>
    </w:p>
    <w:p>
      <w:pPr>
        <w:spacing w:after="0" w:line="399" w:lineRule="exact"/>
        <w:rPr>
          <w:rFonts w:ascii="Arial" w:cs="Arial" w:eastAsia="Arial" w:hAnsi="Arial"/>
          <w:sz w:val="20"/>
          <w:szCs w:val="20"/>
          <w:color w:val="auto"/>
        </w:rPr>
      </w:pPr>
    </w:p>
    <w:p>
      <w:pPr>
        <w:ind w:left="4960" w:hanging="120"/>
        <w:spacing w:after="0"/>
        <w:tabs>
          <w:tab w:leader="none" w:pos="4960" w:val="left"/>
        </w:tabs>
        <w:numPr>
          <w:ilvl w:val="2"/>
          <w:numId w:val="238"/>
        </w:numPr>
        <w:rPr>
          <w:rFonts w:ascii="Arial" w:cs="Arial" w:eastAsia="Arial" w:hAnsi="Arial"/>
          <w:sz w:val="20"/>
          <w:szCs w:val="20"/>
          <w:color w:val="auto"/>
        </w:rPr>
      </w:pPr>
      <w:r>
        <w:rPr>
          <w:rFonts w:ascii="Arial" w:cs="Arial" w:eastAsia="Arial" w:hAnsi="Arial"/>
          <w:sz w:val="20"/>
          <w:szCs w:val="20"/>
          <w:color w:val="auto"/>
        </w:rPr>
        <w:t>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48895</wp:posOffset>
            </wp:positionV>
            <wp:extent cx="72720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366" w:right="239" w:bottom="1440" w:gutter="0" w:footer="0" w:header="0"/>
        </w:sectPr>
      </w:pPr>
    </w:p>
    <w:bookmarkStart w:id="294" w:name="page295"/>
    <w:bookmarkEnd w:id="294"/>
    <w:p>
      <w:pPr>
        <w:spacing w:after="0" w:line="269" w:lineRule="auto"/>
        <w:rPr>
          <w:sz w:val="20"/>
          <w:szCs w:val="20"/>
          <w:color w:val="auto"/>
        </w:rPr>
      </w:pPr>
      <w:r>
        <w:rPr>
          <w:rFonts w:ascii="Arial" w:cs="Arial" w:eastAsia="Arial" w:hAnsi="Arial"/>
          <w:sz w:val="18"/>
          <w:szCs w:val="18"/>
          <w:color w:val="auto"/>
        </w:rPr>
        <w:t>to each relevant Class of Term Loans willing to be prepaid by Parent or its Subsidiary (it being understood that different Discount Ranges and/or Discount Range Prepayment Amounts may be offered with respect to different Classes of Term Loans and, in such an event, each such offer will be treated as a separate offer pursuant to the terms of this Section), (y) the Discount Range Prepayment Amount shall be in an aggregate amount not less than $5,000,000 and whole increments of $1,000,000 in excess thereof and (z) each such solicitation by Parent or its Subsidiaries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time, on the third Business Day after the date of delivery of such notice to the relevant Term Lenders (the “</w:t>
      </w:r>
      <w:r>
        <w:rPr>
          <w:rFonts w:ascii="Arial" w:cs="Arial" w:eastAsia="Arial" w:hAnsi="Arial"/>
          <w:sz w:val="18"/>
          <w:szCs w:val="18"/>
          <w:u w:val="single" w:color="auto"/>
          <w:color w:val="auto"/>
        </w:rPr>
        <w:t>Discount Range Prepayment Response Date</w:t>
      </w:r>
      <w:r>
        <w:rPr>
          <w:rFonts w:ascii="Arial" w:cs="Arial" w:eastAsia="Arial" w:hAnsi="Arial"/>
          <w:sz w:val="18"/>
          <w:szCs w:val="18"/>
          <w:color w:val="auto"/>
        </w:rPr>
        <w:t>”). Each relevant Term Lender’s Discount Range Prepayment Offer shall be irrevocable and shall specify a discount to par within the Discount Range (the “</w:t>
      </w:r>
      <w:r>
        <w:rPr>
          <w:rFonts w:ascii="Arial" w:cs="Arial" w:eastAsia="Arial" w:hAnsi="Arial"/>
          <w:sz w:val="18"/>
          <w:szCs w:val="18"/>
          <w:u w:val="single" w:color="auto"/>
          <w:color w:val="auto"/>
        </w:rPr>
        <w:t>Submitted Discount</w:t>
      </w:r>
      <w:r>
        <w:rPr>
          <w:rFonts w:ascii="Arial" w:cs="Arial" w:eastAsia="Arial" w:hAnsi="Arial"/>
          <w:sz w:val="18"/>
          <w:szCs w:val="18"/>
          <w:color w:val="auto"/>
        </w:rPr>
        <w:t>”) at which such Term Lender is willing to allow prepayment of any or all of its then outstanding Term Loans of the applicable Class or Classes and the maximum aggregate principal amount and Classes of such Lender’s Term Loans (the “</w:t>
      </w:r>
      <w:r>
        <w:rPr>
          <w:rFonts w:ascii="Arial" w:cs="Arial" w:eastAsia="Arial" w:hAnsi="Arial"/>
          <w:sz w:val="18"/>
          <w:szCs w:val="18"/>
          <w:u w:val="single" w:color="auto"/>
          <w:color w:val="auto"/>
        </w:rPr>
        <w:t>Submitted Amount</w:t>
      </w:r>
      <w:r>
        <w:rPr>
          <w:rFonts w:ascii="Arial" w:cs="Arial" w:eastAsia="Arial" w:hAnsi="Arial"/>
          <w:sz w:val="18"/>
          <w:szCs w:val="18"/>
          <w:color w:val="auto"/>
        </w:rPr>
        <w:t>”)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153" w:lineRule="exact"/>
        <w:rPr>
          <w:sz w:val="20"/>
          <w:szCs w:val="20"/>
          <w:color w:val="auto"/>
        </w:rPr>
      </w:pPr>
    </w:p>
    <w:p>
      <w:pPr>
        <w:ind w:right="160" w:firstLine="807"/>
        <w:spacing w:after="0" w:line="342" w:lineRule="auto"/>
        <w:tabs>
          <w:tab w:leader="none" w:pos="153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Auction Agent shall review all Discount Range Prepayment Offers received on or before the applicable Discount Range Prepayment Response Date and shall determine (in consultation with Parent or its Subsidiary, as applicable, and subject to rounding requirements of the Auction Agent made in its sole reasonable discretion) the Applicable Discount and Term Loans to be prepaid at such Applicable Discount in accordance with this subsection (c). Parent or its Subsidiary, as applicable, agrees to accept on the Discount Range Prepayment Response Date all Discount Range Prepayment Offers received by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Arial" w:cs="Arial" w:eastAsia="Arial" w:hAnsi="Arial"/>
          <w:sz w:val="16"/>
          <w:szCs w:val="16"/>
          <w:u w:val="single" w:color="auto"/>
          <w:color w:val="auto"/>
        </w:rPr>
        <w:t>Applicable Discount</w:t>
      </w:r>
      <w:r>
        <w:rPr>
          <w:rFonts w:ascii="Arial" w:cs="Arial" w:eastAsia="Arial" w:hAnsi="Arial"/>
          <w:sz w:val="16"/>
          <w:szCs w:val="16"/>
          <w:color w:val="auto"/>
        </w:rPr>
        <w:t>”) which yields a Discounted Term Loan Prepayment in an aggregate principal amount equal to the lower of (x) the Discount Range Prepayment Amount and (y) the sum of all Submitted Amounts. Each Term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(iii)) at the Applicable Discount (each such Lender, a “</w:t>
      </w:r>
      <w:r>
        <w:rPr>
          <w:rFonts w:ascii="Arial" w:cs="Arial" w:eastAsia="Arial" w:hAnsi="Arial"/>
          <w:sz w:val="16"/>
          <w:szCs w:val="16"/>
          <w:u w:val="single" w:color="auto"/>
          <w:color w:val="auto"/>
        </w:rPr>
        <w:t>Participating Lender</w:t>
      </w:r>
      <w:r>
        <w:rPr>
          <w:rFonts w:ascii="Arial" w:cs="Arial" w:eastAsia="Arial" w:hAnsi="Arial"/>
          <w:sz w:val="16"/>
          <w:szCs w:val="16"/>
          <w:color w:val="auto"/>
        </w:rPr>
        <w:t>”).</w:t>
      </w:r>
    </w:p>
    <w:p>
      <w:pPr>
        <w:spacing w:after="0" w:line="365" w:lineRule="exact"/>
        <w:rPr>
          <w:rFonts w:ascii="Arial" w:cs="Arial" w:eastAsia="Arial" w:hAnsi="Arial"/>
          <w:sz w:val="16"/>
          <w:szCs w:val="16"/>
          <w:color w:val="auto"/>
        </w:rPr>
      </w:pPr>
    </w:p>
    <w:p>
      <w:pPr>
        <w:ind w:right="20" w:firstLine="807"/>
        <w:spacing w:after="0" w:line="287" w:lineRule="auto"/>
        <w:tabs>
          <w:tab w:leader="none" w:pos="1593" w:val="left"/>
        </w:tabs>
        <w:numPr>
          <w:ilvl w:val="0"/>
          <w:numId w:val="239"/>
        </w:numPr>
        <w:rPr>
          <w:rFonts w:ascii="Arial" w:cs="Arial" w:eastAsia="Arial" w:hAnsi="Arial"/>
          <w:sz w:val="19"/>
          <w:szCs w:val="19"/>
          <w:color w:val="auto"/>
        </w:rPr>
      </w:pPr>
      <w:r>
        <w:rPr>
          <w:rFonts w:ascii="Arial" w:cs="Arial" w:eastAsia="Arial" w:hAnsi="Arial"/>
          <w:sz w:val="19"/>
          <w:szCs w:val="19"/>
          <w:color w:val="auto"/>
        </w:rPr>
        <w:t xml:space="preserve">If there is at least one Participating Lender, Parent or its Subsidiary, as applicable, will prepay the respective outstanding Term Loans of each Participating Lender in the aggregate principal amount and of the Classes specified in such Lender’s Discount Range Prepayment Offer at the Applicable Discount;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Arial" w:cs="Arial" w:eastAsia="Arial" w:hAnsi="Arial"/>
          <w:sz w:val="19"/>
          <w:szCs w:val="19"/>
          <w:u w:val="single" w:color="auto"/>
          <w:color w:val="auto"/>
        </w:rPr>
        <w:t>Identified Participating Lenders</w:t>
      </w:r>
      <w:r>
        <w:rPr>
          <w:rFonts w:ascii="Arial" w:cs="Arial" w:eastAsia="Arial" w:hAnsi="Arial"/>
          <w:sz w:val="19"/>
          <w:szCs w:val="19"/>
          <w:color w:val="auto"/>
        </w:rPr>
        <w:t>”) shall be made pro rata among the Identified Participating Lenders in accordance with the Submitted</w:t>
      </w:r>
    </w:p>
    <w:p>
      <w:pPr>
        <w:spacing w:after="0" w:line="200" w:lineRule="exact"/>
        <w:rPr>
          <w:rFonts w:ascii="Arial" w:cs="Arial" w:eastAsia="Arial" w:hAnsi="Arial"/>
          <w:sz w:val="19"/>
          <w:szCs w:val="19"/>
          <w:color w:val="auto"/>
        </w:rPr>
      </w:pPr>
    </w:p>
    <w:p>
      <w:pPr>
        <w:spacing w:after="0" w:line="320" w:lineRule="exact"/>
        <w:rPr>
          <w:rFonts w:ascii="Arial" w:cs="Arial" w:eastAsia="Arial" w:hAnsi="Arial"/>
          <w:sz w:val="19"/>
          <w:szCs w:val="19"/>
          <w:color w:val="auto"/>
        </w:rPr>
      </w:pPr>
    </w:p>
    <w:p>
      <w:pPr>
        <w:ind w:left="4960" w:hanging="120"/>
        <w:spacing w:after="0"/>
        <w:tabs>
          <w:tab w:leader="none" w:pos="4960" w:val="left"/>
        </w:tabs>
        <w:numPr>
          <w:ilvl w:val="1"/>
          <w:numId w:val="239"/>
        </w:numPr>
        <w:rPr>
          <w:rFonts w:ascii="Arial" w:cs="Arial" w:eastAsia="Arial" w:hAnsi="Arial"/>
          <w:sz w:val="20"/>
          <w:szCs w:val="20"/>
          <w:color w:val="auto"/>
        </w:rPr>
      </w:pPr>
      <w:r>
        <w:rPr>
          <w:rFonts w:ascii="Arial" w:cs="Arial" w:eastAsia="Arial" w:hAnsi="Arial"/>
          <w:sz w:val="20"/>
          <w:szCs w:val="20"/>
          <w:color w:val="auto"/>
        </w:rPr>
        <w:t>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48895</wp:posOffset>
            </wp:positionV>
            <wp:extent cx="72720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366" w:right="239" w:bottom="1440" w:gutter="0" w:footer="0" w:header="0"/>
        </w:sectPr>
      </w:pPr>
    </w:p>
    <w:bookmarkStart w:id="295" w:name="page296"/>
    <w:bookmarkEnd w:id="295"/>
    <w:p>
      <w:pPr>
        <w:ind w:right="20"/>
        <w:spacing w:after="0" w:line="301" w:lineRule="auto"/>
        <w:rPr>
          <w:sz w:val="20"/>
          <w:szCs w:val="20"/>
          <w:color w:val="auto"/>
        </w:rPr>
      </w:pPr>
      <w:r>
        <w:rPr>
          <w:rFonts w:ascii="Arial" w:cs="Arial" w:eastAsia="Arial" w:hAnsi="Arial"/>
          <w:sz w:val="18"/>
          <w:szCs w:val="18"/>
          <w:color w:val="auto"/>
        </w:rPr>
        <w:t>Amount of each such Identified Participating Lender and the Auction Agent (in consultation with the applicable Borrower or its Subsidiary, as applicable, and subject to rounding requirements of the Auction Agent made in its sole reasonable discretion) will calculate such proration (the “</w:t>
      </w:r>
      <w:r>
        <w:rPr>
          <w:rFonts w:ascii="Arial" w:cs="Arial" w:eastAsia="Arial" w:hAnsi="Arial"/>
          <w:sz w:val="18"/>
          <w:szCs w:val="18"/>
          <w:u w:val="single" w:color="auto"/>
          <w:color w:val="auto"/>
        </w:rPr>
        <w:t>Discount Range Proration</w:t>
      </w:r>
      <w:r>
        <w:rPr>
          <w:rFonts w:ascii="Arial" w:cs="Arial" w:eastAsia="Arial" w:hAnsi="Arial"/>
          <w:sz w:val="18"/>
          <w:szCs w:val="18"/>
          <w:color w:val="auto"/>
        </w:rPr>
        <w:t>”). The Auction Agent shall promptly, and in any case within five (5) Business Days following the Discount Range Prepayment Response Date, notify (w) Parent or its Subsidiary, as applicable, of the respective Term Lenders’ responses to such solicitation, the Discounted Prepayment Effective Date, the Applicable Discount, and the aggregate principal amount of the Discounted Term Loan Prepayment and the Classes to be prepaid, (x) each Term Lender of the Discounted Prepayment Effective Date, the Applicable Discount, and the aggregate principal amount and Classes of Term Loans to be prepaid at the Applicable Discount on such date, (y) each Participating Lender of the aggregate principal amount and Classes of such Lender to be prepaid at the Applicable Discount on such date, and (z) if applicable, each Identified Participating Lender of the Discount Range Proration. Each determination by the Auction Agent of the amounts stated in the foregoing notices to Parent or its Subsidiary, as applicable, and Lenders shall be conclusive and binding for all purposes absent manifest error. The payment amount specified in such notice to Parent or its Subsidiary, as applicable, shall be due and payable by Parent or its Subsidiary, as applicable, on the Discounted Prepayment Effective Date in accordance with subsection (f) below (subject to subsection (j) below).</w:t>
      </w:r>
    </w:p>
    <w:p>
      <w:pPr>
        <w:spacing w:after="0" w:line="69" w:lineRule="exact"/>
        <w:rPr>
          <w:sz w:val="20"/>
          <w:szCs w:val="20"/>
          <w:color w:val="auto"/>
        </w:rPr>
      </w:pPr>
    </w:p>
    <w:p>
      <w:pPr>
        <w:ind w:firstLine="645"/>
        <w:spacing w:after="0" w:line="300" w:lineRule="auto"/>
        <w:tabs>
          <w:tab w:leader="none" w:pos="152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(i) Subject to the proviso to subsection (a) above, Parent or any of its Subsidiaries may from time to time solicit Solicited Discounted Prepayment Offers by providing the Auction Agent with three (3) Business Days’ notice in the form of a Solicited Discounted Prepayment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 any such solicitation shall be extended, at the sole discretion of Parent or its Subsidiary, as applicable, to each Term Lender with respect to any Class of Term Loans on an individual Class basis, (x) any such notice shall specify the maximum aggregate principal amount of the Term Loans (the “</w:t>
      </w:r>
      <w:r>
        <w:rPr>
          <w:rFonts w:ascii="Arial" w:cs="Arial" w:eastAsia="Arial" w:hAnsi="Arial"/>
          <w:sz w:val="18"/>
          <w:szCs w:val="18"/>
          <w:u w:val="single" w:color="auto"/>
          <w:color w:val="auto"/>
        </w:rPr>
        <w:t>Solicited Discounted Prepayment Amount</w:t>
      </w:r>
      <w:r>
        <w:rPr>
          <w:rFonts w:ascii="Arial" w:cs="Arial" w:eastAsia="Arial" w:hAnsi="Arial"/>
          <w:sz w:val="18"/>
          <w:szCs w:val="18"/>
          <w:color w:val="auto"/>
        </w:rPr>
        <w:t>”) and the Class or Classes of Term Loans Parent or its Subsidiary, as applicable, is willing to prepay at a discount (it being understood that different Solicited Discounted Prepayment Amounts may be offered with respect to different Classes of Term Loans and, in such an event, each such offer will be treated as a separate offer pursuant to the terms of this Section), (y) the Solicited Discounted Prepayment Amount shall be in an aggregate amount not less than $5,000,000 and whole increments of $1,000,000 in excess thereof and (z) each such solicitation by Parent or its Subsidiary, as applicable,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time on the third Business Day after the date of delivery of such notice to the relevant Term Lenders (the “</w:t>
      </w:r>
      <w:r>
        <w:rPr>
          <w:rFonts w:ascii="Arial" w:cs="Arial" w:eastAsia="Arial" w:hAnsi="Arial"/>
          <w:sz w:val="18"/>
          <w:szCs w:val="18"/>
          <w:u w:val="single" w:color="auto"/>
          <w:color w:val="auto"/>
        </w:rPr>
        <w:t>Solicited Discounted Prepayment Response Date</w:t>
      </w:r>
      <w:r>
        <w:rPr>
          <w:rFonts w:ascii="Arial" w:cs="Arial" w:eastAsia="Arial" w:hAnsi="Arial"/>
          <w:sz w:val="18"/>
          <w:szCs w:val="18"/>
          <w:color w:val="auto"/>
        </w:rPr>
        <w:t>”). Each Term Lender’s Solicited Discounted Prepayment Offer shall (x) be irrevocable, (y) remain outstanding until the Acceptance Date, and (z) specify both a discount to par (the “</w:t>
      </w:r>
      <w:r>
        <w:rPr>
          <w:rFonts w:ascii="Arial" w:cs="Arial" w:eastAsia="Arial" w:hAnsi="Arial"/>
          <w:sz w:val="18"/>
          <w:szCs w:val="18"/>
          <w:u w:val="single" w:color="auto"/>
          <w:color w:val="auto"/>
        </w:rPr>
        <w:t>Offered Discount</w:t>
      </w:r>
      <w:r>
        <w:rPr>
          <w:rFonts w:ascii="Arial" w:cs="Arial" w:eastAsia="Arial" w:hAnsi="Arial"/>
          <w:sz w:val="18"/>
          <w:szCs w:val="18"/>
          <w:color w:val="auto"/>
        </w:rPr>
        <w:t>”) at which such Term Lender is willing to allow prepayment of its then outstanding Term Loan and the maximum aggregate principal amount and Classes of such Term Loans (the “</w:t>
      </w:r>
      <w:r>
        <w:rPr>
          <w:rFonts w:ascii="Arial" w:cs="Arial" w:eastAsia="Arial" w:hAnsi="Arial"/>
          <w:sz w:val="18"/>
          <w:szCs w:val="18"/>
          <w:u w:val="single" w:color="auto"/>
          <w:color w:val="auto"/>
        </w:rPr>
        <w:t>Offered Amount</w:t>
      </w:r>
      <w:r>
        <w:rPr>
          <w:rFonts w:ascii="Arial" w:cs="Arial" w:eastAsia="Arial" w:hAnsi="Arial"/>
          <w:sz w:val="18"/>
          <w:szCs w:val="18"/>
          <w:color w:val="auto"/>
        </w:rPr>
        <w:t>”) such Lender is willing to have prepaid at the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65" w:lineRule="exact"/>
        <w:rPr>
          <w:rFonts w:ascii="Arial" w:cs="Arial" w:eastAsia="Arial" w:hAnsi="Arial"/>
          <w:sz w:val="18"/>
          <w:szCs w:val="18"/>
          <w:color w:val="auto"/>
        </w:rPr>
      </w:pPr>
    </w:p>
    <w:p>
      <w:pPr>
        <w:ind w:right="160" w:firstLine="807"/>
        <w:spacing w:after="0" w:line="278" w:lineRule="auto"/>
        <w:tabs>
          <w:tab w:leader="none" w:pos="1538" w:val="left"/>
        </w:tabs>
        <w:numPr>
          <w:ilvl w:val="1"/>
          <w:numId w:val="240"/>
        </w:numPr>
        <w:rPr>
          <w:rFonts w:ascii="Arial" w:cs="Arial" w:eastAsia="Arial" w:hAnsi="Arial"/>
          <w:sz w:val="20"/>
          <w:szCs w:val="20"/>
          <w:color w:val="auto"/>
        </w:rPr>
      </w:pPr>
      <w:r>
        <w:rPr>
          <w:rFonts w:ascii="Arial" w:cs="Arial" w:eastAsia="Arial" w:hAnsi="Arial"/>
          <w:sz w:val="20"/>
          <w:szCs w:val="20"/>
          <w:color w:val="auto"/>
        </w:rPr>
        <w:t>The Auction Agent shall promptly provide Parent or its Subsidiary, as applicable, with a copy of all Solicited Discounted Prepayment Offers received on or before the Solicited Discounted Prepayment Response Date. Parent or its Subsidiary, as applicable, shall</w:t>
      </w:r>
    </w:p>
    <w:p>
      <w:pPr>
        <w:spacing w:after="0" w:line="200" w:lineRule="exact"/>
        <w:rPr>
          <w:rFonts w:ascii="Arial" w:cs="Arial" w:eastAsia="Arial" w:hAnsi="Arial"/>
          <w:sz w:val="20"/>
          <w:szCs w:val="20"/>
          <w:color w:val="auto"/>
        </w:rPr>
      </w:pPr>
    </w:p>
    <w:p>
      <w:pPr>
        <w:spacing w:after="0" w:line="324" w:lineRule="exact"/>
        <w:rPr>
          <w:rFonts w:ascii="Arial" w:cs="Arial" w:eastAsia="Arial" w:hAnsi="Arial"/>
          <w:sz w:val="20"/>
          <w:szCs w:val="20"/>
          <w:color w:val="auto"/>
        </w:rPr>
      </w:pPr>
    </w:p>
    <w:p>
      <w:pPr>
        <w:ind w:left="4900" w:hanging="110"/>
        <w:spacing w:after="0"/>
        <w:tabs>
          <w:tab w:leader="none" w:pos="4900" w:val="left"/>
        </w:tabs>
        <w:numPr>
          <w:ilvl w:val="2"/>
          <w:numId w:val="240"/>
        </w:numPr>
        <w:rPr>
          <w:rFonts w:ascii="Arial" w:cs="Arial" w:eastAsia="Arial" w:hAnsi="Arial"/>
          <w:sz w:val="20"/>
          <w:szCs w:val="20"/>
          <w:color w:val="auto"/>
        </w:rPr>
      </w:pPr>
      <w:r>
        <w:rPr>
          <w:rFonts w:ascii="Arial" w:cs="Arial" w:eastAsia="Arial" w:hAnsi="Arial"/>
          <w:sz w:val="20"/>
          <w:szCs w:val="20"/>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48895</wp:posOffset>
            </wp:positionV>
            <wp:extent cx="72720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379" w:right="239" w:bottom="1440" w:gutter="0" w:footer="0" w:header="0"/>
        </w:sectPr>
      </w:pPr>
    </w:p>
    <w:bookmarkStart w:id="296" w:name="page297"/>
    <w:bookmarkEnd w:id="296"/>
    <w:p>
      <w:pPr>
        <w:ind w:right="40"/>
        <w:spacing w:after="0" w:line="311" w:lineRule="auto"/>
        <w:rPr>
          <w:sz w:val="20"/>
          <w:szCs w:val="20"/>
          <w:color w:val="auto"/>
        </w:rPr>
      </w:pPr>
      <w:r>
        <w:rPr>
          <w:rFonts w:ascii="Arial" w:cs="Arial" w:eastAsia="Arial" w:hAnsi="Arial"/>
          <w:sz w:val="16"/>
          <w:szCs w:val="16"/>
          <w:color w:val="auto"/>
        </w:rPr>
        <w:t>review all such Solicited Discounted Prepayment Offers and select the largest of the Offered Discounts specified by the relevant responding Term Lenders in the Solicited Discounted Prepayment Offers that is acceptable to Parent or its Subsidiary, as applicable, (the “</w:t>
      </w:r>
      <w:r>
        <w:rPr>
          <w:rFonts w:ascii="Arial" w:cs="Arial" w:eastAsia="Arial" w:hAnsi="Arial"/>
          <w:sz w:val="16"/>
          <w:szCs w:val="16"/>
          <w:u w:val="single" w:color="auto"/>
          <w:color w:val="auto"/>
        </w:rPr>
        <w:t>Acceptable Discount</w:t>
      </w:r>
      <w:r>
        <w:rPr>
          <w:rFonts w:ascii="Arial" w:cs="Arial" w:eastAsia="Arial" w:hAnsi="Arial"/>
          <w:sz w:val="16"/>
          <w:szCs w:val="16"/>
          <w:color w:val="auto"/>
        </w:rPr>
        <w:t>”), if any. If Parent or its Subsidiary, as applicable elects to accept any Offered Discount as the Acceptable Discount, then as soon as practicable after the determination of the Acceptable Discount, but in no event later than by the third Business Day after the date of receipt by Parent or its Subsidiary, as applicable, from the Auction Agent of a copy of all Solicited Discounted Prepayment Offers pursuant to the first sentence of this subsection (ii) (the “</w:t>
      </w:r>
      <w:r>
        <w:rPr>
          <w:rFonts w:ascii="Arial" w:cs="Arial" w:eastAsia="Arial" w:hAnsi="Arial"/>
          <w:sz w:val="16"/>
          <w:szCs w:val="16"/>
          <w:u w:val="single" w:color="auto"/>
          <w:color w:val="auto"/>
        </w:rPr>
        <w:t>Acceptance Date</w:t>
      </w:r>
      <w:r>
        <w:rPr>
          <w:rFonts w:ascii="Arial" w:cs="Arial" w:eastAsia="Arial" w:hAnsi="Arial"/>
          <w:sz w:val="16"/>
          <w:szCs w:val="16"/>
          <w:color w:val="auto"/>
        </w:rPr>
        <w:t>”), Parent or its Subsidiary, as applicable, shall submit an Acceptance and Prepayment Notice to the Auction Agent setting forth the Acceptable Discount. If the Auction Agent shall fail to receive an Acceptance and Prepayment Notice from Parent or its Subsidiary, as applicable, by the Acceptance Date, Parent or its Subsidiary, as applicable, shall be deemed to have rejected all Solicited Discounted Prepayment Offers.</w:t>
      </w:r>
    </w:p>
    <w:p>
      <w:pPr>
        <w:spacing w:after="0" w:line="348" w:lineRule="exact"/>
        <w:rPr>
          <w:sz w:val="20"/>
          <w:szCs w:val="20"/>
          <w:color w:val="auto"/>
        </w:rPr>
      </w:pPr>
    </w:p>
    <w:p>
      <w:pPr>
        <w:ind w:firstLine="807"/>
        <w:spacing w:after="0" w:line="299" w:lineRule="auto"/>
        <w:tabs>
          <w:tab w:leader="none" w:pos="159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Based upon the Acceptable Discount and the Solicited Discounted Prepayment Offers received by Auction Agent by the Solicited Discounted Prepayment Response Date, within three (3) Business Days after receipt of an Acceptance and Prepayment Notice (the “</w:t>
      </w:r>
      <w:r>
        <w:rPr>
          <w:rFonts w:ascii="Arial" w:cs="Arial" w:eastAsia="Arial" w:hAnsi="Arial"/>
          <w:sz w:val="18"/>
          <w:szCs w:val="18"/>
          <w:u w:val="single" w:color="auto"/>
          <w:color w:val="auto"/>
        </w:rPr>
        <w:t>Discounted Prepayment Determination Date</w:t>
      </w:r>
      <w:r>
        <w:rPr>
          <w:rFonts w:ascii="Arial" w:cs="Arial" w:eastAsia="Arial" w:hAnsi="Arial"/>
          <w:sz w:val="18"/>
          <w:szCs w:val="18"/>
          <w:color w:val="auto"/>
        </w:rPr>
        <w:t>”), the Auction Agent will determine (in consultation with Parent or its Subsidiary, as applicable, and subject to rounding requirements of the Auction Agent made in its sole reasonable discretion) the aggregate principal amount and the Classes of Term Loans (the “</w:t>
      </w:r>
      <w:r>
        <w:rPr>
          <w:rFonts w:ascii="Arial" w:cs="Arial" w:eastAsia="Arial" w:hAnsi="Arial"/>
          <w:sz w:val="18"/>
          <w:szCs w:val="18"/>
          <w:u w:val="single" w:color="auto"/>
          <w:color w:val="auto"/>
        </w:rPr>
        <w:t>Acceptable Prepayment Amount</w:t>
      </w:r>
      <w:r>
        <w:rPr>
          <w:rFonts w:ascii="Arial" w:cs="Arial" w:eastAsia="Arial" w:hAnsi="Arial"/>
          <w:sz w:val="18"/>
          <w:szCs w:val="18"/>
          <w:color w:val="auto"/>
        </w:rPr>
        <w:t xml:space="preserve">”) to be prepaid by Parent or its Subsidiary, as applicable, at the Acceptable Discount in accordance with this </w:t>
      </w:r>
      <w:r>
        <w:rPr>
          <w:rFonts w:ascii="Arial" w:cs="Arial" w:eastAsia="Arial" w:hAnsi="Arial"/>
          <w:sz w:val="18"/>
          <w:szCs w:val="18"/>
          <w:u w:val="single" w:color="auto"/>
          <w:color w:val="auto"/>
        </w:rPr>
        <w:t>Section 2.19(d)</w:t>
      </w:r>
      <w:r>
        <w:rPr>
          <w:rFonts w:ascii="Arial" w:cs="Arial" w:eastAsia="Arial" w:hAnsi="Arial"/>
          <w:sz w:val="18"/>
          <w:szCs w:val="18"/>
          <w:color w:val="auto"/>
        </w:rPr>
        <w:t>. If Parent or its Subsidiary, as applicable, elects to accept any Acceptable Discount, then Parent or its Subsidiary, as applicable, agrees to accept all Solicited Discounted Prepayment Offers received by Auction Agent by the Solicited Discounted Prepayment Response Date, in the order from largest Offered Discount to smallest Offered Discount, up to and including the Acceptable Discount. Each Term Lender that has submitted a Solicited Discounted Prepayment Offer with an Offered Discount that is greater than or equal to the Acceptable Discount shall be deemed to have irrevocably consented to prepayment of Term Loans equal to its Offered Amount (subject to any required pro rata reduction pursuant to the following sentence) at the Acceptable Discount (each such Lender, a “</w:t>
      </w:r>
      <w:r>
        <w:rPr>
          <w:rFonts w:ascii="Arial" w:cs="Arial" w:eastAsia="Arial" w:hAnsi="Arial"/>
          <w:sz w:val="18"/>
          <w:szCs w:val="18"/>
          <w:u w:val="single" w:color="auto"/>
          <w:color w:val="auto"/>
        </w:rPr>
        <w:t>Qualifying Lender</w:t>
      </w:r>
      <w:r>
        <w:rPr>
          <w:rFonts w:ascii="Arial" w:cs="Arial" w:eastAsia="Arial" w:hAnsi="Arial"/>
          <w:sz w:val="18"/>
          <w:szCs w:val="18"/>
          <w:color w:val="auto"/>
        </w:rPr>
        <w:t xml:space="preserve">”). Parent or its Subsidiary, as applicable, will prepay outstanding Term Loans pursuant to this subsection (d) to each Qualifying Lender in the aggregate principal amount and of the Classes specified in such Lender’s Solicited Discounted Prepayment Offer at the Acceptable Discount;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Arial" w:cs="Arial" w:eastAsia="Arial" w:hAnsi="Arial"/>
          <w:sz w:val="18"/>
          <w:szCs w:val="18"/>
          <w:u w:val="single" w:color="auto"/>
          <w:color w:val="auto"/>
        </w:rPr>
        <w:t>Identified Qualifying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 shall be made pro rata among the Identified Qualifying Lenders in accordance with the Offered Amount of each such Identified Qualifying Lender and the Auction Agent (in consultation with Parent or its Subsidiary, as applicable, and subject to rounding requirements of the Auction Agent made in its sole reasonable discretion) will calculate such proration (the “</w:t>
      </w:r>
      <w:r>
        <w:rPr>
          <w:rFonts w:ascii="Arial" w:cs="Arial" w:eastAsia="Arial" w:hAnsi="Arial"/>
          <w:sz w:val="18"/>
          <w:szCs w:val="18"/>
          <w:u w:val="single" w:color="auto"/>
          <w:color w:val="auto"/>
        </w:rPr>
        <w:t>Solicited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Discount Proration</w:t>
      </w:r>
      <w:r>
        <w:rPr>
          <w:rFonts w:ascii="Arial" w:cs="Arial" w:eastAsia="Arial" w:hAnsi="Arial"/>
          <w:sz w:val="18"/>
          <w:szCs w:val="18"/>
          <w:color w:val="auto"/>
        </w:rPr>
        <w:t>”). On or prior to the Discounted Prepayment Determination Date, the Auction Agent shall promptly notify (w) Parent or its Subsidiary, as applicable, of the Discounted Prepayment Effective Date and Acceptable Prepayment Amount comprising the Discounted Term Loan Prepayment and the Classes to be prepaid, (x) each Term Lender of the Discounted Prepayment Effective Date, the Acceptable Discount, and the Acceptable Prepayment Amount of all Term Loans and the Classes to be prepaid to be prepaid at the Applicable Discount on such date, (y) each Qualifying Lender of the aggregate principal amount and the Classes of such Lender to be prepaid at the Acceptable Discount on such date, and (z) if applicable, each Identified Qualifying Lender of the Solicited</w:t>
      </w: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ind w:left="4900" w:hanging="110"/>
        <w:spacing w:after="0"/>
        <w:tabs>
          <w:tab w:leader="none" w:pos="4900" w:val="left"/>
        </w:tabs>
        <w:numPr>
          <w:ilvl w:val="1"/>
          <w:numId w:val="241"/>
        </w:numPr>
        <w:rPr>
          <w:rFonts w:ascii="Arial" w:cs="Arial" w:eastAsia="Arial" w:hAnsi="Arial"/>
          <w:sz w:val="20"/>
          <w:szCs w:val="20"/>
          <w:color w:val="auto"/>
        </w:rPr>
      </w:pPr>
      <w:r>
        <w:rPr>
          <w:rFonts w:ascii="Arial" w:cs="Arial" w:eastAsia="Arial" w:hAnsi="Arial"/>
          <w:sz w:val="20"/>
          <w:szCs w:val="20"/>
          <w:color w:val="auto"/>
        </w:rPr>
        <w:t>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48895</wp:posOffset>
            </wp:positionV>
            <wp:extent cx="72720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40"/>
          </w:cols>
          <w:pgMar w:left="900" w:top="366" w:right="259" w:bottom="1440" w:gutter="0" w:footer="0" w:header="0"/>
        </w:sectPr>
      </w:pPr>
    </w:p>
    <w:bookmarkStart w:id="297" w:name="page298"/>
    <w:bookmarkEnd w:id="297"/>
    <w:p>
      <w:pPr>
        <w:ind w:right="60"/>
        <w:spacing w:after="0" w:line="282" w:lineRule="auto"/>
        <w:rPr>
          <w:sz w:val="20"/>
          <w:szCs w:val="20"/>
          <w:color w:val="auto"/>
        </w:rPr>
      </w:pPr>
      <w:r>
        <w:rPr>
          <w:rFonts w:ascii="Arial" w:cs="Arial" w:eastAsia="Arial" w:hAnsi="Arial"/>
          <w:sz w:val="18"/>
          <w:szCs w:val="18"/>
          <w:color w:val="auto"/>
        </w:rPr>
        <w:t>Discount Proration. Each determination by the Auction Agent of the amounts stated in the foregoing notices to Parent or its Subsidiary, as applicable, and Lenders shall be conclusive and binding for all purposes absent manifest error. The payment amount specified in such notice to Parent or its Subsidiary, as applicable, shall be due and payable by Parent or its Subsidiary, as applicable, on the Discounted Prepayment Effective Date in accordance with subsection (f) below (subject to subsection (j) below).</w:t>
      </w:r>
    </w:p>
    <w:p>
      <w:pPr>
        <w:spacing w:after="0" w:line="135" w:lineRule="exact"/>
        <w:rPr>
          <w:sz w:val="20"/>
          <w:szCs w:val="20"/>
          <w:color w:val="auto"/>
        </w:rPr>
      </w:pPr>
    </w:p>
    <w:p>
      <w:pPr>
        <w:jc w:val="both"/>
        <w:ind w:right="100" w:firstLine="645"/>
        <w:spacing w:after="0" w:line="278" w:lineRule="auto"/>
        <w:tabs>
          <w:tab w:leader="none" w:pos="1516" w:val="left"/>
        </w:tabs>
        <w:numPr>
          <w:ilvl w:val="0"/>
          <w:numId w:val="242"/>
        </w:numPr>
        <w:rPr>
          <w:rFonts w:ascii="Arial" w:cs="Arial" w:eastAsia="Arial" w:hAnsi="Arial"/>
          <w:sz w:val="20"/>
          <w:szCs w:val="20"/>
          <w:color w:val="auto"/>
        </w:rPr>
      </w:pPr>
      <w:r>
        <w:rPr>
          <w:rFonts w:ascii="Arial" w:cs="Arial" w:eastAsia="Arial" w:hAnsi="Arial"/>
          <w:sz w:val="20"/>
          <w:szCs w:val="20"/>
          <w:color w:val="auto"/>
        </w:rPr>
        <w:t>In connection with any Discounted Term Loan Prepayment, Parent and the Lenders acknowledge and agree that the Auction Agent may require as a condition to any Discounted Term Loan Prepayment, the payment of customary fees and expenses by the Borrowers in connection therewith.</w:t>
      </w:r>
    </w:p>
    <w:p>
      <w:pPr>
        <w:spacing w:after="0" w:line="146" w:lineRule="exact"/>
        <w:rPr>
          <w:rFonts w:ascii="Arial" w:cs="Arial" w:eastAsia="Arial" w:hAnsi="Arial"/>
          <w:sz w:val="20"/>
          <w:szCs w:val="20"/>
          <w:color w:val="auto"/>
        </w:rPr>
      </w:pPr>
    </w:p>
    <w:p>
      <w:pPr>
        <w:ind w:right="40" w:firstLine="645"/>
        <w:spacing w:after="0" w:line="302" w:lineRule="auto"/>
        <w:tabs>
          <w:tab w:leader="none" w:pos="149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If any Term Loan is prepaid in accordance with </w:t>
      </w:r>
      <w:r>
        <w:rPr>
          <w:rFonts w:ascii="Arial" w:cs="Arial" w:eastAsia="Arial" w:hAnsi="Arial"/>
          <w:sz w:val="18"/>
          <w:szCs w:val="18"/>
          <w:u w:val="single" w:color="auto"/>
          <w:color w:val="auto"/>
        </w:rPr>
        <w:t>paragraphs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Parent or its Subsidiary, as applicable, shall prepay such Term Loans on the Discounted Prepayment Effective Date. Parent or its Subsidiary, as applicable shall make such prepayment to the Administrative Agent, for the account of the Discount Prepayment Accepting Lenders, Participating Lenders, or Qualifying Lenders, as applicable, at the Administrative Agent’s Office in the applicable currency and in immediately available funds not later than 11:00 A.M. (New York time) on the Discounted Prepayment Effective Date. The Term Loans so prepaid shall be accompanied by all accrued and unpaid interest on the par principal amount so prepaid up to, but not including, the Discounted Prepayment Effective Date. Each prepayment of the outstanding Term Loans pursuant to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shall be paid to the Discount Prepayment Accepting Lenders, Participating Lenders, Identified Participating Lenders, Qualifying Lenders or Identified Qualifying Lenders, as applicable. The aggregate principal amount of the Classes and installments of the relevant Term Loans outstanding shall be deemed reduced by the full par value of the aggregate principal amount of the Classes of Term Loans prepaid on the Discounted Prepayment Effective Date in any Discounted Term Loan Prepayment.</w:t>
      </w:r>
    </w:p>
    <w:p>
      <w:pPr>
        <w:spacing w:after="0" w:line="133" w:lineRule="exact"/>
        <w:rPr>
          <w:rFonts w:ascii="Arial" w:cs="Arial" w:eastAsia="Arial" w:hAnsi="Arial"/>
          <w:sz w:val="18"/>
          <w:szCs w:val="18"/>
          <w:color w:val="auto"/>
        </w:rPr>
      </w:pPr>
    </w:p>
    <w:p>
      <w:pPr>
        <w:ind w:right="320" w:firstLine="645"/>
        <w:spacing w:after="0" w:line="278" w:lineRule="auto"/>
        <w:tabs>
          <w:tab w:leader="none" w:pos="1527" w:val="left"/>
        </w:tabs>
        <w:numPr>
          <w:ilvl w:val="0"/>
          <w:numId w:val="242"/>
        </w:numPr>
        <w:rPr>
          <w:rFonts w:ascii="Arial" w:cs="Arial" w:eastAsia="Arial" w:hAnsi="Arial"/>
          <w:sz w:val="20"/>
          <w:szCs w:val="20"/>
          <w:color w:val="auto"/>
        </w:rPr>
      </w:pPr>
      <w:r>
        <w:rPr>
          <w:rFonts w:ascii="Arial" w:cs="Arial" w:eastAsia="Arial" w:hAnsi="Arial"/>
          <w:sz w:val="20"/>
          <w:szCs w:val="20"/>
          <w:color w:val="auto"/>
        </w:rPr>
        <w:t xml:space="preserve">To the extent not expressly provided for herein, each Discounted Term Loan Prepayment shall be consummated pursuant to procedures consistent, with the provisions in this </w:t>
      </w:r>
      <w:r>
        <w:rPr>
          <w:rFonts w:ascii="Arial" w:cs="Arial" w:eastAsia="Arial" w:hAnsi="Arial"/>
          <w:sz w:val="20"/>
          <w:szCs w:val="20"/>
          <w:u w:val="single" w:color="auto"/>
          <w:color w:val="auto"/>
        </w:rPr>
        <w:t>Section 2.19</w:t>
      </w:r>
      <w:r>
        <w:rPr>
          <w:rFonts w:ascii="Arial" w:cs="Arial" w:eastAsia="Arial" w:hAnsi="Arial"/>
          <w:sz w:val="20"/>
          <w:szCs w:val="20"/>
          <w:color w:val="auto"/>
        </w:rPr>
        <w:t>, established by the Auction Agent acting in its reasonable discretion and as reasonably agreed by Parent or its Subsidiary, as applicable.</w:t>
      </w:r>
    </w:p>
    <w:p>
      <w:pPr>
        <w:spacing w:after="0" w:line="146" w:lineRule="exact"/>
        <w:rPr>
          <w:rFonts w:ascii="Arial" w:cs="Arial" w:eastAsia="Arial" w:hAnsi="Arial"/>
          <w:sz w:val="20"/>
          <w:szCs w:val="20"/>
          <w:color w:val="auto"/>
        </w:rPr>
      </w:pPr>
    </w:p>
    <w:p>
      <w:pPr>
        <w:ind w:firstLine="645"/>
        <w:spacing w:after="0" w:line="273" w:lineRule="auto"/>
        <w:tabs>
          <w:tab w:leader="none" w:pos="1527" w:val="left"/>
        </w:tabs>
        <w:numPr>
          <w:ilvl w:val="0"/>
          <w:numId w:val="242"/>
        </w:numPr>
        <w:rPr>
          <w:rFonts w:ascii="Arial" w:cs="Arial" w:eastAsia="Arial" w:hAnsi="Arial"/>
          <w:sz w:val="20"/>
          <w:szCs w:val="20"/>
          <w:color w:val="auto"/>
        </w:rPr>
      </w:pPr>
      <w:r>
        <w:rPr>
          <w:rFonts w:ascii="Arial" w:cs="Arial" w:eastAsia="Arial" w:hAnsi="Arial"/>
          <w:sz w:val="20"/>
          <w:szCs w:val="20"/>
          <w:color w:val="auto"/>
        </w:rPr>
        <w:t xml:space="preserve">Notwithstanding anything in any Loan Document to the contrary, for purposes of this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notice or communication actually received outside of normal business hours shall be deemed to have been given as of the opening of business on the next Business Day.</w:t>
      </w:r>
    </w:p>
    <w:p>
      <w:pPr>
        <w:spacing w:after="0" w:line="150" w:lineRule="exact"/>
        <w:rPr>
          <w:rFonts w:ascii="Arial" w:cs="Arial" w:eastAsia="Arial" w:hAnsi="Arial"/>
          <w:sz w:val="20"/>
          <w:szCs w:val="20"/>
          <w:color w:val="auto"/>
        </w:rPr>
      </w:pPr>
    </w:p>
    <w:p>
      <w:pPr>
        <w:ind w:right="120" w:firstLine="645"/>
        <w:spacing w:after="0" w:line="310" w:lineRule="auto"/>
        <w:tabs>
          <w:tab w:leader="none" w:pos="148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Each of the Borrower and the Term Lenders acknowledges and agrees that the Auction Agent may perform any and all of its duties under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as well as activities of the Auction Agent.</w:t>
      </w:r>
    </w:p>
    <w:p>
      <w:pPr>
        <w:spacing w:after="0" w:line="121" w:lineRule="exact"/>
        <w:rPr>
          <w:rFonts w:ascii="Arial" w:cs="Arial" w:eastAsia="Arial" w:hAnsi="Arial"/>
          <w:sz w:val="18"/>
          <w:szCs w:val="18"/>
          <w:color w:val="auto"/>
        </w:rPr>
      </w:pPr>
    </w:p>
    <w:p>
      <w:pPr>
        <w:ind w:right="180" w:firstLine="645"/>
        <w:spacing w:after="0" w:line="289" w:lineRule="auto"/>
        <w:tabs>
          <w:tab w:leader="none" w:pos="1483" w:val="left"/>
        </w:tabs>
        <w:numPr>
          <w:ilvl w:val="0"/>
          <w:numId w:val="242"/>
        </w:numPr>
        <w:rPr>
          <w:rFonts w:ascii="Arial" w:cs="Arial" w:eastAsia="Arial" w:hAnsi="Arial"/>
          <w:sz w:val="20"/>
          <w:szCs w:val="20"/>
          <w:color w:val="auto"/>
        </w:rPr>
      </w:pPr>
      <w:r>
        <w:rPr>
          <w:rFonts w:ascii="Arial" w:cs="Arial" w:eastAsia="Arial" w:hAnsi="Arial"/>
          <w:sz w:val="20"/>
          <w:szCs w:val="20"/>
          <w:color w:val="auto"/>
        </w:rPr>
        <w:t>Parent or its Subsidiary, as applicable, shall have the right, by written notice to the Auction Agent, to revoke in full (but not in part) its offer to make a Discounted Term Loan</w:t>
      </w: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p>
      <w:pPr>
        <w:ind w:left="4900" w:hanging="110"/>
        <w:spacing w:after="0"/>
        <w:tabs>
          <w:tab w:leader="none" w:pos="4900" w:val="left"/>
        </w:tabs>
        <w:numPr>
          <w:ilvl w:val="1"/>
          <w:numId w:val="242"/>
        </w:numPr>
        <w:rPr>
          <w:rFonts w:ascii="Arial" w:cs="Arial" w:eastAsia="Arial" w:hAnsi="Arial"/>
          <w:sz w:val="20"/>
          <w:szCs w:val="20"/>
          <w:color w:val="auto"/>
        </w:rPr>
      </w:pPr>
      <w:r>
        <w:rPr>
          <w:rFonts w:ascii="Arial" w:cs="Arial" w:eastAsia="Arial" w:hAnsi="Arial"/>
          <w:sz w:val="20"/>
          <w:szCs w:val="20"/>
          <w:color w:val="auto"/>
        </w:rPr>
        <w:t>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48895</wp:posOffset>
            </wp:positionV>
            <wp:extent cx="72720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366" w:right="239" w:bottom="1440" w:gutter="0" w:footer="0" w:header="0"/>
        </w:sectPr>
      </w:pPr>
    </w:p>
    <w:bookmarkStart w:id="298" w:name="page299"/>
    <w:bookmarkEnd w:id="298"/>
    <w:p>
      <w:pPr>
        <w:ind w:left="660"/>
        <w:spacing w:after="0" w:line="258" w:lineRule="auto"/>
        <w:rPr>
          <w:sz w:val="20"/>
          <w:szCs w:val="20"/>
          <w:color w:val="auto"/>
        </w:rPr>
      </w:pPr>
      <w:r>
        <w:rPr>
          <w:rFonts w:ascii="Arial" w:cs="Arial" w:eastAsia="Arial" w:hAnsi="Arial"/>
          <w:sz w:val="19"/>
          <w:szCs w:val="19"/>
          <w:color w:val="auto"/>
        </w:rPr>
        <w:t xml:space="preserve">Prepayment and rescind the applicable Specified Discount Prepayment Notice, Discount Range Prepayment Notice or Solicited Discounted Prepayment Notice therefor (A) at its discretion at any time on or prior to the applicable Specified Discount Prepayment Response Date, Discount Range Prepayment Response Date or Solicited Discounted Prepayment Response Date, as applicable or (B) if, as of such time, any condition set forth in </w:t>
      </w:r>
      <w:r>
        <w:rPr>
          <w:rFonts w:ascii="Arial" w:cs="Arial" w:eastAsia="Arial" w:hAnsi="Arial"/>
          <w:sz w:val="19"/>
          <w:szCs w:val="19"/>
          <w:u w:val="single" w:color="auto"/>
          <w:color w:val="auto"/>
        </w:rPr>
        <w:t>Section 2.19(a)</w:t>
      </w:r>
      <w:r>
        <w:rPr>
          <w:rFonts w:ascii="Arial" w:cs="Arial" w:eastAsia="Arial" w:hAnsi="Arial"/>
          <w:sz w:val="19"/>
          <w:szCs w:val="19"/>
          <w:color w:val="auto"/>
        </w:rPr>
        <w:t xml:space="preserve"> ceases to be met prior to the making of such Discounted Term Loan Prepayment and, in each case, such offer is revoked pursuant to the preceding clauses (A) or (B), any failure by Parent or its Subsidiary, as applicable, to make any prepayment to a Term Lender, as applicable, pursuant to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shall not constitute a Default or Event of Default under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or otherwise.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TAXES, YIELD PROTECTION AND ILLEGALITY</w:t>
      </w:r>
    </w:p>
    <w:p>
      <w:pPr>
        <w:spacing w:after="0" w:line="229"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3.01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195" w:lineRule="exact"/>
        <w:rPr>
          <w:sz w:val="20"/>
          <w:szCs w:val="20"/>
          <w:color w:val="auto"/>
        </w:rPr>
      </w:pPr>
    </w:p>
    <w:p>
      <w:pPr>
        <w:ind w:firstLine="1305"/>
        <w:spacing w:after="0" w:line="347" w:lineRule="auto"/>
        <w:tabs>
          <w:tab w:leader="none" w:pos="2164" w:val="left"/>
        </w:tabs>
        <w:numPr>
          <w:ilvl w:val="0"/>
          <w:numId w:val="243"/>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Payments Free of Taxes</w:t>
      </w:r>
      <w:r>
        <w:rPr>
          <w:rFonts w:ascii="Arial" w:cs="Arial" w:eastAsia="Arial" w:hAnsi="Arial"/>
          <w:sz w:val="16"/>
          <w:szCs w:val="16"/>
          <w:color w:val="auto"/>
        </w:rPr>
        <w:t>. Any and all payments by or on account of any Loan Party under any Loan Document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 made free and clear of, and without deduction or withholding for or on account of, any Taxes, unless otherwise required by law. If any applicable withholding agent shall be required by law to withhold any Taxes from or in respect of any sum payable under any Loan Document to any Lender Party or any Agent, (i) the applicable withholding agent shall make all such deductions, (ii) the applicable withholding agent shall timely pay the full amount deducted to the relevant Governmental Authority in accordance with applicable law, and (iii) to the extent the deduction is on account of Indemnified Taxes or Other Taxes, the amounts so payable by the applicable Loan Party shall be increased as may be necessary so that, after such withholding agent has made all required deductions of Indemnified Taxes and Other Taxes (including deductions applicable to additional sums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such Lender Party (or, in the case of any amount received by an Agent for its own account, such Agent) shall have received an amount equal to the sum it would have received had no such deductions been made.</w:t>
      </w:r>
    </w:p>
    <w:p>
      <w:pPr>
        <w:spacing w:after="0" w:line="356" w:lineRule="exact"/>
        <w:rPr>
          <w:rFonts w:ascii="Arial" w:cs="Arial" w:eastAsia="Arial" w:hAnsi="Arial"/>
          <w:sz w:val="16"/>
          <w:szCs w:val="16"/>
          <w:color w:val="auto"/>
        </w:rPr>
      </w:pPr>
    </w:p>
    <w:p>
      <w:pPr>
        <w:ind w:right="160" w:firstLine="1305"/>
        <w:spacing w:after="0" w:line="289" w:lineRule="auto"/>
        <w:tabs>
          <w:tab w:leader="none" w:pos="2175" w:val="left"/>
        </w:tabs>
        <w:numPr>
          <w:ilvl w:val="0"/>
          <w:numId w:val="243"/>
        </w:numPr>
        <w:rPr>
          <w:rFonts w:ascii="Arial" w:cs="Arial" w:eastAsia="Arial" w:hAnsi="Arial"/>
          <w:sz w:val="20"/>
          <w:szCs w:val="20"/>
          <w:color w:val="auto"/>
        </w:rPr>
      </w:pPr>
      <w:r>
        <w:rPr>
          <w:rFonts w:ascii="Arial" w:cs="Arial" w:eastAsia="Arial" w:hAnsi="Arial"/>
          <w:sz w:val="20"/>
          <w:szCs w:val="20"/>
          <w:i w:val="1"/>
          <w:iCs w:val="1"/>
          <w:u w:val="single" w:color="auto"/>
          <w:color w:val="auto"/>
        </w:rPr>
        <w:t>Payment of Other Taxes by each Borrower</w:t>
      </w:r>
      <w:r>
        <w:rPr>
          <w:rFonts w:ascii="Arial" w:cs="Arial" w:eastAsia="Arial" w:hAnsi="Arial"/>
          <w:sz w:val="20"/>
          <w:szCs w:val="20"/>
          <w:color w:val="auto"/>
        </w:rPr>
        <w:t>. Without limiting the provisions of paragraph (a) above, each Borrower</w:t>
      </w:r>
      <w:r>
        <w:rPr>
          <w:rFonts w:ascii="Arial" w:cs="Arial" w:eastAsia="Arial" w:hAnsi="Arial"/>
          <w:sz w:val="20"/>
          <w:szCs w:val="20"/>
          <w:i w:val="1"/>
          <w:iCs w:val="1"/>
          <w:color w:val="auto"/>
        </w:rPr>
        <w:t xml:space="preserve"> </w:t>
      </w:r>
      <w:r>
        <w:rPr>
          <w:rFonts w:ascii="Arial" w:cs="Arial" w:eastAsia="Arial" w:hAnsi="Arial"/>
          <w:sz w:val="20"/>
          <w:szCs w:val="20"/>
          <w:color w:val="auto"/>
        </w:rPr>
        <w:t>shall timely pay any Other Taxes to the relevant Governmental Authority in accordance with applicable law.</w:t>
      </w:r>
    </w:p>
    <w:p>
      <w:pPr>
        <w:spacing w:after="0" w:line="134" w:lineRule="exact"/>
        <w:rPr>
          <w:rFonts w:ascii="Arial" w:cs="Arial" w:eastAsia="Arial" w:hAnsi="Arial"/>
          <w:sz w:val="20"/>
          <w:szCs w:val="20"/>
          <w:color w:val="auto"/>
        </w:rPr>
      </w:pPr>
    </w:p>
    <w:p>
      <w:pPr>
        <w:jc w:val="both"/>
        <w:ind w:right="40" w:firstLine="1305"/>
        <w:spacing w:after="0" w:line="278" w:lineRule="auto"/>
        <w:tabs>
          <w:tab w:leader="none" w:pos="2164" w:val="left"/>
        </w:tabs>
        <w:numPr>
          <w:ilvl w:val="0"/>
          <w:numId w:val="243"/>
        </w:numPr>
        <w:rPr>
          <w:rFonts w:ascii="Arial" w:cs="Arial" w:eastAsia="Arial" w:hAnsi="Arial"/>
          <w:sz w:val="20"/>
          <w:szCs w:val="20"/>
          <w:color w:val="auto"/>
        </w:rPr>
      </w:pPr>
      <w:r>
        <w:rPr>
          <w:rFonts w:ascii="Arial" w:cs="Arial" w:eastAsia="Arial" w:hAnsi="Arial"/>
          <w:sz w:val="20"/>
          <w:szCs w:val="20"/>
          <w:i w:val="1"/>
          <w:iCs w:val="1"/>
          <w:u w:val="single" w:color="auto"/>
          <w:color w:val="auto"/>
        </w:rPr>
        <w:t>Evidence of Payments</w:t>
      </w:r>
      <w:r>
        <w:rPr>
          <w:rFonts w:ascii="Arial" w:cs="Arial" w:eastAsia="Arial" w:hAnsi="Arial"/>
          <w:sz w:val="20"/>
          <w:szCs w:val="20"/>
          <w:color w:val="auto"/>
        </w:rPr>
        <w:t>. Within 30 days after the date of any payment of Indemnified Taxes or Other Taxes by a Loan</w:t>
      </w:r>
      <w:r>
        <w:rPr>
          <w:rFonts w:ascii="Arial" w:cs="Arial" w:eastAsia="Arial" w:hAnsi="Arial"/>
          <w:sz w:val="20"/>
          <w:szCs w:val="20"/>
          <w:i w:val="1"/>
          <w:iCs w:val="1"/>
          <w:color w:val="auto"/>
        </w:rPr>
        <w:t xml:space="preserve"> </w:t>
      </w:r>
      <w:r>
        <w:rPr>
          <w:rFonts w:ascii="Arial" w:cs="Arial" w:eastAsia="Arial" w:hAnsi="Arial"/>
          <w:sz w:val="20"/>
          <w:szCs w:val="20"/>
          <w:color w:val="auto"/>
        </w:rPr>
        <w:t>Party to a Governmental Authority, such Loan Party shall deliver to the Administrative Agent the original or a certified copy of a receipt issued by such Governmental Authority evidencing such payment.</w:t>
      </w:r>
    </w:p>
    <w:p>
      <w:pPr>
        <w:spacing w:after="0" w:line="146" w:lineRule="exact"/>
        <w:rPr>
          <w:rFonts w:ascii="Arial" w:cs="Arial" w:eastAsia="Arial" w:hAnsi="Arial"/>
          <w:sz w:val="20"/>
          <w:szCs w:val="20"/>
          <w:color w:val="auto"/>
        </w:rPr>
      </w:pPr>
    </w:p>
    <w:p>
      <w:pPr>
        <w:ind w:right="100" w:firstLine="1305"/>
        <w:spacing w:after="0" w:line="270" w:lineRule="auto"/>
        <w:tabs>
          <w:tab w:leader="none" w:pos="2175" w:val="left"/>
        </w:tabs>
        <w:numPr>
          <w:ilvl w:val="0"/>
          <w:numId w:val="243"/>
        </w:numPr>
        <w:rPr>
          <w:rFonts w:ascii="Arial" w:cs="Arial" w:eastAsia="Arial" w:hAnsi="Arial"/>
          <w:sz w:val="20"/>
          <w:szCs w:val="20"/>
          <w:color w:val="auto"/>
        </w:rPr>
      </w:pPr>
      <w:r>
        <w:rPr>
          <w:rFonts w:ascii="Arial" w:cs="Arial" w:eastAsia="Arial" w:hAnsi="Arial"/>
          <w:sz w:val="20"/>
          <w:szCs w:val="20"/>
          <w:i w:val="1"/>
          <w:iCs w:val="1"/>
          <w:u w:val="single" w:color="auto"/>
          <w:color w:val="auto"/>
        </w:rPr>
        <w:t>Indemnification by each Borrower</w:t>
      </w:r>
      <w:r>
        <w:rPr>
          <w:rFonts w:ascii="Arial" w:cs="Arial" w:eastAsia="Arial" w:hAnsi="Arial"/>
          <w:sz w:val="20"/>
          <w:szCs w:val="20"/>
          <w:color w:val="auto"/>
        </w:rPr>
        <w:t>. Each Borrower shall indemnify each Agent and each Lender Party for and hold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them harmless against the full amount of Indemnified Taxes payable in connection with any payments made by or on account of any Loan Party under any Loan Document and Other Taxes (including Indemnified Taxes or Other Taxes imposed or asserted on or attributable to amounts payable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and any reasonable expenses arising therefrom or with respect thereto, whether or not such Indemnified Taxes or Other Taxes were correctly or legally imposed or asserted by the relevant Governmental Authority. This indemnification shall be made within 10 days after written demand therefor. A certificate as to the amount of such payment or liability delivered to the applicable Borrower by a Lender Party (with a copy to the Administrative Agent), or by an Agent on its own behalf, shall be conclusive absent manifest error.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4" w:lineRule="exact"/>
        <w:rPr>
          <w:rFonts w:ascii="Arial" w:cs="Arial" w:eastAsia="Arial" w:hAnsi="Arial"/>
          <w:sz w:val="20"/>
          <w:szCs w:val="20"/>
          <w:color w:val="auto"/>
        </w:rPr>
      </w:pPr>
    </w:p>
    <w:p>
      <w:pPr>
        <w:ind w:left="5560" w:hanging="110"/>
        <w:spacing w:after="0"/>
        <w:tabs>
          <w:tab w:leader="none" w:pos="5560" w:val="left"/>
        </w:tabs>
        <w:numPr>
          <w:ilvl w:val="1"/>
          <w:numId w:val="243"/>
        </w:numPr>
        <w:rPr>
          <w:rFonts w:ascii="Arial" w:cs="Arial" w:eastAsia="Arial" w:hAnsi="Arial"/>
          <w:sz w:val="20"/>
          <w:szCs w:val="20"/>
          <w:color w:val="auto"/>
        </w:rPr>
      </w:pPr>
      <w:r>
        <w:rPr>
          <w:rFonts w:ascii="Arial" w:cs="Arial" w:eastAsia="Arial" w:hAnsi="Arial"/>
          <w:sz w:val="20"/>
          <w:szCs w:val="20"/>
          <w:color w:val="auto"/>
        </w:rPr>
        <w:t>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99" w:name="page300"/>
    <w:bookmarkEnd w:id="299"/>
    <w:p>
      <w:pPr>
        <w:ind w:left="-1200" w:right="20" w:firstLine="1305"/>
        <w:spacing w:after="0" w:line="302" w:lineRule="auto"/>
        <w:tabs>
          <w:tab w:leader="none" w:pos="964" w:val="left"/>
        </w:tabs>
        <w:numPr>
          <w:ilvl w:val="0"/>
          <w:numId w:val="244"/>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 of Refunds</w:t>
      </w:r>
      <w:r>
        <w:rPr>
          <w:rFonts w:ascii="Arial" w:cs="Arial" w:eastAsia="Arial" w:hAnsi="Arial"/>
          <w:sz w:val="18"/>
          <w:szCs w:val="18"/>
          <w:color w:val="auto"/>
        </w:rPr>
        <w:t>. If the Administrative Agent or any Lender Party determines, in its reasonable discretion,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it has received a refund (in cash or as an offset against other Taxes otherwise due and payable) of any Indemnified Taxes or Other Taxes as to which it has been indemnified by any Loan Party or with respect to which any Loan Party has paid additional amounts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 it shall pay to the applicable Borrower an amount equal to such refund (but only to the extent of indemnity payments made, or additional amount paid, by the Loan Party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the Indemnified Taxes or Other Taxes giving rise to such refund), net of all reasonable out-of-pocket expenses (including Taxes) of the Administrative Agent or such Lender Party, attributable to such refund and without 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Loan Party, upon the request of the Administrative Agent or such Lender Party, agrees to repay the amount paid over to the applicable Borrower (plus any penalties, interest or other charges imposed by the relevant Governmental Authority) to the Administrative Agent or such Lender Party in the event the Administrative Agent or such Lender Party is required to repay such amount to such Governmental Authority. This paragraph shall not be construed to require the Administrative Agent or any Lender Party to make available its Tax returns (or any other information relating to its Taxes that it deems confidential) to any Loan Party or any other Person.</w:t>
      </w:r>
    </w:p>
    <w:p>
      <w:pPr>
        <w:spacing w:after="0" w:line="129" w:lineRule="exact"/>
        <w:rPr>
          <w:rFonts w:ascii="Arial" w:cs="Arial" w:eastAsia="Arial" w:hAnsi="Arial"/>
          <w:sz w:val="18"/>
          <w:szCs w:val="18"/>
          <w:color w:val="auto"/>
        </w:rPr>
      </w:pPr>
    </w:p>
    <w:p>
      <w:pPr>
        <w:ind w:left="960" w:hanging="855"/>
        <w:spacing w:after="0"/>
        <w:tabs>
          <w:tab w:leader="none" w:pos="960" w:val="left"/>
        </w:tabs>
        <w:numPr>
          <w:ilvl w:val="0"/>
          <w:numId w:val="244"/>
        </w:numPr>
        <w:rPr>
          <w:rFonts w:ascii="Arial" w:cs="Arial" w:eastAsia="Arial" w:hAnsi="Arial"/>
          <w:sz w:val="20"/>
          <w:szCs w:val="20"/>
          <w:color w:val="auto"/>
        </w:rPr>
      </w:pPr>
      <w:r>
        <w:rPr>
          <w:rFonts w:ascii="Arial" w:cs="Arial" w:eastAsia="Arial" w:hAnsi="Arial"/>
          <w:sz w:val="20"/>
          <w:szCs w:val="20"/>
          <w:i w:val="1"/>
          <w:iCs w:val="1"/>
          <w:u w:val="single" w:color="auto"/>
          <w:color w:val="auto"/>
        </w:rPr>
        <w:t>Status of Lenders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200" w:firstLine="1467"/>
        <w:spacing w:after="0" w:line="286" w:lineRule="auto"/>
        <w:tabs>
          <w:tab w:leader="none" w:pos="932" w:val="left"/>
        </w:tabs>
        <w:numPr>
          <w:ilvl w:val="1"/>
          <w:numId w:val="244"/>
        </w:numPr>
        <w:rPr>
          <w:rFonts w:ascii="Arial" w:cs="Arial" w:eastAsia="Arial" w:hAnsi="Arial"/>
          <w:sz w:val="19"/>
          <w:szCs w:val="19"/>
          <w:color w:val="auto"/>
        </w:rPr>
      </w:pPr>
      <w:r>
        <w:rPr>
          <w:rFonts w:ascii="Arial" w:cs="Arial" w:eastAsia="Arial" w:hAnsi="Arial"/>
          <w:sz w:val="19"/>
          <w:szCs w:val="19"/>
          <w:color w:val="auto"/>
        </w:rPr>
        <w:t xml:space="preserve">Each Lender Party that is entitled to an exemption from or reduction of any applicable withholding Tax with respect to payments made under any Loan Document shall deliver to the applicable Borrower and the Administrative Agent, at the time or times prescribed by law or reasonably requested by the applicable Borrower or the Administrative Agent, such properly completed and executed documentation reasonably requested by the applicable Borrower or the Administrative Agent as will permit such payments to be made without withholding or at a reduced rate of withholding. Each Lender Party shall, whenever a lapse in time or change in circumstances renders such documentation (including any specific documents required below in this </w:t>
      </w:r>
      <w:r>
        <w:rPr>
          <w:rFonts w:ascii="Arial" w:cs="Arial" w:eastAsia="Arial" w:hAnsi="Arial"/>
          <w:sz w:val="19"/>
          <w:szCs w:val="19"/>
          <w:u w:val="single" w:color="auto"/>
          <w:color w:val="auto"/>
        </w:rPr>
        <w:t>Section 3.01(f)</w:t>
      </w:r>
      <w:r>
        <w:rPr>
          <w:rFonts w:ascii="Arial" w:cs="Arial" w:eastAsia="Arial" w:hAnsi="Arial"/>
          <w:sz w:val="19"/>
          <w:szCs w:val="19"/>
          <w:color w:val="auto"/>
        </w:rPr>
        <w:t>) obsolete, expired or inaccurate in any material respect, deliver promptly to the applicable Borrower and the Administrative Agent updated or other appropriate documentation (including any new documentation reasonably requested by the applicable Borrower or the Administrative Agent) or promptly notify the applicable Borrower and the Administrative Agent in writing of its inability to do so.</w:t>
      </w:r>
    </w:p>
    <w:p>
      <w:pPr>
        <w:spacing w:after="0" w:line="141" w:lineRule="exact"/>
        <w:rPr>
          <w:rFonts w:ascii="Arial" w:cs="Arial" w:eastAsia="Arial" w:hAnsi="Arial"/>
          <w:sz w:val="19"/>
          <w:szCs w:val="19"/>
          <w:color w:val="auto"/>
        </w:rPr>
      </w:pPr>
    </w:p>
    <w:p>
      <w:pPr>
        <w:ind w:left="-1200" w:right="80" w:firstLine="1467"/>
        <w:spacing w:after="0" w:line="274" w:lineRule="auto"/>
        <w:tabs>
          <w:tab w:leader="none" w:pos="986" w:val="left"/>
        </w:tabs>
        <w:numPr>
          <w:ilvl w:val="1"/>
          <w:numId w:val="244"/>
        </w:numPr>
        <w:rPr>
          <w:rFonts w:ascii="Arial" w:cs="Arial" w:eastAsia="Arial" w:hAnsi="Arial"/>
          <w:sz w:val="20"/>
          <w:szCs w:val="20"/>
          <w:color w:val="auto"/>
        </w:rPr>
      </w:pPr>
      <w:r>
        <w:rPr>
          <w:rFonts w:ascii="Arial" w:cs="Arial" w:eastAsia="Arial" w:hAnsi="Arial"/>
          <w:sz w:val="20"/>
          <w:szCs w:val="20"/>
          <w:color w:val="auto"/>
        </w:rPr>
        <w:t>Without limiting the generality of the foregoing any Lender Party shall, if it is legally eligible to do so (or, with respect to any Loan to any Irish Borrower, if it would be legally eligible to do so if it were to make a Loan to the U.S. Borrower), deliver to the U.S. Borrower and the Administrative Agent on or prior to the date on which such Lender Party becomes a party hereto, two duly completed and executed copies of whichever of the following is applicable:</w:t>
      </w:r>
    </w:p>
    <w:p>
      <w:pPr>
        <w:spacing w:after="0" w:line="152" w:lineRule="exact"/>
        <w:rPr>
          <w:sz w:val="20"/>
          <w:szCs w:val="20"/>
          <w:color w:val="auto"/>
        </w:rPr>
      </w:pPr>
    </w:p>
    <w:p>
      <w:pPr>
        <w:ind w:left="-540" w:right="440" w:firstLine="807"/>
        <w:spacing w:after="0" w:line="253" w:lineRule="exact"/>
        <w:tabs>
          <w:tab w:leader="none" w:pos="1031" w:val="left"/>
        </w:tabs>
        <w:numPr>
          <w:ilvl w:val="0"/>
          <w:numId w:val="245"/>
        </w:numPr>
        <w:rPr>
          <w:rFonts w:ascii="Arial" w:cs="Arial" w:eastAsia="Arial" w:hAnsi="Arial"/>
          <w:sz w:val="20"/>
          <w:szCs w:val="20"/>
          <w:color w:val="auto"/>
        </w:rPr>
      </w:pPr>
      <w:r>
        <w:rPr>
          <w:rFonts w:ascii="Arial" w:cs="Arial" w:eastAsia="Arial" w:hAnsi="Arial"/>
          <w:sz w:val="20"/>
          <w:szCs w:val="20"/>
          <w:color w:val="auto"/>
        </w:rPr>
        <w:t>in the case of a Lender Party that is a United States Person, IRS Form W</w:t>
      </w:r>
      <w:r>
        <w:rPr>
          <w:rFonts w:ascii="MS PGothic" w:cs="MS PGothic" w:eastAsia="MS PGothic" w:hAnsi="MS PGothic"/>
          <w:sz w:val="20"/>
          <w:szCs w:val="20"/>
          <w:color w:val="auto"/>
        </w:rPr>
        <w:t>‑</w:t>
      </w:r>
      <w:r>
        <w:rPr>
          <w:rFonts w:ascii="Arial" w:cs="Arial" w:eastAsia="Arial" w:hAnsi="Arial"/>
          <w:sz w:val="20"/>
          <w:szCs w:val="20"/>
          <w:color w:val="auto"/>
        </w:rPr>
        <w:t>9 certifying that such Lender Party is exempt from U.S. federal backup withholding; and</w:t>
      </w:r>
    </w:p>
    <w:p>
      <w:pPr>
        <w:spacing w:after="0" w:line="182" w:lineRule="exact"/>
        <w:rPr>
          <w:rFonts w:ascii="Arial" w:cs="Arial" w:eastAsia="Arial" w:hAnsi="Arial"/>
          <w:sz w:val="20"/>
          <w:szCs w:val="20"/>
          <w:color w:val="auto"/>
        </w:rPr>
      </w:pPr>
    </w:p>
    <w:p>
      <w:pPr>
        <w:ind w:left="-540" w:right="100" w:firstLine="807"/>
        <w:spacing w:after="0" w:line="254" w:lineRule="exact"/>
        <w:tabs>
          <w:tab w:leader="none" w:pos="102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in the case of a Non-U.S. Lender eligible to claim the benefits of an income tax treaty to which the United States is a party, IRS Form W</w:t>
      </w:r>
      <w:r>
        <w:rPr>
          <w:rFonts w:ascii="MS PGothic" w:cs="MS PGothic" w:eastAsia="MS PGothic" w:hAnsi="MS PGothic"/>
          <w:sz w:val="20"/>
          <w:szCs w:val="20"/>
          <w:color w:val="auto"/>
        </w:rPr>
        <w:t>‑</w:t>
      </w:r>
      <w:r>
        <w:rPr>
          <w:rFonts w:ascii="Arial" w:cs="Arial" w:eastAsia="Arial" w:hAnsi="Arial"/>
          <w:sz w:val="20"/>
          <w:szCs w:val="20"/>
          <w:color w:val="auto"/>
        </w:rPr>
        <w:t>8BEN or IRS Form W-8BEN-E, as applicable, establishing an exemption from, or reduction of, U.S. federal withholding Tax pursuant to such tax treaty;</w:t>
      </w:r>
    </w:p>
    <w:p>
      <w:pPr>
        <w:spacing w:after="0" w:line="183" w:lineRule="exact"/>
        <w:rPr>
          <w:rFonts w:ascii="Arial" w:cs="Arial" w:eastAsia="Arial" w:hAnsi="Arial"/>
          <w:sz w:val="20"/>
          <w:szCs w:val="20"/>
          <w:color w:val="auto"/>
        </w:rPr>
      </w:pPr>
    </w:p>
    <w:p>
      <w:pPr>
        <w:ind w:left="-540" w:right="280" w:firstLine="807"/>
        <w:spacing w:after="0" w:line="253" w:lineRule="exact"/>
        <w:tabs>
          <w:tab w:leader="none" w:pos="102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in the case of a Non-U.S. Lender eligible to claim an exemption from U.S. federal withholding Taxes for income that is effectively connected with a U.S. trade or business, executed originals of IRS Form W</w:t>
      </w:r>
      <w:r>
        <w:rPr>
          <w:rFonts w:ascii="MS PGothic" w:cs="MS PGothic" w:eastAsia="MS PGothic" w:hAnsi="MS PGothic"/>
          <w:sz w:val="20"/>
          <w:szCs w:val="20"/>
          <w:color w:val="auto"/>
        </w:rPr>
        <w:t>‑</w:t>
      </w:r>
      <w:r>
        <w:rPr>
          <w:rFonts w:ascii="Arial" w:cs="Arial" w:eastAsia="Arial" w:hAnsi="Arial"/>
          <w:sz w:val="20"/>
          <w:szCs w:val="20"/>
          <w:color w:val="auto"/>
        </w:rPr>
        <w:t>8ECI;</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8" w:lineRule="exact"/>
        <w:rPr>
          <w:rFonts w:ascii="Arial" w:cs="Arial" w:eastAsia="Arial" w:hAnsi="Arial"/>
          <w:sz w:val="20"/>
          <w:szCs w:val="20"/>
          <w:color w:val="auto"/>
        </w:rPr>
      </w:pPr>
    </w:p>
    <w:p>
      <w:pPr>
        <w:ind w:left="4360" w:hanging="110"/>
        <w:spacing w:after="0"/>
        <w:tabs>
          <w:tab w:leader="none" w:pos="4360" w:val="left"/>
        </w:tabs>
        <w:numPr>
          <w:ilvl w:val="1"/>
          <w:numId w:val="245"/>
        </w:numPr>
        <w:rPr>
          <w:rFonts w:ascii="Arial" w:cs="Arial" w:eastAsia="Arial" w:hAnsi="Arial"/>
          <w:sz w:val="20"/>
          <w:szCs w:val="20"/>
          <w:color w:val="auto"/>
        </w:rPr>
      </w:pPr>
      <w:r>
        <w:rPr>
          <w:rFonts w:ascii="Arial" w:cs="Arial" w:eastAsia="Arial" w:hAnsi="Arial"/>
          <w:sz w:val="20"/>
          <w:szCs w:val="20"/>
          <w:color w:val="auto"/>
        </w:rPr>
        <w:t>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48895</wp:posOffset>
            </wp:positionV>
            <wp:extent cx="72720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79" w:right="239" w:bottom="1440" w:gutter="0" w:footer="0" w:header="0"/>
        </w:sectPr>
      </w:pPr>
    </w:p>
    <w:bookmarkStart w:id="300" w:name="page301"/>
    <w:bookmarkEnd w:id="300"/>
    <w:p>
      <w:pPr>
        <w:jc w:val="both"/>
        <w:ind w:left="-540" w:firstLine="807"/>
        <w:spacing w:after="0" w:line="254" w:lineRule="exact"/>
        <w:tabs>
          <w:tab w:leader="none" w:pos="1031" w:val="left"/>
        </w:tabs>
        <w:numPr>
          <w:ilvl w:val="0"/>
          <w:numId w:val="246"/>
        </w:numPr>
        <w:rPr>
          <w:rFonts w:ascii="Arial" w:cs="Arial" w:eastAsia="Arial" w:hAnsi="Arial"/>
          <w:sz w:val="20"/>
          <w:szCs w:val="20"/>
          <w:color w:val="auto"/>
        </w:rPr>
      </w:pPr>
      <w:r>
        <w:rPr>
          <w:rFonts w:ascii="Arial" w:cs="Arial" w:eastAsia="Arial" w:hAnsi="Arial"/>
          <w:sz w:val="20"/>
          <w:szCs w:val="20"/>
          <w:color w:val="auto"/>
        </w:rPr>
        <w:t xml:space="preserve">in the case of a Non-U.S. Lender eligible to claim the benefits of the exemption for portfolio interest under Section 881(c) of the Code, (x) a certificate substantially in the form of </w:t>
      </w:r>
      <w:r>
        <w:rPr>
          <w:rFonts w:ascii="Arial" w:cs="Arial" w:eastAsia="Arial" w:hAnsi="Arial"/>
          <w:sz w:val="20"/>
          <w:szCs w:val="20"/>
          <w:u w:val="single" w:color="auto"/>
          <w:color w:val="auto"/>
        </w:rPr>
        <w:t>Exhibit F-1</w:t>
      </w:r>
      <w:r>
        <w:rPr>
          <w:rFonts w:ascii="Arial" w:cs="Arial" w:eastAsia="Arial" w:hAnsi="Arial"/>
          <w:sz w:val="20"/>
          <w:szCs w:val="20"/>
          <w:color w:val="auto"/>
        </w:rPr>
        <w:t xml:space="preserve"> (any such certificate, a “</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and (y) IRS Form W</w:t>
      </w:r>
      <w:r>
        <w:rPr>
          <w:rFonts w:ascii="MS PGothic" w:cs="MS PGothic" w:eastAsia="MS PGothic" w:hAnsi="MS PGothic"/>
          <w:sz w:val="20"/>
          <w:szCs w:val="20"/>
          <w:color w:val="auto"/>
        </w:rPr>
        <w:t>‑</w:t>
      </w:r>
      <w:r>
        <w:rPr>
          <w:rFonts w:ascii="Arial" w:cs="Arial" w:eastAsia="Arial" w:hAnsi="Arial"/>
          <w:sz w:val="20"/>
          <w:szCs w:val="20"/>
          <w:color w:val="auto"/>
        </w:rPr>
        <w:t>8BEN or IRS Form W-8BEN-E, as applicable;</w:t>
      </w:r>
    </w:p>
    <w:p>
      <w:pPr>
        <w:spacing w:after="0" w:line="116" w:lineRule="exact"/>
        <w:rPr>
          <w:rFonts w:ascii="Arial" w:cs="Arial" w:eastAsia="Arial" w:hAnsi="Arial"/>
          <w:sz w:val="20"/>
          <w:szCs w:val="20"/>
          <w:color w:val="auto"/>
        </w:rPr>
      </w:pPr>
    </w:p>
    <w:p>
      <w:pPr>
        <w:ind w:left="-540" w:right="20" w:firstLine="807"/>
        <w:spacing w:after="0" w:line="256" w:lineRule="exact"/>
        <w:tabs>
          <w:tab w:leader="none" w:pos="100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to the extent that a Non-U.S. Lender is not the beneficial owner (for example, where the Non-U.S. Lender is a partnership or participating Lender), IRS Form W</w:t>
      </w:r>
      <w:r>
        <w:rPr>
          <w:rFonts w:ascii="MS PGothic" w:cs="MS PGothic" w:eastAsia="MS PGothic" w:hAnsi="MS PGothic"/>
          <w:sz w:val="18"/>
          <w:szCs w:val="18"/>
          <w:color w:val="auto"/>
        </w:rPr>
        <w:t>‑</w:t>
      </w:r>
      <w:r>
        <w:rPr>
          <w:rFonts w:ascii="Arial" w:cs="Arial" w:eastAsia="Arial" w:hAnsi="Arial"/>
          <w:sz w:val="18"/>
          <w:szCs w:val="18"/>
          <w:color w:val="auto"/>
        </w:rPr>
        <w:t>8IMY of the Non-U.S. Lender, accompanied by IRS Form W</w:t>
      </w:r>
      <w:r>
        <w:rPr>
          <w:rFonts w:ascii="MS PGothic" w:cs="MS PGothic" w:eastAsia="MS PGothic" w:hAnsi="MS PGothic"/>
          <w:sz w:val="18"/>
          <w:szCs w:val="18"/>
          <w:color w:val="auto"/>
        </w:rPr>
        <w:t>‑</w:t>
      </w:r>
      <w:r>
        <w:rPr>
          <w:rFonts w:ascii="Arial" w:cs="Arial" w:eastAsia="Arial" w:hAnsi="Arial"/>
          <w:sz w:val="18"/>
          <w:szCs w:val="18"/>
          <w:color w:val="auto"/>
        </w:rPr>
        <w:t>8ECI, IRS Form W</w:t>
      </w:r>
      <w:r>
        <w:rPr>
          <w:rFonts w:ascii="MS PGothic" w:cs="MS PGothic" w:eastAsia="MS PGothic" w:hAnsi="MS PGothic"/>
          <w:sz w:val="18"/>
          <w:szCs w:val="18"/>
          <w:color w:val="auto"/>
        </w:rPr>
        <w:t>‑</w:t>
      </w:r>
      <w:r>
        <w:rPr>
          <w:rFonts w:ascii="Arial" w:cs="Arial" w:eastAsia="Arial" w:hAnsi="Arial"/>
          <w:sz w:val="18"/>
          <w:szCs w:val="18"/>
          <w:color w:val="auto"/>
        </w:rPr>
        <w:t>8BEN, IRS Form W-8BEN-E, U.S. Tax Compliance Certificate, IRS Form W</w:t>
      </w:r>
      <w:r>
        <w:rPr>
          <w:rFonts w:ascii="MS PGothic" w:cs="MS PGothic" w:eastAsia="MS PGothic" w:hAnsi="MS PGothic"/>
          <w:sz w:val="18"/>
          <w:szCs w:val="18"/>
          <w:color w:val="auto"/>
        </w:rPr>
        <w:t>‑</w:t>
      </w:r>
      <w:r>
        <w:rPr>
          <w:rFonts w:ascii="Arial" w:cs="Arial" w:eastAsia="Arial" w:hAnsi="Arial"/>
          <w:sz w:val="18"/>
          <w:szCs w:val="18"/>
          <w:color w:val="auto"/>
        </w:rPr>
        <w:t xml:space="preserve">9, and/or other certification documents from each beneficial owner that would be required under this </w:t>
      </w:r>
      <w:r>
        <w:rPr>
          <w:rFonts w:ascii="Arial" w:cs="Arial" w:eastAsia="Arial" w:hAnsi="Arial"/>
          <w:sz w:val="18"/>
          <w:szCs w:val="18"/>
          <w:u w:val="single" w:color="auto"/>
          <w:color w:val="auto"/>
        </w:rPr>
        <w:t>Section 3.01(f)</w:t>
      </w:r>
      <w:r>
        <w:rPr>
          <w:rFonts w:ascii="Arial" w:cs="Arial" w:eastAsia="Arial" w:hAnsi="Arial"/>
          <w:sz w:val="18"/>
          <w:szCs w:val="18"/>
          <w:color w:val="auto"/>
        </w:rPr>
        <w:t xml:space="preserve"> if such beneficial owner were a Lender,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Non-U.S. Lender is a partnership (and not a participant Lender) and one or more beneficial owners are claiming the portfolio interest exemption, such Non-U.S. Lender may provide a U.S. Tax Compliance Certificate on behalf of such beneficial owners; or</w:t>
      </w:r>
    </w:p>
    <w:p>
      <w:pPr>
        <w:spacing w:after="0" w:line="115" w:lineRule="exact"/>
        <w:rPr>
          <w:rFonts w:ascii="Arial" w:cs="Arial" w:eastAsia="Arial" w:hAnsi="Arial"/>
          <w:sz w:val="18"/>
          <w:szCs w:val="18"/>
          <w:color w:val="auto"/>
        </w:rPr>
      </w:pPr>
    </w:p>
    <w:p>
      <w:pPr>
        <w:ind w:left="-540" w:right="140" w:firstLine="807"/>
        <w:spacing w:after="0" w:line="322" w:lineRule="auto"/>
        <w:tabs>
          <w:tab w:leader="none" w:pos="99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other form prescribed by applicable law as a basis for claiming exemption from or a reduction in U.S. federal withholding Taxes, together with such supplementary documentation as may be prescribed by applicable law to permit the U.S. Borrower or the Administrative Agent to reasonably determine the withholding or deduction required to be made.</w:t>
      </w:r>
    </w:p>
    <w:p>
      <w:pPr>
        <w:spacing w:after="0" w:line="45" w:lineRule="exact"/>
        <w:rPr>
          <w:sz w:val="20"/>
          <w:szCs w:val="20"/>
          <w:color w:val="auto"/>
        </w:rPr>
      </w:pPr>
    </w:p>
    <w:p>
      <w:pPr>
        <w:ind w:left="-1200" w:right="60" w:firstLine="1467"/>
        <w:spacing w:after="0" w:line="303" w:lineRule="auto"/>
        <w:tabs>
          <w:tab w:leader="none" w:pos="104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If a payment made to a Lender Party under any Loan Document would be subject to U.S. federal withholding Tax imposed under FATCA if the Lender Party were to fail to comply with the applicable reporting requirements of FATCA (including those contained in Section 1471(b) or 1472(b) of the Code, as applicable), such Lender Party shall deliver to the Administrative Agent and the U.S. Borrower at the time or times prescribed by law, and at such other time or times reasonably requested by the Administrative Agent or the U.S. Borrower, the documentation prescribed by applicable law (including as prescribed by Section 1471(b)(3)(C)(i) of the Code) and such additional documentation reasonably requested by the Administrative Agent or the U.S. Borrower as may be necessary for the Administrative Agent or the U.S. Borrower to comply with its obligations under FATCA and to determine whether the Lender Party has complied with the Lender Party obligations under FATCA, or to determine the amount to deduct and withhold from the payment. Solely for purposes of this clause (iii), “FATCA” shall include any amendments made to FATCA after the date of this Agreement.</w:t>
      </w:r>
    </w:p>
    <w:p>
      <w:pPr>
        <w:spacing w:after="0" w:line="65" w:lineRule="exact"/>
        <w:rPr>
          <w:rFonts w:ascii="Arial" w:cs="Arial" w:eastAsia="Arial" w:hAnsi="Arial"/>
          <w:sz w:val="18"/>
          <w:szCs w:val="18"/>
          <w:color w:val="auto"/>
        </w:rPr>
      </w:pPr>
    </w:p>
    <w:p>
      <w:pPr>
        <w:ind w:left="-1200" w:right="80" w:firstLine="1467"/>
        <w:spacing w:after="0" w:line="405" w:lineRule="auto"/>
        <w:tabs>
          <w:tab w:leader="none" w:pos="1031"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Each Lender Party hereby authorizes the Administrative Agent to deliver to the Loan Parties and to any successor Administrative Agent any documentation provided by such Lender Party to the Administrative Agent pursuant to this </w:t>
      </w:r>
      <w:r>
        <w:rPr>
          <w:rFonts w:ascii="Arial" w:cs="Arial" w:eastAsia="Arial" w:hAnsi="Arial"/>
          <w:sz w:val="16"/>
          <w:szCs w:val="16"/>
          <w:u w:val="single" w:color="auto"/>
          <w:color w:val="auto"/>
        </w:rPr>
        <w:t>Section 3.01(f)</w:t>
      </w:r>
      <w:r>
        <w:rPr>
          <w:rFonts w:ascii="Arial" w:cs="Arial" w:eastAsia="Arial" w:hAnsi="Arial"/>
          <w:sz w:val="16"/>
          <w:szCs w:val="16"/>
          <w:color w:val="auto"/>
        </w:rPr>
        <w:t>.</w:t>
      </w:r>
    </w:p>
    <w:p>
      <w:pPr>
        <w:ind w:left="-1200" w:firstLine="1467"/>
        <w:spacing w:after="0" w:line="274" w:lineRule="auto"/>
        <w:tabs>
          <w:tab w:leader="none" w:pos="975" w:val="left"/>
        </w:tabs>
        <w:numPr>
          <w:ilvl w:val="0"/>
          <w:numId w:val="247"/>
        </w:numPr>
        <w:rPr>
          <w:rFonts w:ascii="Arial" w:cs="Arial" w:eastAsia="Arial" w:hAnsi="Arial"/>
          <w:sz w:val="20"/>
          <w:szCs w:val="20"/>
          <w:color w:val="auto"/>
        </w:rPr>
      </w:pPr>
      <w:r>
        <w:rPr>
          <w:rFonts w:ascii="Arial" w:cs="Arial" w:eastAsia="Arial" w:hAnsi="Arial"/>
          <w:sz w:val="20"/>
          <w:szCs w:val="20"/>
          <w:color w:val="auto"/>
        </w:rPr>
        <w:t xml:space="preserve">Each Lender Party shall, on or before the date it becomes a party hereto, inform the Lead Borrower whether it is an Irish Qualifying Lender by completing and providing to the Lead Borrower a certificate substantially in the form of </w:t>
      </w:r>
      <w:r>
        <w:rPr>
          <w:rFonts w:ascii="Arial" w:cs="Arial" w:eastAsia="Arial" w:hAnsi="Arial"/>
          <w:sz w:val="20"/>
          <w:szCs w:val="20"/>
          <w:u w:val="single" w:color="auto"/>
          <w:color w:val="auto"/>
        </w:rPr>
        <w:t>Exhibit F-2</w:t>
      </w:r>
      <w:r>
        <w:rPr>
          <w:rFonts w:ascii="Arial" w:cs="Arial" w:eastAsia="Arial" w:hAnsi="Arial"/>
          <w:sz w:val="20"/>
          <w:szCs w:val="20"/>
          <w:color w:val="auto"/>
        </w:rPr>
        <w:t xml:space="preserve"> (any such certificate, an “</w:t>
      </w:r>
      <w:r>
        <w:rPr>
          <w:rFonts w:ascii="Arial" w:cs="Arial" w:eastAsia="Arial" w:hAnsi="Arial"/>
          <w:sz w:val="20"/>
          <w:szCs w:val="20"/>
          <w:u w:val="single" w:color="auto"/>
          <w:color w:val="auto"/>
        </w:rPr>
        <w:t>Irish Lender Tax Certificate</w:t>
      </w:r>
      <w:r>
        <w:rPr>
          <w:rFonts w:ascii="Arial" w:cs="Arial" w:eastAsia="Arial" w:hAnsi="Arial"/>
          <w:sz w:val="20"/>
          <w:szCs w:val="20"/>
          <w:color w:val="auto"/>
        </w:rPr>
        <w:t>”). Any such Lender shall also promptly notify the Lead Borrower if it subsequently ceases to be an Irish Qualifying Lender or subsequently becomes an Irish Qualifying Lender.</w:t>
      </w:r>
    </w:p>
    <w:p>
      <w:pPr>
        <w:spacing w:after="0" w:line="84" w:lineRule="exact"/>
        <w:rPr>
          <w:rFonts w:ascii="Arial" w:cs="Arial" w:eastAsia="Arial" w:hAnsi="Arial"/>
          <w:sz w:val="20"/>
          <w:szCs w:val="20"/>
          <w:color w:val="auto"/>
        </w:rPr>
      </w:pPr>
    </w:p>
    <w:p>
      <w:pPr>
        <w:jc w:val="both"/>
        <w:ind w:left="-1200" w:right="20" w:firstLine="1467"/>
        <w:spacing w:after="0" w:line="322" w:lineRule="auto"/>
        <w:tabs>
          <w:tab w:leader="none" w:pos="103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If a Lender Party with respect to a Loan to an Irish Borrower fails to provide the Lead Borrower with a completed Irish Lender Tax Certificate in accordance with </w:t>
      </w:r>
      <w:r>
        <w:rPr>
          <w:rFonts w:ascii="Arial" w:cs="Arial" w:eastAsia="Arial" w:hAnsi="Arial"/>
          <w:sz w:val="18"/>
          <w:szCs w:val="18"/>
          <w:u w:val="single" w:color="auto"/>
          <w:color w:val="auto"/>
        </w:rPr>
        <w:t>Section 3.01(f)(v)</w:t>
      </w:r>
      <w:r>
        <w:rPr>
          <w:rFonts w:ascii="Arial" w:cs="Arial" w:eastAsia="Arial" w:hAnsi="Arial"/>
          <w:sz w:val="18"/>
          <w:szCs w:val="18"/>
          <w:color w:val="auto"/>
        </w:rPr>
        <w:t xml:space="preserve"> then such Lender shall be treated for purposes of this Agreement as if it was not an Irish Qualifying Lender until such time as it provides the Lead Borrower with a completed Irish Qualifying Lender Certificate.</w:t>
      </w:r>
    </w:p>
    <w:p>
      <w:pPr>
        <w:spacing w:after="0" w:line="44" w:lineRule="exact"/>
        <w:rPr>
          <w:rFonts w:ascii="Arial" w:cs="Arial" w:eastAsia="Arial" w:hAnsi="Arial"/>
          <w:sz w:val="18"/>
          <w:szCs w:val="18"/>
          <w:color w:val="auto"/>
        </w:rPr>
      </w:pPr>
    </w:p>
    <w:p>
      <w:pPr>
        <w:ind w:left="-1200" w:firstLine="1467"/>
        <w:spacing w:after="0" w:line="278" w:lineRule="auto"/>
        <w:tabs>
          <w:tab w:leader="none" w:pos="1085" w:val="left"/>
        </w:tabs>
        <w:numPr>
          <w:ilvl w:val="0"/>
          <w:numId w:val="247"/>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in any Loan Document (but subject to the proviso in this </w:t>
      </w:r>
      <w:r>
        <w:rPr>
          <w:rFonts w:ascii="Arial" w:cs="Arial" w:eastAsia="Arial" w:hAnsi="Arial"/>
          <w:sz w:val="20"/>
          <w:szCs w:val="20"/>
          <w:u w:val="single" w:color="auto"/>
          <w:color w:val="auto"/>
        </w:rPr>
        <w:t>Section 3.01(f)</w:t>
      </w:r>
      <w:r>
        <w:rPr>
          <w:rFonts w:ascii="Arial" w:cs="Arial" w:eastAsia="Arial" w:hAnsi="Arial"/>
          <w:sz w:val="20"/>
          <w:szCs w:val="20"/>
          <w:color w:val="auto"/>
        </w:rPr>
        <w:t xml:space="preserve"> </w:t>
      </w:r>
      <w:r>
        <w:rPr>
          <w:rFonts w:ascii="Arial" w:cs="Arial" w:eastAsia="Arial" w:hAnsi="Arial"/>
          <w:sz w:val="20"/>
          <w:szCs w:val="20"/>
          <w:u w:val="single" w:color="auto"/>
          <w:color w:val="auto"/>
        </w:rPr>
        <w:t>(vii</w:t>
      </w:r>
      <w:r>
        <w:rPr>
          <w:rFonts w:ascii="Arial" w:cs="Arial" w:eastAsia="Arial" w:hAnsi="Arial"/>
          <w:sz w:val="20"/>
          <w:szCs w:val="20"/>
          <w:color w:val="auto"/>
        </w:rPr>
        <w:t xml:space="preserve">), no Irish Borrower shall be required to make an increased payment to a Lender Party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or any Loan Document for any Tax Deduction imposed under</w:t>
      </w:r>
    </w:p>
    <w:p>
      <w:pPr>
        <w:spacing w:after="0" w:line="200" w:lineRule="exact"/>
        <w:rPr>
          <w:rFonts w:ascii="Arial" w:cs="Arial" w:eastAsia="Arial" w:hAnsi="Arial"/>
          <w:sz w:val="20"/>
          <w:szCs w:val="20"/>
          <w:color w:val="auto"/>
        </w:rPr>
      </w:pPr>
    </w:p>
    <w:p>
      <w:pPr>
        <w:spacing w:after="0" w:line="324" w:lineRule="exact"/>
        <w:rPr>
          <w:rFonts w:ascii="Arial" w:cs="Arial" w:eastAsia="Arial" w:hAnsi="Arial"/>
          <w:sz w:val="20"/>
          <w:szCs w:val="20"/>
          <w:color w:val="auto"/>
        </w:rPr>
      </w:pPr>
    </w:p>
    <w:p>
      <w:pPr>
        <w:ind w:left="4360" w:hanging="110"/>
        <w:spacing w:after="0"/>
        <w:tabs>
          <w:tab w:leader="none" w:pos="4360" w:val="left"/>
        </w:tabs>
        <w:numPr>
          <w:ilvl w:val="1"/>
          <w:numId w:val="247"/>
        </w:numPr>
        <w:rPr>
          <w:rFonts w:ascii="Arial" w:cs="Arial" w:eastAsia="Arial" w:hAnsi="Arial"/>
          <w:sz w:val="20"/>
          <w:szCs w:val="20"/>
          <w:color w:val="auto"/>
        </w:rPr>
      </w:pPr>
      <w:r>
        <w:rPr>
          <w:rFonts w:ascii="Arial" w:cs="Arial" w:eastAsia="Arial" w:hAnsi="Arial"/>
          <w:sz w:val="20"/>
          <w:szCs w:val="20"/>
          <w:color w:val="auto"/>
        </w:rPr>
        <w:t>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48895</wp:posOffset>
            </wp:positionV>
            <wp:extent cx="72720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120"/>
          </w:cols>
          <w:pgMar w:left="1440" w:top="379" w:right="339" w:bottom="1440" w:gutter="0" w:footer="0" w:header="0"/>
        </w:sectPr>
      </w:pPr>
    </w:p>
    <w:bookmarkStart w:id="301" w:name="page302"/>
    <w:bookmarkEnd w:id="301"/>
    <w:p>
      <w:pPr>
        <w:ind w:right="80"/>
        <w:spacing w:after="0" w:line="269" w:lineRule="auto"/>
        <w:rPr>
          <w:sz w:val="20"/>
          <w:szCs w:val="20"/>
          <w:color w:val="auto"/>
        </w:rPr>
      </w:pPr>
      <w:r>
        <w:rPr>
          <w:rFonts w:ascii="Arial" w:cs="Arial" w:eastAsia="Arial" w:hAnsi="Arial"/>
          <w:sz w:val="18"/>
          <w:szCs w:val="18"/>
          <w:color w:val="auto"/>
        </w:rPr>
        <w:t xml:space="preserve">the laws of Ireland from a payment of interest by any Irish Borrower under a Loan Document if (i) on the date on which the payment falls due the payment could have been made to the relevant Lender Party without a Tax Deduction if the Lender Party was an Irish Qualifying Lender but, on that date, the Lender Party is not or has ceased to be an Irish Qualifying Lender other than as a result of any change after the date it became a Lender Party under a Loan Document in (or in the interpretation, administration, or application of) any law or Treaty, or any published practice or concession of any relevant tax authority, or (ii) the relevant Lender Party is a Treaty Lender and the applicable Irish Borrower is able to demonstrate that the payment could have been made to the Lender Party without the Tax Deduction had the Treaty Lender complied with its obligations under Section </w:t>
      </w:r>
      <w:r>
        <w:rPr>
          <w:rFonts w:ascii="Arial" w:cs="Arial" w:eastAsia="Arial" w:hAnsi="Arial"/>
          <w:sz w:val="18"/>
          <w:szCs w:val="18"/>
          <w:u w:val="single" w:color="auto"/>
          <w:color w:val="auto"/>
        </w:rPr>
        <w:t>3.01(f)(ix)</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(A) if a Lender Party assigns or transfers any of its rights or obligations under the Loan Documents to an assignee Lender Party (or designates a new Lending Office), and at the date of such assignment or transfer (or designation of a new Lending Office) an Irish Borrower would be obliged to make an increased payment to such assignor Lender Party under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then such assignee Lender Party shall be entitled to receive increased payments under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from such Irish Borrower to the same extent such assignor Lender Party would have been entitled to if the assignment or transfer (or designation of new Lending Office) had not occurred; (B) the applicable Irish Borrower shall be required to make increased payments under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to a Lender Party that is an assignee pursuant to a request by the applicable Borrower under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and (C) the applicable Irish Borrower shall be required to make increased payments to a Lender Party under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with respect to any Taxes arising as a result of an Irish Borrower failing to comply with its obligations under </w:t>
      </w:r>
      <w:r>
        <w:rPr>
          <w:rFonts w:ascii="Arial" w:cs="Arial" w:eastAsia="Arial" w:hAnsi="Arial"/>
          <w:sz w:val="18"/>
          <w:szCs w:val="18"/>
          <w:u w:val="single" w:color="auto"/>
          <w:color w:val="auto"/>
        </w:rPr>
        <w:t>Section 3.01(f)(ix)</w:t>
      </w:r>
      <w:r>
        <w:rPr>
          <w:rFonts w:ascii="Arial" w:cs="Arial" w:eastAsia="Arial" w:hAnsi="Arial"/>
          <w:sz w:val="18"/>
          <w:szCs w:val="18"/>
          <w:color w:val="auto"/>
        </w:rPr>
        <w:t>.</w:t>
      </w:r>
    </w:p>
    <w:p>
      <w:pPr>
        <w:spacing w:after="0" w:line="153" w:lineRule="exact"/>
        <w:rPr>
          <w:sz w:val="20"/>
          <w:szCs w:val="20"/>
          <w:color w:val="auto"/>
        </w:rPr>
      </w:pPr>
    </w:p>
    <w:p>
      <w:pPr>
        <w:ind w:right="320" w:firstLine="1467"/>
        <w:spacing w:after="0" w:line="322" w:lineRule="auto"/>
        <w:tabs>
          <w:tab w:leader="none" w:pos="23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Upon request from an Irish Borrower, each Lender Party with respect to a Loan to an Irish Borrower shall promptly provide such information as shall be reasonably requested to enable such Irish Borrower to comply with the provisions of sections 891A</w:t>
      </w:r>
      <w:r>
        <w:rPr>
          <w:rFonts w:ascii="Arial" w:cs="Arial" w:eastAsia="Arial" w:hAnsi="Arial"/>
          <w:sz w:val="18"/>
          <w:szCs w:val="18"/>
          <w:u w:val="single" w:color="auto"/>
          <w:color w:val="0000FF"/>
        </w:rPr>
        <w:t>, 891E, 891F</w:t>
      </w:r>
      <w:r>
        <w:rPr>
          <w:rFonts w:ascii="Arial" w:cs="Arial" w:eastAsia="Arial" w:hAnsi="Arial"/>
          <w:sz w:val="18"/>
          <w:szCs w:val="18"/>
          <w:color w:val="auto"/>
        </w:rPr>
        <w:t xml:space="preserve"> and 891</w:t>
      </w:r>
      <w:r>
        <w:rPr>
          <w:rFonts w:ascii="Arial" w:cs="Arial" w:eastAsia="Arial" w:hAnsi="Arial"/>
          <w:sz w:val="18"/>
          <w:szCs w:val="18"/>
          <w:color w:val="FF0000"/>
          <w:strike w:val="1"/>
        </w:rPr>
        <w:t>E</w:t>
      </w:r>
      <w:r>
        <w:rPr>
          <w:rFonts w:ascii="Arial" w:cs="Arial" w:eastAsia="Arial" w:hAnsi="Arial"/>
          <w:sz w:val="18"/>
          <w:szCs w:val="18"/>
          <w:u w:val="single" w:color="auto"/>
          <w:color w:val="0000FF"/>
        </w:rPr>
        <w:t>G</w:t>
      </w:r>
      <w:r>
        <w:rPr>
          <w:rFonts w:ascii="Arial" w:cs="Arial" w:eastAsia="Arial" w:hAnsi="Arial"/>
          <w:sz w:val="18"/>
          <w:szCs w:val="18"/>
          <w:color w:val="auto"/>
        </w:rPr>
        <w:t xml:space="preserve"> of the TCA (or any regulations made in respect of or in connection with such sections).</w:t>
      </w:r>
    </w:p>
    <w:p>
      <w:pPr>
        <w:spacing w:after="0" w:line="112" w:lineRule="exact"/>
        <w:rPr>
          <w:rFonts w:ascii="Arial" w:cs="Arial" w:eastAsia="Arial" w:hAnsi="Arial"/>
          <w:sz w:val="18"/>
          <w:szCs w:val="18"/>
          <w:color w:val="auto"/>
        </w:rPr>
      </w:pPr>
    </w:p>
    <w:p>
      <w:pPr>
        <w:ind w:right="580" w:firstLine="1467"/>
        <w:spacing w:after="0" w:line="299" w:lineRule="auto"/>
        <w:tabs>
          <w:tab w:leader="none" w:pos="2231" w:val="left"/>
        </w:tabs>
        <w:numPr>
          <w:ilvl w:val="0"/>
          <w:numId w:val="248"/>
        </w:numPr>
        <w:rPr>
          <w:rFonts w:ascii="Arial" w:cs="Arial" w:eastAsia="Arial" w:hAnsi="Arial"/>
          <w:sz w:val="19"/>
          <w:szCs w:val="19"/>
          <w:color w:val="auto"/>
        </w:rPr>
      </w:pPr>
      <w:r>
        <w:rPr>
          <w:rFonts w:ascii="Arial" w:cs="Arial" w:eastAsia="Arial" w:hAnsi="Arial"/>
          <w:sz w:val="19"/>
          <w:szCs w:val="19"/>
          <w:color w:val="auto"/>
        </w:rPr>
        <w:t>Each Treaty Lender and each applicable Irish Borrower that makes a payment to which that Treaty Lender is entitled shall cooperate in completing any procedural formalities as may be necessary or advisable for such Irish Borrower to obtain authorization to make such payment without any Tax Deduction imposed under the laws of Ireland.</w:t>
      </w:r>
    </w:p>
    <w:p>
      <w:pPr>
        <w:spacing w:after="0" w:line="115"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 xml:space="preserve">Notwithstanding any other provision of this </w:t>
      </w:r>
      <w:r>
        <w:rPr>
          <w:rFonts w:ascii="Arial" w:cs="Arial" w:eastAsia="Arial" w:hAnsi="Arial"/>
          <w:sz w:val="20"/>
          <w:szCs w:val="20"/>
          <w:u w:val="single" w:color="auto"/>
          <w:color w:val="auto"/>
        </w:rPr>
        <w:t>Section 3.01(f)</w:t>
      </w:r>
      <w:r>
        <w:rPr>
          <w:rFonts w:ascii="Arial" w:cs="Arial" w:eastAsia="Arial" w:hAnsi="Arial"/>
          <w:sz w:val="20"/>
          <w:szCs w:val="20"/>
          <w:color w:val="auto"/>
        </w:rPr>
        <w:t>, a Lender Party shall not be required to deliver any form or other documentation that such Lender Party is not legally eligible to deliver.</w:t>
      </w:r>
    </w:p>
    <w:p>
      <w:pPr>
        <w:spacing w:after="0" w:line="150" w:lineRule="exact"/>
        <w:rPr>
          <w:sz w:val="20"/>
          <w:szCs w:val="20"/>
          <w:color w:val="auto"/>
        </w:rPr>
      </w:pPr>
    </w:p>
    <w:p>
      <w:pPr>
        <w:ind w:left="2180" w:hanging="875"/>
        <w:spacing w:after="0"/>
        <w:tabs>
          <w:tab w:leader="none" w:pos="2180" w:val="left"/>
        </w:tabs>
        <w:numPr>
          <w:ilvl w:val="0"/>
          <w:numId w:val="249"/>
        </w:numPr>
        <w:rPr>
          <w:rFonts w:ascii="Arial" w:cs="Arial" w:eastAsia="Arial" w:hAnsi="Arial"/>
          <w:sz w:val="20"/>
          <w:szCs w:val="20"/>
          <w:color w:val="auto"/>
        </w:rPr>
      </w:pPr>
      <w:r>
        <w:rPr>
          <w:rFonts w:ascii="Arial" w:cs="Arial" w:eastAsia="Arial" w:hAnsi="Arial"/>
          <w:sz w:val="20"/>
          <w:szCs w:val="20"/>
          <w:i w:val="1"/>
          <w:iCs w:val="1"/>
          <w:u w:val="single" w:color="auto"/>
          <w:color w:val="auto"/>
        </w:rPr>
        <w:t>VAT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right="140" w:firstLine="1467"/>
        <w:spacing w:after="0" w:line="363" w:lineRule="auto"/>
        <w:tabs>
          <w:tab w:leader="none" w:pos="2132" w:val="left"/>
        </w:tabs>
        <w:numPr>
          <w:ilvl w:val="1"/>
          <w:numId w:val="249"/>
        </w:numPr>
        <w:rPr>
          <w:rFonts w:ascii="Arial" w:cs="Arial" w:eastAsia="Arial" w:hAnsi="Arial"/>
          <w:sz w:val="16"/>
          <w:szCs w:val="16"/>
          <w:color w:val="auto"/>
        </w:rPr>
      </w:pPr>
      <w:r>
        <w:rPr>
          <w:rFonts w:ascii="Arial" w:cs="Arial" w:eastAsia="Arial" w:hAnsi="Arial"/>
          <w:sz w:val="16"/>
          <w:szCs w:val="16"/>
          <w:color w:val="auto"/>
        </w:rPr>
        <w:t>All amounts expressed to be payable under a Finance Document by any party to a Finance Party are deemed to be exclusive of any VAT which is chargeable on that supply, and accordingly, subject to paragraph (ii) below, if VAT is or becomes chargeable on any supply made by any Finance Party to any party in connection with a Finance Document, that party shall pay to such Finance Party (in addition to and at the same time as paying any other consideration for such supply) an amount equal to the amount of the VAT.</w:t>
      </w:r>
    </w:p>
    <w:p>
      <w:pPr>
        <w:spacing w:after="0" w:line="88" w:lineRule="exact"/>
        <w:rPr>
          <w:rFonts w:ascii="Arial" w:cs="Arial" w:eastAsia="Arial" w:hAnsi="Arial"/>
          <w:sz w:val="16"/>
          <w:szCs w:val="16"/>
          <w:color w:val="auto"/>
        </w:rPr>
      </w:pPr>
    </w:p>
    <w:p>
      <w:pPr>
        <w:ind w:firstLine="1467"/>
        <w:spacing w:after="0" w:line="299" w:lineRule="auto"/>
        <w:tabs>
          <w:tab w:leader="none" w:pos="2186" w:val="left"/>
        </w:tabs>
        <w:numPr>
          <w:ilvl w:val="1"/>
          <w:numId w:val="249"/>
        </w:numPr>
        <w:rPr>
          <w:rFonts w:ascii="Arial" w:cs="Arial" w:eastAsia="Arial" w:hAnsi="Arial"/>
          <w:sz w:val="19"/>
          <w:szCs w:val="19"/>
          <w:color w:val="auto"/>
        </w:rPr>
      </w:pPr>
      <w:r>
        <w:rPr>
          <w:rFonts w:ascii="Arial" w:cs="Arial" w:eastAsia="Arial" w:hAnsi="Arial"/>
          <w:sz w:val="19"/>
          <w:szCs w:val="19"/>
          <w:color w:val="auto"/>
        </w:rPr>
        <w:t>If VAT is or becomes chargeable on any supply made by any Finance Party (the “</w:t>
      </w:r>
      <w:r>
        <w:rPr>
          <w:rFonts w:ascii="Arial" w:cs="Arial" w:eastAsia="Arial" w:hAnsi="Arial"/>
          <w:sz w:val="19"/>
          <w:szCs w:val="19"/>
          <w:u w:val="single" w:color="auto"/>
          <w:color w:val="auto"/>
        </w:rPr>
        <w:t>Supplier</w:t>
      </w:r>
      <w:r>
        <w:rPr>
          <w:rFonts w:ascii="Arial" w:cs="Arial" w:eastAsia="Arial" w:hAnsi="Arial"/>
          <w:sz w:val="19"/>
          <w:szCs w:val="19"/>
          <w:color w:val="auto"/>
        </w:rPr>
        <w:t>”) to any other Finance Party (the “</w:t>
      </w:r>
      <w:r>
        <w:rPr>
          <w:rFonts w:ascii="Arial" w:cs="Arial" w:eastAsia="Arial" w:hAnsi="Arial"/>
          <w:sz w:val="19"/>
          <w:szCs w:val="19"/>
          <w:u w:val="single" w:color="auto"/>
          <w:color w:val="auto"/>
        </w:rPr>
        <w:t>Recipient</w:t>
      </w:r>
      <w:r>
        <w:rPr>
          <w:rFonts w:ascii="Arial" w:cs="Arial" w:eastAsia="Arial" w:hAnsi="Arial"/>
          <w:sz w:val="19"/>
          <w:szCs w:val="19"/>
          <w:color w:val="auto"/>
        </w:rPr>
        <w:t>”) in connection with a Finance Document, and any party other than the Recipient (the “</w:t>
      </w:r>
      <w:r>
        <w:rPr>
          <w:rFonts w:ascii="Arial" w:cs="Arial" w:eastAsia="Arial" w:hAnsi="Arial"/>
          <w:sz w:val="19"/>
          <w:szCs w:val="19"/>
          <w:u w:val="single" w:color="auto"/>
          <w:color w:val="auto"/>
        </w:rPr>
        <w:t>Relevant Party</w:t>
      </w:r>
      <w:r>
        <w:rPr>
          <w:rFonts w:ascii="Arial" w:cs="Arial" w:eastAsia="Arial" w:hAnsi="Arial"/>
          <w:sz w:val="19"/>
          <w:szCs w:val="19"/>
          <w:color w:val="auto"/>
        </w:rPr>
        <w:t>”) is required by the terms of any Finance Document to pay an amount equal to the consideration for that supply to the Supplier:</w:t>
      </w:r>
    </w:p>
    <w:p>
      <w:pPr>
        <w:spacing w:after="0" w:line="129" w:lineRule="exact"/>
        <w:rPr>
          <w:sz w:val="20"/>
          <w:szCs w:val="20"/>
          <w:color w:val="auto"/>
        </w:rPr>
      </w:pPr>
    </w:p>
    <w:p>
      <w:pPr>
        <w:ind w:left="660" w:right="300" w:firstLine="807"/>
        <w:spacing w:after="0" w:line="278" w:lineRule="auto"/>
        <w:tabs>
          <w:tab w:leader="none" w:pos="2231" w:val="left"/>
        </w:tabs>
        <w:numPr>
          <w:ilvl w:val="0"/>
          <w:numId w:val="250"/>
        </w:numPr>
        <w:rPr>
          <w:rFonts w:ascii="Arial" w:cs="Arial" w:eastAsia="Arial" w:hAnsi="Arial"/>
          <w:sz w:val="20"/>
          <w:szCs w:val="20"/>
          <w:color w:val="auto"/>
        </w:rPr>
      </w:pPr>
      <w:r>
        <w:rPr>
          <w:rFonts w:ascii="Arial" w:cs="Arial" w:eastAsia="Arial" w:hAnsi="Arial"/>
          <w:sz w:val="20"/>
          <w:szCs w:val="20"/>
          <w:color w:val="auto"/>
        </w:rPr>
        <w:t>where the Supplier is the person required to account to the relevant tax authority for the VAT, the Relevant Party shall also pay to the Supplier (at the same time as paying that amount) an additional amount equal to the amount of the VAT. The Recipient shall (where this</w:t>
      </w:r>
    </w:p>
    <w:p>
      <w:pPr>
        <w:spacing w:after="0" w:line="200" w:lineRule="exact"/>
        <w:rPr>
          <w:rFonts w:ascii="Arial" w:cs="Arial" w:eastAsia="Arial" w:hAnsi="Arial"/>
          <w:sz w:val="20"/>
          <w:szCs w:val="20"/>
          <w:color w:val="auto"/>
        </w:rPr>
      </w:pPr>
    </w:p>
    <w:p>
      <w:pPr>
        <w:spacing w:after="0" w:line="391" w:lineRule="exact"/>
        <w:rPr>
          <w:rFonts w:ascii="Arial" w:cs="Arial" w:eastAsia="Arial" w:hAnsi="Arial"/>
          <w:sz w:val="20"/>
          <w:szCs w:val="20"/>
          <w:color w:val="auto"/>
        </w:rPr>
      </w:pPr>
    </w:p>
    <w:p>
      <w:pPr>
        <w:ind w:left="5560" w:hanging="110"/>
        <w:spacing w:after="0"/>
        <w:tabs>
          <w:tab w:leader="none" w:pos="5560" w:val="left"/>
        </w:tabs>
        <w:numPr>
          <w:ilvl w:val="1"/>
          <w:numId w:val="250"/>
        </w:numPr>
        <w:rPr>
          <w:rFonts w:ascii="Arial" w:cs="Arial" w:eastAsia="Arial" w:hAnsi="Arial"/>
          <w:sz w:val="20"/>
          <w:szCs w:val="20"/>
          <w:color w:val="auto"/>
        </w:rPr>
      </w:pPr>
      <w:r>
        <w:rPr>
          <w:rFonts w:ascii="Arial" w:cs="Arial" w:eastAsia="Arial" w:hAnsi="Arial"/>
          <w:sz w:val="20"/>
          <w:szCs w:val="20"/>
          <w:color w:val="auto"/>
        </w:rPr>
        <w:t>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302" w:name="page303"/>
    <w:bookmarkEnd w:id="302"/>
    <w:p>
      <w:pPr>
        <w:ind w:left="660" w:right="240"/>
        <w:spacing w:after="0" w:line="287" w:lineRule="auto"/>
        <w:rPr>
          <w:sz w:val="20"/>
          <w:szCs w:val="20"/>
          <w:color w:val="auto"/>
        </w:rPr>
      </w:pPr>
      <w:r>
        <w:rPr>
          <w:rFonts w:ascii="Arial" w:cs="Arial" w:eastAsia="Arial" w:hAnsi="Arial"/>
          <w:sz w:val="19"/>
          <w:szCs w:val="19"/>
          <w:u w:val="single" w:color="auto"/>
          <w:color w:val="auto"/>
        </w:rPr>
        <w:t>Section 3.01(g)(ii)(A)</w:t>
      </w:r>
      <w:r>
        <w:rPr>
          <w:rFonts w:ascii="Arial" w:cs="Arial" w:eastAsia="Arial" w:hAnsi="Arial"/>
          <w:sz w:val="19"/>
          <w:szCs w:val="19"/>
          <w:color w:val="auto"/>
        </w:rPr>
        <w:t xml:space="preserve"> applies) promptly pay to the Relevant Party an amount equal to any credit or repayment the Recipient receives from the relevant tax authority which the Recipient determines relates to the VAT chargeable on that supply; and</w:t>
      </w:r>
    </w:p>
    <w:p>
      <w:pPr>
        <w:spacing w:after="0" w:line="126" w:lineRule="exact"/>
        <w:rPr>
          <w:sz w:val="20"/>
          <w:szCs w:val="20"/>
          <w:color w:val="auto"/>
        </w:rPr>
      </w:pPr>
    </w:p>
    <w:p>
      <w:pPr>
        <w:jc w:val="both"/>
        <w:ind w:left="660" w:right="80" w:firstLine="807"/>
        <w:spacing w:after="0" w:line="274" w:lineRule="auto"/>
        <w:tabs>
          <w:tab w:leader="none" w:pos="222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where the Recipient is the person required to account to the relevant tax authority for the VAT, the Relevant Party shall promptly, following demand from the Recipient, pay to the Recipient an amount equal to the VAT chargeable on that supply but only to the extent that the Recipient determines that it is not entitled to credit or repayment from the relevant tax authority in respect of that VAT.</w:t>
      </w:r>
    </w:p>
    <w:p>
      <w:pPr>
        <w:spacing w:after="0" w:line="152" w:lineRule="exact"/>
        <w:rPr>
          <w:sz w:val="20"/>
          <w:szCs w:val="20"/>
          <w:color w:val="auto"/>
        </w:rPr>
      </w:pPr>
    </w:p>
    <w:p>
      <w:pPr>
        <w:ind w:right="60" w:firstLine="1467"/>
        <w:spacing w:after="0" w:line="274" w:lineRule="auto"/>
        <w:tabs>
          <w:tab w:leader="none" w:pos="2241" w:val="left"/>
        </w:tabs>
        <w:numPr>
          <w:ilvl w:val="0"/>
          <w:numId w:val="252"/>
        </w:numPr>
        <w:rPr>
          <w:rFonts w:ascii="Arial" w:cs="Arial" w:eastAsia="Arial" w:hAnsi="Arial"/>
          <w:sz w:val="20"/>
          <w:szCs w:val="20"/>
          <w:color w:val="auto"/>
        </w:rPr>
      </w:pPr>
      <w:r>
        <w:rPr>
          <w:rFonts w:ascii="Arial" w:cs="Arial" w:eastAsia="Arial" w:hAnsi="Arial"/>
          <w:sz w:val="20"/>
          <w:szCs w:val="20"/>
          <w:color w:val="auto"/>
        </w:rPr>
        <w:t xml:space="preserve">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w:t>
      </w:r>
      <w:r>
        <w:rPr>
          <w:rFonts w:ascii="Arial" w:cs="Arial" w:eastAsia="Arial" w:hAnsi="Arial"/>
          <w:sz w:val="20"/>
          <w:szCs w:val="20"/>
          <w:u w:val="single" w:color="auto"/>
          <w:color w:val="auto"/>
        </w:rPr>
        <w:t>determines</w:t>
      </w:r>
      <w:r>
        <w:rPr>
          <w:rFonts w:ascii="Arial" w:cs="Arial" w:eastAsia="Arial" w:hAnsi="Arial"/>
          <w:sz w:val="20"/>
          <w:szCs w:val="20"/>
          <w:color w:val="auto"/>
        </w:rPr>
        <w:t xml:space="preserve"> that it is entitled to credit or repayment in respect of such VAT from the relevant tax authority.</w:t>
      </w:r>
    </w:p>
    <w:p>
      <w:pPr>
        <w:spacing w:after="0" w:line="151" w:lineRule="exact"/>
        <w:rPr>
          <w:rFonts w:ascii="Arial" w:cs="Arial" w:eastAsia="Arial" w:hAnsi="Arial"/>
          <w:sz w:val="20"/>
          <w:szCs w:val="20"/>
          <w:color w:val="auto"/>
        </w:rPr>
      </w:pPr>
    </w:p>
    <w:p>
      <w:pPr>
        <w:ind w:right="20" w:firstLine="1467"/>
        <w:spacing w:after="0" w:line="305" w:lineRule="auto"/>
        <w:tabs>
          <w:tab w:leader="none" w:pos="223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Any reference in this </w:t>
      </w:r>
      <w:r>
        <w:rPr>
          <w:rFonts w:ascii="Arial" w:cs="Arial" w:eastAsia="Arial" w:hAnsi="Arial"/>
          <w:sz w:val="18"/>
          <w:szCs w:val="18"/>
          <w:u w:val="single" w:color="auto"/>
          <w:color w:val="auto"/>
        </w:rPr>
        <w:t>Section 3.01(g)</w:t>
      </w:r>
      <w:r>
        <w:rPr>
          <w:rFonts w:ascii="Arial" w:cs="Arial" w:eastAsia="Arial" w:hAnsi="Arial"/>
          <w:sz w:val="18"/>
          <w:szCs w:val="18"/>
          <w:color w:val="auto"/>
        </w:rPr>
        <w:t xml:space="preserve"> to any party shall, at any time when such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representative member (or head) of that group or unity (or fiscal unity) at the relevant time (as the case may be).</w:t>
      </w:r>
    </w:p>
    <w:p>
      <w:pPr>
        <w:spacing w:after="0" w:line="130" w:lineRule="exact"/>
        <w:rPr>
          <w:rFonts w:ascii="Arial" w:cs="Arial" w:eastAsia="Arial" w:hAnsi="Arial"/>
          <w:sz w:val="18"/>
          <w:szCs w:val="18"/>
          <w:color w:val="auto"/>
        </w:rPr>
      </w:pPr>
    </w:p>
    <w:p>
      <w:pPr>
        <w:ind w:right="240" w:firstLine="1467"/>
        <w:spacing w:after="0" w:line="322" w:lineRule="auto"/>
        <w:tabs>
          <w:tab w:leader="none" w:pos="217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relation to any supply made by a Finance Party to any party under a Finance Document, if requested by such Finance Party, that party shall promptly provide such Finance Party with details of that party's VAT registration (if applicable) and such other information as is requested in connection with such Finance Party’s VAT reporting requirements in relation to such supply.</w:t>
      </w:r>
    </w:p>
    <w:p>
      <w:pPr>
        <w:spacing w:after="0" w:line="93" w:lineRule="exact"/>
        <w:rPr>
          <w:sz w:val="20"/>
          <w:szCs w:val="20"/>
          <w:color w:val="auto"/>
        </w:rPr>
      </w:pPr>
    </w:p>
    <w:p>
      <w:pPr>
        <w:ind w:firstLine="1297"/>
        <w:spacing w:after="0" w:line="270" w:lineRule="auto"/>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u w:val="single" w:color="auto"/>
          <w:color w:val="auto"/>
        </w:rPr>
        <w:t>Illegality</w:t>
      </w:r>
      <w:r>
        <w:rPr>
          <w:rFonts w:ascii="Arial" w:cs="Arial" w:eastAsia="Arial" w:hAnsi="Arial"/>
          <w:sz w:val="18"/>
          <w:szCs w:val="18"/>
          <w:color w:val="auto"/>
        </w:rPr>
        <w:t>. If any Lender determines that any Law has made it unlawful, or that any Governmental Authority has</w:t>
      </w:r>
      <w:r>
        <w:rPr>
          <w:rFonts w:ascii="Arial" w:cs="Arial" w:eastAsia="Arial" w:hAnsi="Arial"/>
          <w:sz w:val="18"/>
          <w:szCs w:val="18"/>
          <w:b w:val="1"/>
          <w:bCs w:val="1"/>
          <w:color w:val="auto"/>
        </w:rPr>
        <w:t xml:space="preserve"> </w:t>
      </w:r>
      <w:r>
        <w:rPr>
          <w:rFonts w:ascii="Arial" w:cs="Arial" w:eastAsia="Arial" w:hAnsi="Arial"/>
          <w:sz w:val="18"/>
          <w:szCs w:val="18"/>
          <w:color w:val="auto"/>
        </w:rPr>
        <w:t>asserted that it is unlawful, for any Lender or its applicable Lending Office to make, maintain or fund Loans whose interest is determined by reference to the Adjusted Eurodollar Rate, or to determine or charge interest rates based upon the Adjusted Eurodollar Rate, or any Governmental Authority has imposed material restrictions on the authority of such Lender to purchase or sell, or to take deposits of, Dollars in the London interbank market, then, upon notice thereof by such Lender to the applicable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Adjusted Eurodollar Rate component of the Base Rate, the interest rate on which Base Rate Loans of such Lender shall, if necessary to avoid such illegality, be determined by the Administrative Agent without reference to the Adjusted Eurodollar Rate component of the Base Rate, in each case until such Lender notifies the Administrative Agent and the applicable Borrower that the circumstances giving rise to such determination no longer exist. Upon receipt of such notice, (x) the applicable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Adjusted Eurodollar Rate component of the Base Rate), either on the last day of</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303" w:name="page304"/>
    <w:bookmarkEnd w:id="303"/>
    <w:p>
      <w:pPr>
        <w:ind w:right="20"/>
        <w:spacing w:after="0" w:line="274" w:lineRule="auto"/>
        <w:rPr>
          <w:sz w:val="20"/>
          <w:szCs w:val="20"/>
          <w:color w:val="auto"/>
        </w:rPr>
      </w:pPr>
      <w:r>
        <w:rPr>
          <w:rFonts w:ascii="Arial" w:cs="Arial" w:eastAsia="Arial" w:hAnsi="Arial"/>
          <w:sz w:val="18"/>
          <w:szCs w:val="18"/>
          <w:color w:val="auto"/>
        </w:rPr>
        <w:t xml:space="preserve">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Adjusted Eurodollar Rate, the Administrative Agent shall during the period of such suspension compute the Base Rate applicable to such Lender without reference to the Adjusted Eurodollar Rate component thereof until the Administrative Agent is advised in writing by such Lender that it is no longer illegal for such Lender to determine or charge interest rates based upon the Adjusted Eurodollar Rate. Upon any such prepayment or conversion, the applicable Borrower shall also pay accrued interest on the amount so prepaid or converted,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129" w:lineRule="exact"/>
        <w:rPr>
          <w:sz w:val="20"/>
          <w:szCs w:val="20"/>
          <w:color w:val="auto"/>
        </w:rPr>
      </w:pPr>
    </w:p>
    <w:p>
      <w:pPr>
        <w:ind w:firstLine="1297"/>
        <w:spacing w:after="0" w:line="270" w:lineRule="auto"/>
        <w:rPr>
          <w:sz w:val="20"/>
          <w:szCs w:val="20"/>
          <w:color w:val="auto"/>
        </w:rPr>
      </w:pPr>
      <w:r>
        <w:rPr>
          <w:rFonts w:ascii="Arial" w:cs="Arial" w:eastAsia="Arial" w:hAnsi="Arial"/>
          <w:sz w:val="18"/>
          <w:szCs w:val="18"/>
          <w:color w:val="auto"/>
        </w:rPr>
        <w:t>If, in any applicable jurisdiction, the Administrative Agent, the L/C Issuer or any Lender or any Designated Lender determines that any Law has made it unlawful, or that any Governmental Authority has asserted that it is unlawful, for the Administrative Agent, the L/C Issuer or any Lender or its applicable Designated Lender to (i) perform any of its obligations hereunder or under any other Loan Document, (ii) to fund or maintain its participation in any Loan or (iii) issue, make, maintain, fund or charge interest with respect to any Credit Extension to any Borrower who is organized under the laws of a jurisdiction other than the United States, a State thereof or the District of Columbia, such Person shall promptly notify the Administrative Agent, and then, upon the Administrative Agent notifying Parent, and until such notice by such Person is revoked, any obligation of such Person to issue, make, maintain, fund or charge interest with respect to any such Credit Extension shall be suspended, and to the extent required by applicable Law, cancelled. Upon receipt of such notice, the Loan Parties shall, (A) to the extent required by Law to be repaid, repay that Person’s participation in the Loans or other applicable Finance Obligations on the last day of the Interest Period for each Loan or other Finance Obligation occurring after the Administrative Agent has notified Parent or,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30" w:lineRule="exact"/>
        <w:rPr>
          <w:sz w:val="20"/>
          <w:szCs w:val="20"/>
          <w:color w:val="auto"/>
        </w:rPr>
      </w:pPr>
    </w:p>
    <w:p>
      <w:pPr>
        <w:ind w:right="60" w:firstLine="1297"/>
        <w:spacing w:after="0" w:line="270" w:lineRule="auto"/>
        <w:rPr>
          <w:sz w:val="20"/>
          <w:szCs w:val="20"/>
          <w:color w:val="auto"/>
        </w:rPr>
      </w:pPr>
      <w:r>
        <w:rPr>
          <w:rFonts w:ascii="Arial" w:cs="Arial" w:eastAsia="Arial" w:hAnsi="Arial"/>
          <w:sz w:val="18"/>
          <w:szCs w:val="18"/>
          <w:b w:val="1"/>
          <w:bCs w:val="1"/>
          <w:color w:val="auto"/>
        </w:rPr>
        <w:t xml:space="preserve">Section 3.03 </w:t>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 If in connection with any request for a Eurodollar Loan or a conversion to or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 thereof, (a) the Administrative Agent determines that (i) Dollar deposits are not being offered to banks in the London interbank market for the applicable amount and Interest Period of such Eurodollar Loan, or (ii) adequate and reasonable means do not exist for determining the Eurodollar Rate for any requested Interest Period with respect to a proposed Eurodollar Loan or in connection with an existing or proposed Base Rate Loan (in each case with respect to clause (a) (i) above, “</w:t>
      </w:r>
      <w:r>
        <w:rPr>
          <w:rFonts w:ascii="Arial" w:cs="Arial" w:eastAsia="Arial" w:hAnsi="Arial"/>
          <w:sz w:val="18"/>
          <w:szCs w:val="18"/>
          <w:u w:val="single" w:color="auto"/>
          <w:color w:val="auto"/>
        </w:rPr>
        <w:t>Impacted Loans</w:t>
      </w:r>
      <w:r>
        <w:rPr>
          <w:rFonts w:ascii="Arial" w:cs="Arial" w:eastAsia="Arial" w:hAnsi="Arial"/>
          <w:sz w:val="18"/>
          <w:szCs w:val="18"/>
          <w:color w:val="auto"/>
        </w:rPr>
        <w:t>”), or (b) the Administrative Agent or the Required Lenders determine that for any reason the Eurodollar Rate for any requested Interest Period with respect to a proposed Eurodollar Loan does not adequately and fairly reflect the cost to such Lenders of funding such Eurodollar Loan, the Administrative Agent will promptly so notify the Lead Borrower and each Lender. Thereafter, (x) the obligation of the Lenders to make or maintain Eurodollar Loans shall be suspended (to the extent of the affected Eurodollar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Lead Borrower may revoke any pending request for a Borrowing of, conversion to or continuation of Eurodollar Loans (to the extent of the affected Eurodollar Loans or Interest Periods) or, failing that, will be deemed to have converted such request into a request for a Borrowing of Base Rate Loans in the amount specified therein.</w:t>
      </w:r>
    </w:p>
    <w:p>
      <w:pPr>
        <w:spacing w:after="0" w:line="136" w:lineRule="exact"/>
        <w:rPr>
          <w:sz w:val="20"/>
          <w:szCs w:val="20"/>
          <w:color w:val="auto"/>
        </w:rPr>
      </w:pPr>
    </w:p>
    <w:p>
      <w:pPr>
        <w:ind w:right="540" w:firstLine="1297"/>
        <w:spacing w:after="0" w:line="260" w:lineRule="auto"/>
        <w:rPr>
          <w:sz w:val="20"/>
          <w:szCs w:val="20"/>
          <w:color w:val="auto"/>
        </w:rPr>
      </w:pPr>
      <w:r>
        <w:rPr>
          <w:rFonts w:ascii="Arial" w:cs="Arial" w:eastAsia="Arial" w:hAnsi="Arial"/>
          <w:sz w:val="20"/>
          <w:szCs w:val="20"/>
          <w:color w:val="auto"/>
        </w:rPr>
        <w:t>Notwithstanding the foregoing, if the Administrative Agent has made the determination described in clause (a) (i) of this Section, the Administrative Agent, in consultation with the Lead</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304" w:name="page305"/>
    <w:bookmarkEnd w:id="304"/>
    <w:p>
      <w:pPr>
        <w:ind w:right="20"/>
        <w:spacing w:after="0" w:line="243" w:lineRule="auto"/>
        <w:rPr>
          <w:sz w:val="20"/>
          <w:szCs w:val="20"/>
          <w:color w:val="auto"/>
        </w:rPr>
      </w:pPr>
      <w:r>
        <w:rPr>
          <w:rFonts w:ascii="Arial" w:cs="Arial" w:eastAsia="Arial" w:hAnsi="Arial"/>
          <w:sz w:val="20"/>
          <w:szCs w:val="20"/>
          <w:color w:val="auto"/>
        </w:rPr>
        <w:t>Borrower and the affected Lenders, may establish an alternative interest rate for the Impacted Loans</w:t>
      </w:r>
      <w:r>
        <w:rPr>
          <w:rFonts w:ascii="Arial" w:cs="Arial" w:eastAsia="Arial" w:hAnsi="Arial"/>
          <w:sz w:val="20"/>
          <w:szCs w:val="20"/>
          <w:b w:val="1"/>
          <w:bCs w:val="1"/>
          <w:color w:val="auto"/>
        </w:rPr>
        <w:t>,</w:t>
      </w:r>
      <w:r>
        <w:rPr>
          <w:rFonts w:ascii="Arial" w:cs="Arial" w:eastAsia="Arial" w:hAnsi="Arial"/>
          <w:sz w:val="20"/>
          <w:szCs w:val="20"/>
          <w:color w:val="auto"/>
        </w:rPr>
        <w:t xml:space="preserve"> in which case, such alternative rate of interest shall apply with respect to the Impacted Loans until (1) the Administrative Agent revokes the notice delivered with respect to the Impacted Loans under clause (a) of the first sentence of this Section, (2) the Administrative Agent or the Required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Lead Borrower written notice thereof.</w:t>
      </w:r>
    </w:p>
    <w:p>
      <w:pPr>
        <w:spacing w:after="0" w:line="146"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3.04</w:t>
      </w:r>
      <w:r>
        <w:rPr>
          <w:sz w:val="20"/>
          <w:szCs w:val="20"/>
          <w:color w:val="auto"/>
        </w:rPr>
        <w:tab/>
      </w:r>
      <w:r>
        <w:rPr>
          <w:rFonts w:ascii="Arial" w:cs="Arial" w:eastAsia="Arial" w:hAnsi="Arial"/>
          <w:sz w:val="16"/>
          <w:szCs w:val="16"/>
          <w:u w:val="single" w:color="auto"/>
          <w:color w:val="auto"/>
        </w:rPr>
        <w:t>Increased Costs and Reduced Return; Capital Adequacy</w:t>
      </w:r>
      <w:r>
        <w:rPr>
          <w:rFonts w:ascii="Arial" w:cs="Arial" w:eastAsia="Arial" w:hAnsi="Arial"/>
          <w:sz w:val="16"/>
          <w:szCs w:val="16"/>
          <w:color w:val="auto"/>
        </w:rPr>
        <w:t>.</w:t>
      </w:r>
    </w:p>
    <w:p>
      <w:pPr>
        <w:spacing w:after="0" w:line="195" w:lineRule="exact"/>
        <w:rPr>
          <w:sz w:val="20"/>
          <w:szCs w:val="20"/>
          <w:color w:val="auto"/>
        </w:rPr>
      </w:pPr>
    </w:p>
    <w:p>
      <w:pPr>
        <w:ind w:left="2180" w:hanging="875"/>
        <w:spacing w:after="0"/>
        <w:tabs>
          <w:tab w:leader="none" w:pos="2180" w:val="left"/>
        </w:tabs>
        <w:numPr>
          <w:ilvl w:val="0"/>
          <w:numId w:val="253"/>
        </w:numPr>
        <w:rPr>
          <w:rFonts w:ascii="Arial" w:cs="Arial" w:eastAsia="Arial" w:hAnsi="Arial"/>
          <w:sz w:val="20"/>
          <w:szCs w:val="20"/>
          <w:color w:val="auto"/>
        </w:rPr>
      </w:pPr>
      <w:r>
        <w:rPr>
          <w:rFonts w:ascii="Arial" w:cs="Arial" w:eastAsia="Arial" w:hAnsi="Arial"/>
          <w:sz w:val="20"/>
          <w:szCs w:val="20"/>
          <w:i w:val="1"/>
          <w:iCs w:val="1"/>
          <w:u w:val="single" w:color="auto"/>
          <w:color w:val="auto"/>
        </w:rPr>
        <w:t>Increased Costs Generally</w:t>
      </w:r>
      <w:r>
        <w:rPr>
          <w:rFonts w:ascii="Arial" w:cs="Arial" w:eastAsia="Arial" w:hAnsi="Arial"/>
          <w:sz w:val="20"/>
          <w:szCs w:val="20"/>
          <w:color w:val="auto"/>
        </w:rPr>
        <w:t>. If any Change in Law shall:</w:t>
      </w:r>
    </w:p>
    <w:p>
      <w:pPr>
        <w:spacing w:after="0" w:line="202" w:lineRule="exact"/>
        <w:rPr>
          <w:rFonts w:ascii="Arial" w:cs="Arial" w:eastAsia="Arial" w:hAnsi="Arial"/>
          <w:sz w:val="20"/>
          <w:szCs w:val="20"/>
          <w:color w:val="auto"/>
        </w:rPr>
      </w:pPr>
    </w:p>
    <w:p>
      <w:pPr>
        <w:jc w:val="both"/>
        <w:ind w:left="660" w:right="80" w:firstLine="807"/>
        <w:spacing w:after="0" w:line="274" w:lineRule="auto"/>
        <w:tabs>
          <w:tab w:leader="none" w:pos="2143" w:val="left"/>
        </w:tabs>
        <w:numPr>
          <w:ilvl w:val="1"/>
          <w:numId w:val="253"/>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compulsory loan, insurance charge or similar requirement against assets held by, deposits with or for the account of, or credit extended or participated in by, any Lender (or its Lending Office) (except any reserve requirement which is reflected in the determination of the Adjusted Eurodollar Rate hereunder) or any L/C Issuer;</w:t>
      </w:r>
    </w:p>
    <w:p>
      <w:pPr>
        <w:spacing w:after="0" w:line="151" w:lineRule="exact"/>
        <w:rPr>
          <w:rFonts w:ascii="Arial" w:cs="Arial" w:eastAsia="Arial" w:hAnsi="Arial"/>
          <w:sz w:val="20"/>
          <w:szCs w:val="20"/>
          <w:color w:val="auto"/>
        </w:rPr>
      </w:pPr>
    </w:p>
    <w:p>
      <w:pPr>
        <w:ind w:left="660" w:right="560" w:firstLine="807"/>
        <w:spacing w:after="0" w:line="347" w:lineRule="auto"/>
        <w:tabs>
          <w:tab w:leader="none" w:pos="219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 xml:space="preserve">subject any Lender Party to any Taxes with respect to any Loan Document or any Loan made pursuant to this Agreement (other than Indemnified Taxes and Other Taxes indemnified under </w:t>
      </w:r>
      <w:r>
        <w:rPr>
          <w:rFonts w:ascii="Arial" w:cs="Arial" w:eastAsia="Arial" w:hAnsi="Arial"/>
          <w:sz w:val="18"/>
          <w:szCs w:val="18"/>
          <w:u w:val="single" w:color="auto"/>
          <w:color w:val="auto"/>
        </w:rPr>
        <w:t>Section 3.01</w:t>
      </w:r>
      <w:r>
        <w:rPr>
          <w:rFonts w:ascii="Arial" w:cs="Arial" w:eastAsia="Arial" w:hAnsi="Arial"/>
          <w:sz w:val="18"/>
          <w:szCs w:val="18"/>
          <w:color w:val="auto"/>
        </w:rPr>
        <w:t>, and Excluded Taxes); or</w:t>
      </w:r>
    </w:p>
    <w:p>
      <w:pPr>
        <w:spacing w:after="0" w:line="90" w:lineRule="exact"/>
        <w:rPr>
          <w:rFonts w:ascii="Arial" w:cs="Arial" w:eastAsia="Arial" w:hAnsi="Arial"/>
          <w:sz w:val="18"/>
          <w:szCs w:val="18"/>
          <w:color w:val="auto"/>
        </w:rPr>
      </w:pPr>
    </w:p>
    <w:p>
      <w:pPr>
        <w:ind w:left="660" w:right="240" w:firstLine="807"/>
        <w:spacing w:after="0" w:line="278" w:lineRule="auto"/>
        <w:tabs>
          <w:tab w:leader="none" w:pos="2253" w:val="left"/>
        </w:tabs>
        <w:numPr>
          <w:ilvl w:val="1"/>
          <w:numId w:val="253"/>
        </w:numPr>
        <w:rPr>
          <w:rFonts w:ascii="Arial" w:cs="Arial" w:eastAsia="Arial" w:hAnsi="Arial"/>
          <w:sz w:val="20"/>
          <w:szCs w:val="20"/>
          <w:color w:val="auto"/>
        </w:rPr>
      </w:pPr>
      <w:r>
        <w:rPr>
          <w:rFonts w:ascii="Arial" w:cs="Arial" w:eastAsia="Arial" w:hAnsi="Arial"/>
          <w:sz w:val="20"/>
          <w:szCs w:val="20"/>
          <w:color w:val="auto"/>
        </w:rPr>
        <w:t>impose on any Lender (or its Lending Office) or L/C Issuer or the London interbank market any other condition, cost or expense affecting this Agreement or Eurodollar Loans made by such Lender or Participation Interest therein or any Letter of Credit or Participation Interest therein;</w:t>
      </w:r>
    </w:p>
    <w:p>
      <w:pPr>
        <w:spacing w:after="0" w:line="133"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and the result of any of the foregoing shall be to increase the cost to such Lender of making, converting to, continuing or maintaining any Eurodollar Rate Loan or of maintaining its obligation to make any such Loan, or to increase the cost to such Lender, such L/C Issuer of participating in, issuing or maintaining any Letter of Credit (or of maintaining its obligation to participate in or to issue any Letter of Credit), or to reduce the amount of any sum received or receivable by such Lender or such L/C Issuer, as the case may be, hereunder (whether of principal, interest or any other amount) then, upon request of such Lender or such L/C Issuer, the applicable Borrower will pay to such Lender or such L/C Issuer, as the case may be, such additional amount or amounts as will compensate such Lender or such L/C Issuer, as the case may be, for such additional costs incurred or reduction suffered.</w:t>
      </w:r>
    </w:p>
    <w:p>
      <w:pPr>
        <w:spacing w:after="0" w:line="152" w:lineRule="exact"/>
        <w:rPr>
          <w:sz w:val="20"/>
          <w:szCs w:val="20"/>
          <w:color w:val="auto"/>
        </w:rPr>
      </w:pPr>
    </w:p>
    <w:p>
      <w:pPr>
        <w:ind w:firstLine="1305"/>
        <w:spacing w:after="0" w:line="287" w:lineRule="auto"/>
        <w:tabs>
          <w:tab w:leader="none" w:pos="2175" w:val="left"/>
        </w:tabs>
        <w:numPr>
          <w:ilvl w:val="0"/>
          <w:numId w:val="254"/>
        </w:numPr>
        <w:rPr>
          <w:rFonts w:ascii="Arial" w:cs="Arial" w:eastAsia="Arial" w:hAnsi="Arial"/>
          <w:sz w:val="19"/>
          <w:szCs w:val="19"/>
          <w:color w:val="auto"/>
        </w:rPr>
      </w:pPr>
      <w:r>
        <w:rPr>
          <w:rFonts w:ascii="Arial" w:cs="Arial" w:eastAsia="Arial" w:hAnsi="Arial"/>
          <w:sz w:val="19"/>
          <w:szCs w:val="19"/>
          <w:i w:val="1"/>
          <w:iCs w:val="1"/>
          <w:u w:val="single" w:color="auto"/>
          <w:color w:val="auto"/>
        </w:rPr>
        <w:t>Capital Requirements</w:t>
      </w:r>
      <w:r>
        <w:rPr>
          <w:rFonts w:ascii="Arial" w:cs="Arial" w:eastAsia="Arial" w:hAnsi="Arial"/>
          <w:sz w:val="19"/>
          <w:szCs w:val="19"/>
          <w:color w:val="auto"/>
        </w:rPr>
        <w:t>. If any Lender or L/C Issuer determines that any Change in Law affecting such Lender, any of</w:t>
      </w:r>
      <w:r>
        <w:rPr>
          <w:rFonts w:ascii="Arial" w:cs="Arial" w:eastAsia="Arial" w:hAnsi="Arial"/>
          <w:sz w:val="19"/>
          <w:szCs w:val="19"/>
          <w:i w:val="1"/>
          <w:iCs w:val="1"/>
          <w:color w:val="auto"/>
        </w:rPr>
        <w:t xml:space="preserve"> </w:t>
      </w:r>
      <w:r>
        <w:rPr>
          <w:rFonts w:ascii="Arial" w:cs="Arial" w:eastAsia="Arial" w:hAnsi="Arial"/>
          <w:sz w:val="19"/>
          <w:szCs w:val="19"/>
          <w:color w:val="auto"/>
        </w:rPr>
        <w:t>its applicable Lending Offices or its holding company or such L/C Issuer or its holding company, as the case may be, regarding capital and liquidity requirements has or would have the effect of reducing the rate of return on capital for such Lender or its holding company or such L/C Issuer or its holding company, if any, as a consequence of this Agreement, the Commitments of such Lender or the Loans made by, or participations in Letters of Credit or Swing Line Loans held by, such Lender, or the Letters of Credit issued by any L/C Issuer, to a level below that which such Lender or its holding company or such L/C Issuer or its holding company, as the case may be, could have achieved but for such Change in Law (taking into consideration such Lender’s or its holding company’s policies or</w:t>
      </w:r>
    </w:p>
    <w:p>
      <w:pPr>
        <w:spacing w:after="0" w:line="200" w:lineRule="exact"/>
        <w:rPr>
          <w:rFonts w:ascii="Arial" w:cs="Arial" w:eastAsia="Arial" w:hAnsi="Arial"/>
          <w:sz w:val="19"/>
          <w:szCs w:val="19"/>
          <w:color w:val="auto"/>
        </w:rPr>
      </w:pPr>
    </w:p>
    <w:p>
      <w:pPr>
        <w:spacing w:after="0" w:line="388" w:lineRule="exact"/>
        <w:rPr>
          <w:rFonts w:ascii="Arial" w:cs="Arial" w:eastAsia="Arial" w:hAnsi="Arial"/>
          <w:sz w:val="19"/>
          <w:szCs w:val="19"/>
          <w:color w:val="auto"/>
        </w:rPr>
      </w:pPr>
    </w:p>
    <w:p>
      <w:pPr>
        <w:ind w:left="5560" w:hanging="110"/>
        <w:spacing w:after="0"/>
        <w:tabs>
          <w:tab w:leader="none" w:pos="5560" w:val="left"/>
        </w:tabs>
        <w:numPr>
          <w:ilvl w:val="1"/>
          <w:numId w:val="254"/>
        </w:numPr>
        <w:rPr>
          <w:rFonts w:ascii="Arial" w:cs="Arial" w:eastAsia="Arial" w:hAnsi="Arial"/>
          <w:sz w:val="20"/>
          <w:szCs w:val="20"/>
          <w:color w:val="auto"/>
        </w:rPr>
      </w:pPr>
      <w:r>
        <w:rPr>
          <w:rFonts w:ascii="Arial" w:cs="Arial" w:eastAsia="Arial" w:hAnsi="Arial"/>
          <w:sz w:val="20"/>
          <w:szCs w:val="20"/>
          <w:color w:val="auto"/>
        </w:rPr>
        <w:t>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9" w:right="259" w:bottom="1440" w:gutter="0" w:footer="0" w:header="0"/>
        </w:sectPr>
      </w:pPr>
    </w:p>
    <w:bookmarkStart w:id="305" w:name="page306"/>
    <w:bookmarkEnd w:id="305"/>
    <w:p>
      <w:pPr>
        <w:jc w:val="both"/>
        <w:ind w:right="300"/>
        <w:spacing w:after="0" w:line="269" w:lineRule="auto"/>
        <w:rPr>
          <w:sz w:val="20"/>
          <w:szCs w:val="20"/>
          <w:color w:val="auto"/>
        </w:rPr>
      </w:pPr>
      <w:r>
        <w:rPr>
          <w:rFonts w:ascii="Arial" w:cs="Arial" w:eastAsia="Arial" w:hAnsi="Arial"/>
          <w:sz w:val="19"/>
          <w:szCs w:val="19"/>
          <w:color w:val="auto"/>
        </w:rPr>
        <w:t>such L/C Issuer’s or its holding company’s policies, as applicable, with respect to capital and liquidity adequacy), then from time to time the applicable Borrower will pay to such Lender or such L/C Issuer, as the case may be, such additional amount or amounts as will compensate such Lender or its holding company or such L/C Issuer or its holding company for any such reduction suffered.</w:t>
      </w:r>
    </w:p>
    <w:p>
      <w:pPr>
        <w:spacing w:after="0" w:line="143" w:lineRule="exact"/>
        <w:rPr>
          <w:sz w:val="20"/>
          <w:szCs w:val="20"/>
          <w:color w:val="auto"/>
        </w:rPr>
      </w:pPr>
    </w:p>
    <w:p>
      <w:pPr>
        <w:ind w:firstLine="1305"/>
        <w:spacing w:after="0" w:line="273" w:lineRule="auto"/>
        <w:tabs>
          <w:tab w:leader="none" w:pos="2164" w:val="left"/>
        </w:tabs>
        <w:numPr>
          <w:ilvl w:val="0"/>
          <w:numId w:val="255"/>
        </w:numPr>
        <w:rPr>
          <w:rFonts w:ascii="Arial" w:cs="Arial" w:eastAsia="Arial" w:hAnsi="Arial"/>
          <w:sz w:val="20"/>
          <w:szCs w:val="20"/>
          <w:color w:val="auto"/>
        </w:rPr>
      </w:pPr>
      <w:r>
        <w:rPr>
          <w:rFonts w:ascii="Arial" w:cs="Arial" w:eastAsia="Arial" w:hAnsi="Arial"/>
          <w:sz w:val="20"/>
          <w:szCs w:val="20"/>
          <w:i w:val="1"/>
          <w:iCs w:val="1"/>
          <w:u w:val="single" w:color="auto"/>
          <w:color w:val="auto"/>
        </w:rPr>
        <w:t>Certificates for Reimbursement</w:t>
      </w:r>
      <w:r>
        <w:rPr>
          <w:rFonts w:ascii="Arial" w:cs="Arial" w:eastAsia="Arial" w:hAnsi="Arial"/>
          <w:sz w:val="20"/>
          <w:szCs w:val="20"/>
          <w:color w:val="auto"/>
        </w:rPr>
        <w:t>. A certificate of a Lender or an L/C Issuer setting forth in reasonable detail the</w:t>
      </w:r>
      <w:r>
        <w:rPr>
          <w:rFonts w:ascii="Arial" w:cs="Arial" w:eastAsia="Arial" w:hAnsi="Arial"/>
          <w:sz w:val="20"/>
          <w:szCs w:val="20"/>
          <w:i w:val="1"/>
          <w:iCs w:val="1"/>
          <w:color w:val="auto"/>
        </w:rPr>
        <w:t xml:space="preserve"> </w:t>
      </w:r>
      <w:r>
        <w:rPr>
          <w:rFonts w:ascii="Arial" w:cs="Arial" w:eastAsia="Arial" w:hAnsi="Arial"/>
          <w:sz w:val="20"/>
          <w:szCs w:val="20"/>
          <w:color w:val="auto"/>
        </w:rPr>
        <w:t>amount or amounts necessary to compensate such Lender or such L/C Issuer or its holding company, as the case may be, as specified in paragraph (a) or (b) of this Section and delivered to the applicable Borrower, shall be conclusive absent manifest error. Such Borrower shall pay such Lender or such L/C Issuer, as the case may be, the amount shown as due on any such certificate promptly (but in any event within ten days) after receipt thereof.</w:t>
      </w:r>
    </w:p>
    <w:p>
      <w:pPr>
        <w:spacing w:after="0" w:line="150" w:lineRule="exact"/>
        <w:rPr>
          <w:rFonts w:ascii="Arial" w:cs="Arial" w:eastAsia="Arial" w:hAnsi="Arial"/>
          <w:sz w:val="20"/>
          <w:szCs w:val="20"/>
          <w:color w:val="auto"/>
        </w:rPr>
      </w:pPr>
    </w:p>
    <w:p>
      <w:pPr>
        <w:ind w:firstLine="1305"/>
        <w:spacing w:after="0" w:line="305" w:lineRule="auto"/>
        <w:tabs>
          <w:tab w:leader="none" w:pos="2175" w:val="left"/>
        </w:tabs>
        <w:numPr>
          <w:ilvl w:val="0"/>
          <w:numId w:val="255"/>
        </w:numPr>
        <w:rPr>
          <w:rFonts w:ascii="Arial" w:cs="Arial" w:eastAsia="Arial" w:hAnsi="Arial"/>
          <w:sz w:val="18"/>
          <w:szCs w:val="18"/>
          <w:color w:val="auto"/>
        </w:rPr>
      </w:pPr>
      <w:r>
        <w:rPr>
          <w:rFonts w:ascii="Arial" w:cs="Arial" w:eastAsia="Arial" w:hAnsi="Arial"/>
          <w:sz w:val="18"/>
          <w:szCs w:val="18"/>
          <w:i w:val="1"/>
          <w:iCs w:val="1"/>
          <w:u w:val="single" w:color="auto"/>
          <w:color w:val="auto"/>
        </w:rPr>
        <w:t>Delay in Requests</w:t>
      </w:r>
      <w:r>
        <w:rPr>
          <w:rFonts w:ascii="Arial" w:cs="Arial" w:eastAsia="Arial" w:hAnsi="Arial"/>
          <w:sz w:val="18"/>
          <w:szCs w:val="18"/>
          <w:color w:val="auto"/>
        </w:rPr>
        <w:t>. Failure or delay on the part of any Lender or any L/C Issuer to demand compensation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this Section shall not constitute a waiver of such Lender’s or such L/C Issuer’s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Borrower shall not be required to compensate a Lender or L/C Issuer pursuant to this Section for any increased costs incurred or reductions suffered more than nine months prior to the date that such Lender or such L/C Issuer, as the case may be, notifies such Borrower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11" w:lineRule="exact"/>
        <w:rPr>
          <w:sz w:val="20"/>
          <w:szCs w:val="20"/>
          <w:color w:val="auto"/>
        </w:rPr>
      </w:pPr>
    </w:p>
    <w:p>
      <w:pPr>
        <w:ind w:right="20" w:firstLine="1297"/>
        <w:spacing w:after="0" w:line="269" w:lineRule="auto"/>
        <w:rPr>
          <w:sz w:val="20"/>
          <w:szCs w:val="20"/>
          <w:color w:val="auto"/>
        </w:rPr>
      </w:pPr>
      <w:r>
        <w:rPr>
          <w:rFonts w:ascii="Arial" w:cs="Arial" w:eastAsia="Arial" w:hAnsi="Arial"/>
          <w:sz w:val="18"/>
          <w:szCs w:val="18"/>
          <w:b w:val="1"/>
          <w:bCs w:val="1"/>
          <w:color w:val="auto"/>
        </w:rPr>
        <w:t xml:space="preserve">Section 3.05 </w:t>
      </w:r>
      <w:r>
        <w:rPr>
          <w:rFonts w:ascii="Arial" w:cs="Arial" w:eastAsia="Arial" w:hAnsi="Arial"/>
          <w:sz w:val="18"/>
          <w:szCs w:val="18"/>
          <w:u w:val="single" w:color="auto"/>
          <w:color w:val="auto"/>
        </w:rPr>
        <w:t>Compensation for Losses</w:t>
      </w:r>
      <w:r>
        <w:rPr>
          <w:rFonts w:ascii="Arial" w:cs="Arial" w:eastAsia="Arial" w:hAnsi="Arial"/>
          <w:sz w:val="18"/>
          <w:szCs w:val="18"/>
          <w:color w:val="auto"/>
        </w:rPr>
        <w:t>. Upon written demand of any Lender (with a copy to the Administrative Agent) from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time to time, setting forth in reasonable detail the basis for calculating such compensation, the applicable Borrower shall promptly (but in any event within ten days) after such demand compensate such Lender for and hold such Lender harmless from any loss, cost or expense incurred by it as a result of (a) any continuation, conversion, payment or prepayment of any Eurodollar Rate Loan on a day other than the last day of the Interest Period for such Loan (whether voluntary, mandatory, automatic, by reason of acceleration, or otherwise); (b) any failure by the applicable Borrower (for a reason other than the failure of such Lender to make a Loan) to prepay, borrow, continue or convert any Eurodollar Rate Loan on the date or in the amount notified by such Borrower; or (c) any assignment of such Lender’s Eurodollar Rate Loans pursuant to </w:t>
      </w:r>
      <w:r>
        <w:rPr>
          <w:rFonts w:ascii="Arial" w:cs="Arial" w:eastAsia="Arial" w:hAnsi="Arial"/>
          <w:sz w:val="18"/>
          <w:szCs w:val="18"/>
          <w:u w:val="single" w:color="auto"/>
          <w:color w:val="auto"/>
        </w:rPr>
        <w:t>Section 3.07(b)</w:t>
      </w:r>
      <w:r>
        <w:rPr>
          <w:rFonts w:ascii="Arial" w:cs="Arial" w:eastAsia="Arial" w:hAnsi="Arial"/>
          <w:sz w:val="18"/>
          <w:szCs w:val="18"/>
          <w:color w:val="auto"/>
        </w:rPr>
        <w:t xml:space="preserve"> on a day other than the last day of the Interest Period therefor, including, in each case, any loss or expense arising from the liquidation or reemployment of funds obtained by it to maintain such Loan or from fees payable to terminate the deposits from which such funds were obtained;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such Borrower shall not be obligated to compensate any Lender under this Section for any loss of anticipated profits in respect of any of the foregoing. For purposes of calculating amounts payable by any Borrower to the Lenders under this Section, each Lender shall be deemed to have funded each Eurodollar Rate Loan made by it at the Adjusted Eurodollar Rate (excluding the impact of the proviso set forth in the “Adjusted Eurodollar Rate” definition) for such Loan by a matching deposit or other borrowing in the London interbank eurodollar market for a comparable amount and for a comparable period, whether or not such Eurodollar Rate Loan was in fact so funded. Without limiting the foregoing, in connection with each request for compensation by any Lender the applicable Borrower shall also pay such Lender with respect to each affected Eurodollar Rate Loan customary administrative fees requested by such Lender in an amount not to exceed $250 per such Eurodollar Rate Loan. For the avoidance of doubt, no Lender that is a lender under the Existing Credit Agreement shall demand, and such Borrower shall not be obligated to make, any funding loss payments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of the Existing Credit Agreement with respect to the repayment of outstanding loans on the Closing Date pursuant to the Existing Credit Agreement.</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306" w:name="page307"/>
    <w:bookmarkEnd w:id="306"/>
    <w:p>
      <w:pPr>
        <w:ind w:firstLine="1297"/>
        <w:spacing w:after="0" w:line="272" w:lineRule="auto"/>
        <w:rPr>
          <w:sz w:val="20"/>
          <w:szCs w:val="20"/>
          <w:color w:val="auto"/>
        </w:rPr>
      </w:pPr>
      <w:r>
        <w:rPr>
          <w:rFonts w:ascii="Arial" w:cs="Arial" w:eastAsia="Arial" w:hAnsi="Arial"/>
          <w:sz w:val="18"/>
          <w:szCs w:val="18"/>
          <w:b w:val="1"/>
          <w:bCs w:val="1"/>
          <w:color w:val="auto"/>
        </w:rPr>
        <w:t xml:space="preserve">Section 3.06 </w:t>
      </w:r>
      <w:r>
        <w:rPr>
          <w:rFonts w:ascii="Arial" w:cs="Arial" w:eastAsia="Arial" w:hAnsi="Arial"/>
          <w:sz w:val="18"/>
          <w:szCs w:val="18"/>
          <w:u w:val="single" w:color="auto"/>
          <w:color w:val="auto"/>
        </w:rPr>
        <w:t>Base Rate Loans Substituted for Affected Eurodollar Loans</w:t>
      </w:r>
      <w:r>
        <w:rPr>
          <w:rFonts w:ascii="Arial" w:cs="Arial" w:eastAsia="Arial" w:hAnsi="Arial"/>
          <w:sz w:val="18"/>
          <w:szCs w:val="18"/>
          <w:color w:val="auto"/>
        </w:rPr>
        <w:t>. If (i) the obligation of any Lender to make, or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continue or convert outstanding Loans as or to, Eurodollar Loans has been suspended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or (ii) any Lender has demanded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with respect to its Eurodollar Loans, and in any such case the applicable Borrower shall, by at least five Business Days’ prior notice to such Lender through the Administrative Agent, have elected that the provisions of this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shall apply to such Lender, then, unless and until such Lender notifies such Borrower that the circumstances giving rise to such suspension or demand for compensation no longer exist, all Loans which would otherwise be made by such Lender as (or continued as or converted to) Eurodollar Loans shall instead be Base Rate Loans (on which interest and principal shall be payable contemporaneously with the related Eurodollar Loans of the other Lenders). If such Lender notifies such Borrower that the circumstances giving rise to such suspension or demand for compensation no longer exist, the principal amount of each such Base Rate Loan shall be converted into a Eurodollar Loan on the first day of the next succeeding Interest Period applicable to the related Eurodollar Loans of the other Lenders.</w:t>
      </w:r>
    </w:p>
    <w:p>
      <w:pPr>
        <w:spacing w:after="0" w:line="180"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3.07</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95" w:lineRule="exact"/>
        <w:rPr>
          <w:sz w:val="20"/>
          <w:szCs w:val="20"/>
          <w:color w:val="auto"/>
        </w:rPr>
      </w:pPr>
    </w:p>
    <w:p>
      <w:pPr>
        <w:ind w:right="40" w:firstLine="1305"/>
        <w:spacing w:after="0" w:line="302" w:lineRule="auto"/>
        <w:tabs>
          <w:tab w:leader="none" w:pos="2164" w:val="left"/>
        </w:tabs>
        <w:numPr>
          <w:ilvl w:val="1"/>
          <w:numId w:val="256"/>
        </w:numPr>
        <w:rPr>
          <w:rFonts w:ascii="Arial" w:cs="Arial" w:eastAsia="Arial" w:hAnsi="Arial"/>
          <w:sz w:val="18"/>
          <w:szCs w:val="18"/>
          <w:color w:val="auto"/>
        </w:rPr>
      </w:pPr>
      <w:r>
        <w:rPr>
          <w:rFonts w:ascii="Arial" w:cs="Arial" w:eastAsia="Arial" w:hAnsi="Arial"/>
          <w:sz w:val="18"/>
          <w:szCs w:val="18"/>
          <w:i w:val="1"/>
          <w:iCs w:val="1"/>
          <w:u w:val="single" w:color="auto"/>
          <w:color w:val="auto"/>
        </w:rPr>
        <w:t>Designation of a Different Lending Office</w:t>
      </w:r>
      <w:r>
        <w:rPr>
          <w:rFonts w:ascii="Arial" w:cs="Arial" w:eastAsia="Arial" w:hAnsi="Arial"/>
          <w:sz w:val="18"/>
          <w:szCs w:val="18"/>
          <w:color w:val="auto"/>
        </w:rPr>
        <w:t>. Each Lender may make any Credit Extension to any Borrower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Lending Office, provided that the exercise of this option shall not affect the obligation of any such Borrower to repay the Credit Extension in accordance with the terms of this Agreement. If at any time (i) any Lender requires a Borrower to pay additional amounts to any Lender or any Governmental Authority for the account of any Lender or any L/C Issuer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(ii)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(iii)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then such Lender or L/C Issuer shall, as applicable, at the request of such Borrower, use reasonable efforts to designate a different Lending Office for funding or booking its Loans hereunder or to assign its rights and obligations hereunder to another of its offices, branches or affiliates, if, in the judgment of such Lender or L/C Issuer, such designation or assignment (A) would eliminate or reduce amounts payable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and (B) in each case, would not subject such Lender or L/C Issuer, as the case may be, to any unreimbursed cost or expense and would not otherwise be disadvantageous to such Lender or L/C Issuer, as the case may be. Each Borrower, as applicable, hereby agrees to pay all reasonable costs and expenses incurred by any Lender or L/C Issuer in connection with any such designation or assignment.</w:t>
      </w:r>
    </w:p>
    <w:p>
      <w:pPr>
        <w:spacing w:after="0" w:line="129" w:lineRule="exact"/>
        <w:rPr>
          <w:rFonts w:ascii="Arial" w:cs="Arial" w:eastAsia="Arial" w:hAnsi="Arial"/>
          <w:sz w:val="18"/>
          <w:szCs w:val="18"/>
          <w:color w:val="auto"/>
        </w:rPr>
      </w:pPr>
    </w:p>
    <w:p>
      <w:pPr>
        <w:ind w:right="20" w:firstLine="1305"/>
        <w:spacing w:after="0" w:line="297" w:lineRule="auto"/>
        <w:tabs>
          <w:tab w:leader="none" w:pos="2175" w:val="left"/>
        </w:tabs>
        <w:numPr>
          <w:ilvl w:val="1"/>
          <w:numId w:val="256"/>
        </w:numPr>
        <w:rPr>
          <w:rFonts w:ascii="Arial" w:cs="Arial" w:eastAsia="Arial" w:hAnsi="Arial"/>
          <w:sz w:val="18"/>
          <w:szCs w:val="18"/>
          <w:color w:val="auto"/>
        </w:rPr>
      </w:pPr>
      <w:r>
        <w:rPr>
          <w:rFonts w:ascii="Arial" w:cs="Arial" w:eastAsia="Arial" w:hAnsi="Arial"/>
          <w:sz w:val="18"/>
          <w:szCs w:val="18"/>
          <w:i w:val="1"/>
          <w:iCs w:val="1"/>
          <w:u w:val="single" w:color="auto"/>
          <w:color w:val="auto"/>
        </w:rPr>
        <w:t>Replacement of Lenders</w:t>
      </w:r>
      <w:r>
        <w:rPr>
          <w:rFonts w:ascii="Arial" w:cs="Arial" w:eastAsia="Arial" w:hAnsi="Arial"/>
          <w:sz w:val="18"/>
          <w:szCs w:val="18"/>
          <w:color w:val="auto"/>
        </w:rPr>
        <w:t>. If at any time (i) a Borrower is required to pay additional amounts to any Lender or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(ii)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(iii)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(iv) any Lender is a Defaulting Lender or (v) any Lender is a Non-Consenting Lender, and, in the case of clause (i), (ii), or (iii), such Lender has declined or is unable to designate a different lending office in accordance with Section</w:t>
      </w:r>
    </w:p>
    <w:p>
      <w:pPr>
        <w:spacing w:after="0" w:line="1" w:lineRule="exact"/>
        <w:rPr>
          <w:rFonts w:ascii="Arial" w:cs="Arial" w:eastAsia="Arial" w:hAnsi="Arial"/>
          <w:sz w:val="18"/>
          <w:szCs w:val="18"/>
          <w:color w:val="auto"/>
        </w:rPr>
      </w:pPr>
    </w:p>
    <w:p>
      <w:pPr>
        <w:ind w:right="120"/>
        <w:spacing w:after="0" w:line="274" w:lineRule="auto"/>
        <w:rPr>
          <w:rFonts w:ascii="Arial" w:cs="Arial" w:eastAsia="Arial" w:hAnsi="Arial"/>
          <w:sz w:val="18"/>
          <w:szCs w:val="18"/>
          <w:color w:val="auto"/>
        </w:rPr>
      </w:pPr>
      <w:r>
        <w:rPr>
          <w:rFonts w:ascii="Arial" w:cs="Arial" w:eastAsia="Arial" w:hAnsi="Arial"/>
          <w:sz w:val="20"/>
          <w:szCs w:val="20"/>
          <w:color w:val="auto"/>
        </w:rPr>
        <w:t xml:space="preserve">3.07(a), then such Borrower may, at its sole expense and effort, upon notice to the Administrative Agent and such Lender, replace such Lender by causing such Lender (and such Lender shall be obligated) to assign pursuant to </w:t>
      </w:r>
      <w:r>
        <w:rPr>
          <w:rFonts w:ascii="Arial" w:cs="Arial" w:eastAsia="Arial" w:hAnsi="Arial"/>
          <w:sz w:val="20"/>
          <w:szCs w:val="20"/>
          <w:u w:val="single" w:color="auto"/>
          <w:color w:val="auto"/>
        </w:rPr>
        <w:t>Section 10.06(b)</w:t>
      </w:r>
      <w:r>
        <w:rPr>
          <w:rFonts w:ascii="Arial" w:cs="Arial" w:eastAsia="Arial" w:hAnsi="Arial"/>
          <w:sz w:val="20"/>
          <w:szCs w:val="20"/>
          <w:color w:val="auto"/>
        </w:rPr>
        <w:t xml:space="preserve"> (with the processing and recording fee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 xml:space="preserve"> to be paid by such Borrower in such instance) all of its rights and obligations under this Agreement and the other Loan Documents to one or more Eligible Assignees;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51" w:lineRule="exact"/>
        <w:rPr>
          <w:rFonts w:ascii="Arial" w:cs="Arial" w:eastAsia="Arial" w:hAnsi="Arial"/>
          <w:sz w:val="18"/>
          <w:szCs w:val="18"/>
          <w:color w:val="auto"/>
        </w:rPr>
      </w:pPr>
    </w:p>
    <w:p>
      <w:pPr>
        <w:ind w:left="2220" w:hanging="753"/>
        <w:spacing w:after="0"/>
        <w:tabs>
          <w:tab w:leader="none" w:pos="2220" w:val="left"/>
        </w:tabs>
        <w:numPr>
          <w:ilvl w:val="2"/>
          <w:numId w:val="256"/>
        </w:numPr>
        <w:rPr>
          <w:rFonts w:ascii="Arial" w:cs="Arial" w:eastAsia="Arial" w:hAnsi="Arial"/>
          <w:sz w:val="18"/>
          <w:szCs w:val="18"/>
          <w:color w:val="auto"/>
        </w:rPr>
      </w:pPr>
      <w:r>
        <w:rPr>
          <w:rFonts w:ascii="Arial" w:cs="Arial" w:eastAsia="Arial" w:hAnsi="Arial"/>
          <w:sz w:val="18"/>
          <w:szCs w:val="18"/>
          <w:color w:val="auto"/>
        </w:rPr>
        <w:t>(i) neither the Administrative Agent nor any Lender shall have any obligation to find a replacement assignee and</w:t>
      </w:r>
    </w:p>
    <w:p>
      <w:pPr>
        <w:spacing w:after="0" w:line="49" w:lineRule="exact"/>
        <w:rPr>
          <w:rFonts w:ascii="Arial" w:cs="Arial" w:eastAsia="Arial" w:hAnsi="Arial"/>
          <w:sz w:val="18"/>
          <w:szCs w:val="18"/>
          <w:color w:val="auto"/>
        </w:rPr>
      </w:pPr>
    </w:p>
    <w:p>
      <w:pPr>
        <w:ind w:left="940" w:hanging="284"/>
        <w:spacing w:after="0"/>
        <w:tabs>
          <w:tab w:leader="none" w:pos="94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 xml:space="preserve">such Borrower shall have paid to the Administrative Agent the assignment fee specified in </w:t>
      </w:r>
      <w:r>
        <w:rPr>
          <w:rFonts w:ascii="Arial" w:cs="Arial" w:eastAsia="Arial" w:hAnsi="Arial"/>
          <w:sz w:val="20"/>
          <w:szCs w:val="20"/>
          <w:u w:val="single" w:color="auto"/>
          <w:color w:val="auto"/>
        </w:rPr>
        <w:t>Section 10.06(b)</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7" w:lineRule="exact"/>
        <w:rPr>
          <w:rFonts w:ascii="Arial" w:cs="Arial" w:eastAsia="Arial" w:hAnsi="Arial"/>
          <w:sz w:val="20"/>
          <w:szCs w:val="20"/>
          <w:color w:val="auto"/>
        </w:rPr>
      </w:pPr>
    </w:p>
    <w:p>
      <w:pPr>
        <w:ind w:left="5580" w:hanging="122"/>
        <w:spacing w:after="0"/>
        <w:tabs>
          <w:tab w:leader="none" w:pos="5580" w:val="left"/>
        </w:tabs>
        <w:numPr>
          <w:ilvl w:val="3"/>
          <w:numId w:val="257"/>
        </w:numPr>
        <w:rPr>
          <w:rFonts w:ascii="Arial" w:cs="Arial" w:eastAsia="Arial" w:hAnsi="Arial"/>
          <w:sz w:val="20"/>
          <w:szCs w:val="20"/>
          <w:color w:val="auto"/>
        </w:rPr>
      </w:pPr>
      <w:r>
        <w:rPr>
          <w:rFonts w:ascii="Arial" w:cs="Arial" w:eastAsia="Arial" w:hAnsi="Arial"/>
          <w:sz w:val="20"/>
          <w:szCs w:val="20"/>
          <w:color w:val="auto"/>
        </w:rPr>
        <w:t>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07" w:name="page308"/>
    <w:bookmarkEnd w:id="307"/>
    <w:p>
      <w:pPr>
        <w:ind w:left="660" w:right="100" w:firstLine="807"/>
        <w:spacing w:after="0" w:line="273" w:lineRule="auto"/>
        <w:tabs>
          <w:tab w:leader="none" w:pos="222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the outstanding principal of its Loans and funded participations in outstanding L/C Borrowings and Swing Line Loans, accrued interest thereon, accrued fees and all other amounts payable to it hereunder and under the other Loan Documents (including any amounts under </w:t>
      </w:r>
      <w:r>
        <w:rPr>
          <w:rFonts w:ascii="Arial" w:cs="Arial" w:eastAsia="Arial" w:hAnsi="Arial"/>
          <w:sz w:val="20"/>
          <w:szCs w:val="20"/>
          <w:u w:val="single" w:color="auto"/>
          <w:color w:val="auto"/>
        </w:rPr>
        <w:t>Section 3.05</w:t>
      </w:r>
      <w:r>
        <w:rPr>
          <w:rFonts w:ascii="Arial" w:cs="Arial" w:eastAsia="Arial" w:hAnsi="Arial"/>
          <w:sz w:val="20"/>
          <w:szCs w:val="20"/>
          <w:color w:val="auto"/>
        </w:rPr>
        <w:t>) from the applicable assignee (to the extent of such outstanding principal, funded participations and accrued interest and fees) or such Borrower (in the case of all other amounts);</w:t>
      </w:r>
    </w:p>
    <w:p>
      <w:pPr>
        <w:spacing w:after="0" w:line="150" w:lineRule="exact"/>
        <w:rPr>
          <w:rFonts w:ascii="Arial" w:cs="Arial" w:eastAsia="Arial" w:hAnsi="Arial"/>
          <w:sz w:val="20"/>
          <w:szCs w:val="20"/>
          <w:color w:val="auto"/>
        </w:rPr>
      </w:pPr>
    </w:p>
    <w:p>
      <w:pPr>
        <w:ind w:left="660" w:right="20" w:firstLine="807"/>
        <w:spacing w:after="0" w:line="274" w:lineRule="auto"/>
        <w:tabs>
          <w:tab w:leader="none" w:pos="222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 xml:space="preserve">in the case of any such assignment resulting from payments required to be made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or a claim for compensation under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such assignment will result in a reduction in such payments or compensation thereafter or, in the case of any such assignment resulting from a notice pursuant to </w:t>
      </w:r>
      <w:r>
        <w:rPr>
          <w:rFonts w:ascii="Arial" w:cs="Arial" w:eastAsia="Arial" w:hAnsi="Arial"/>
          <w:sz w:val="20"/>
          <w:szCs w:val="20"/>
          <w:u w:val="single" w:color="auto"/>
          <w:color w:val="auto"/>
        </w:rPr>
        <w:t>Section 3.02</w:t>
      </w:r>
      <w:r>
        <w:rPr>
          <w:rFonts w:ascii="Arial" w:cs="Arial" w:eastAsia="Arial" w:hAnsi="Arial"/>
          <w:sz w:val="20"/>
          <w:szCs w:val="20"/>
          <w:color w:val="auto"/>
        </w:rPr>
        <w:t>, such assignment will eliminate the need for such notice;</w:t>
      </w:r>
    </w:p>
    <w:p>
      <w:pPr>
        <w:spacing w:after="0" w:line="151" w:lineRule="exact"/>
        <w:rPr>
          <w:rFonts w:ascii="Arial" w:cs="Arial" w:eastAsia="Arial" w:hAnsi="Arial"/>
          <w:sz w:val="20"/>
          <w:szCs w:val="20"/>
          <w:color w:val="auto"/>
        </w:rPr>
      </w:pPr>
    </w:p>
    <w:p>
      <w:pPr>
        <w:ind w:left="2220" w:hanging="753"/>
        <w:spacing w:after="0"/>
        <w:tabs>
          <w:tab w:leader="none" w:pos="222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w:t>
      </w:r>
    </w:p>
    <w:p>
      <w:pPr>
        <w:spacing w:after="0" w:line="202" w:lineRule="exact"/>
        <w:rPr>
          <w:rFonts w:ascii="Arial" w:cs="Arial" w:eastAsia="Arial" w:hAnsi="Arial"/>
          <w:sz w:val="20"/>
          <w:szCs w:val="20"/>
          <w:color w:val="auto"/>
        </w:rPr>
      </w:pPr>
    </w:p>
    <w:p>
      <w:pPr>
        <w:ind w:left="660" w:right="100" w:firstLine="807"/>
        <w:spacing w:after="0" w:line="274" w:lineRule="auto"/>
        <w:tabs>
          <w:tab w:leader="none" w:pos="2209" w:val="left"/>
        </w:tabs>
        <w:numPr>
          <w:ilvl w:val="0"/>
          <w:numId w:val="258"/>
        </w:numPr>
        <w:rPr>
          <w:rFonts w:ascii="Arial" w:cs="Arial" w:eastAsia="Arial" w:hAnsi="Arial"/>
          <w:sz w:val="20"/>
          <w:szCs w:val="20"/>
          <w:color w:val="auto"/>
        </w:rPr>
      </w:pPr>
      <w:r>
        <w:rPr>
          <w:rFonts w:ascii="Arial" w:cs="Arial" w:eastAsia="Arial" w:hAnsi="Arial"/>
          <w:sz w:val="20"/>
          <w:szCs w:val="20"/>
          <w:color w:val="auto"/>
        </w:rPr>
        <w:t xml:space="preserve">if such Borrower elects to exercise such right with respect to any Lender pursuant to clause (i), (ii) or (iii) above, it shall be obligated to remove or replace, as the case may be, all Lenders that have similar requests then outstanding for compensation pursuant to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3.01</w:t>
      </w:r>
      <w:r>
        <w:rPr>
          <w:rFonts w:ascii="Arial" w:cs="Arial" w:eastAsia="Arial" w:hAnsi="Arial"/>
          <w:sz w:val="20"/>
          <w:szCs w:val="20"/>
          <w:color w:val="auto"/>
        </w:rPr>
        <w:t xml:space="preserve">, who have given notice pursuant to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or whose obligation to make Eurodollar Loans has been similarly suspended; and</w:t>
      </w:r>
    </w:p>
    <w:p>
      <w:pPr>
        <w:spacing w:after="0" w:line="151" w:lineRule="exact"/>
        <w:rPr>
          <w:rFonts w:ascii="Arial" w:cs="Arial" w:eastAsia="Arial" w:hAnsi="Arial"/>
          <w:sz w:val="20"/>
          <w:szCs w:val="20"/>
          <w:color w:val="auto"/>
        </w:rPr>
      </w:pPr>
    </w:p>
    <w:p>
      <w:pPr>
        <w:ind w:left="660" w:right="420" w:firstLine="807"/>
        <w:spacing w:after="0" w:line="289" w:lineRule="auto"/>
        <w:tabs>
          <w:tab w:leader="none" w:pos="2198" w:val="left"/>
        </w:tabs>
        <w:numPr>
          <w:ilvl w:val="0"/>
          <w:numId w:val="258"/>
        </w:numPr>
        <w:rPr>
          <w:rFonts w:ascii="Arial" w:cs="Arial" w:eastAsia="Arial" w:hAnsi="Arial"/>
          <w:sz w:val="20"/>
          <w:szCs w:val="20"/>
          <w:color w:val="auto"/>
        </w:rPr>
      </w:pPr>
      <w:r>
        <w:rPr>
          <w:rFonts w:ascii="Arial" w:cs="Arial" w:eastAsia="Arial" w:hAnsi="Arial"/>
          <w:sz w:val="20"/>
          <w:szCs w:val="20"/>
          <w:color w:val="auto"/>
        </w:rPr>
        <w:t>in the case of any such assignment resulting from a Lender becoming a Non-Consenting Lender, the applicable assignee shall be deemed to have consented to the applicable amendment, waiver or consent.</w:t>
      </w:r>
    </w:p>
    <w:p>
      <w:pPr>
        <w:spacing w:after="0" w:line="121" w:lineRule="exact"/>
        <w:rPr>
          <w:sz w:val="20"/>
          <w:szCs w:val="20"/>
          <w:color w:val="auto"/>
        </w:rPr>
      </w:pPr>
    </w:p>
    <w:p>
      <w:pPr>
        <w:ind w:firstLine="1297"/>
        <w:spacing w:after="0" w:line="273" w:lineRule="auto"/>
        <w:rPr>
          <w:sz w:val="20"/>
          <w:szCs w:val="20"/>
          <w:color w:val="auto"/>
        </w:rPr>
      </w:pPr>
      <w:r>
        <w:rPr>
          <w:rFonts w:ascii="Arial" w:cs="Arial" w:eastAsia="Arial" w:hAnsi="Arial"/>
          <w:sz w:val="18"/>
          <w:szCs w:val="18"/>
          <w:color w:val="auto"/>
        </w:rPr>
        <w:t xml:space="preserve">In connection with any such assignment resulting from a Lender becoming a Defaulting Lender or a Non-Consenting Lender, if any such Defaulting Lender or Non-Consenting Lender does not execute and deliver to the Administrative Agent a duly executed Assignment and Assumption pursuant to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reflecting such assignment within five Business Days of the date on which the applicable assignee executes and delivers such Assignment and Assumption to such Defaulting Lender or non-Consenting Lender, then such Defaulting Lender or Non-Consenting Lender shall be deemed to have executed and delivered such Assignment and Assumption without any action on the part of such Defaulting Lender or Non-Consenting Lender, whereupon such assignment shall become effective upon payment to such Lender of all amounts owing to such Lender under clause (B) above (which amounts shall be calculated by the Administrative Agent and shall be conclusive absent manifest error) and compliance with the other applicable requirements pursuant to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169" w:lineRule="exact"/>
        <w:rPr>
          <w:sz w:val="20"/>
          <w:szCs w:val="20"/>
          <w:color w:val="auto"/>
        </w:rPr>
      </w:pPr>
    </w:p>
    <w:p>
      <w:pPr>
        <w:ind w:right="40" w:firstLine="1297"/>
        <w:spacing w:after="0" w:line="259" w:lineRule="auto"/>
        <w:rPr>
          <w:sz w:val="20"/>
          <w:szCs w:val="20"/>
          <w:color w:val="auto"/>
        </w:rPr>
      </w:pPr>
      <w:r>
        <w:rPr>
          <w:rFonts w:ascii="Arial" w:cs="Arial" w:eastAsia="Arial" w:hAnsi="Arial"/>
          <w:sz w:val="19"/>
          <w:szCs w:val="19"/>
          <w:color w:val="auto"/>
        </w:rPr>
        <w:t xml:space="preserve">Notwithstanding anything in this Section to the contrary, (i) any Revolving Lender that acts as an L/C Issuer may not be replaced hereunder at any time it has any Letter of Credit outstanding hereunder unless arrangements satisfactory to such Lender (including the furnishing of a back-up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Arial" w:cs="Arial" w:eastAsia="Arial" w:hAnsi="Arial"/>
          <w:sz w:val="19"/>
          <w:szCs w:val="19"/>
          <w:u w:val="single" w:color="auto"/>
          <w:color w:val="auto"/>
        </w:rPr>
        <w:t>Section 9.07</w:t>
      </w:r>
      <w:r>
        <w:rPr>
          <w:rFonts w:ascii="Arial" w:cs="Arial" w:eastAsia="Arial" w:hAnsi="Arial"/>
          <w:sz w:val="19"/>
          <w:szCs w:val="19"/>
          <w:color w:val="auto"/>
        </w:rPr>
        <w:t>.</w:t>
      </w:r>
    </w:p>
    <w:p>
      <w:pPr>
        <w:spacing w:after="0" w:line="179" w:lineRule="exact"/>
        <w:rPr>
          <w:sz w:val="20"/>
          <w:szCs w:val="20"/>
          <w:color w:val="auto"/>
        </w:rPr>
      </w:pPr>
    </w:p>
    <w:p>
      <w:pPr>
        <w:ind w:right="460" w:firstLine="1297"/>
        <w:spacing w:after="0" w:line="250" w:lineRule="auto"/>
        <w:rPr>
          <w:sz w:val="20"/>
          <w:szCs w:val="20"/>
          <w:color w:val="auto"/>
        </w:rPr>
      </w:pPr>
      <w:r>
        <w:rPr>
          <w:rFonts w:ascii="Arial" w:cs="Arial" w:eastAsia="Arial" w:hAnsi="Arial"/>
          <w:sz w:val="20"/>
          <w:szCs w:val="20"/>
          <w:color w:val="auto"/>
        </w:rPr>
        <w:t>A Lender shall not be required to make any such assignment if, prior thereto, as a result of a waiver by such Lender or otherwise (including any action taken by such Lender pursuant to paragraph (a) of this Section), the circumstances entitling the applicable Borrower to replace such Lender cease to apply.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79" w:right="259" w:bottom="1440" w:gutter="0" w:footer="0" w:header="0"/>
        </w:sectPr>
      </w:pPr>
    </w:p>
    <w:bookmarkStart w:id="308" w:name="page309"/>
    <w:bookmarkEnd w:id="308"/>
    <w:p>
      <w:pPr>
        <w:ind w:firstLine="1297"/>
        <w:spacing w:after="0" w:line="267" w:lineRule="auto"/>
        <w:rPr>
          <w:sz w:val="20"/>
          <w:szCs w:val="20"/>
          <w:color w:val="auto"/>
        </w:rPr>
      </w:pPr>
      <w:r>
        <w:rPr>
          <w:rFonts w:ascii="Arial" w:cs="Arial" w:eastAsia="Arial" w:hAnsi="Arial"/>
          <w:sz w:val="20"/>
          <w:szCs w:val="20"/>
          <w:b w:val="1"/>
          <w:bCs w:val="1"/>
          <w:color w:val="auto"/>
        </w:rPr>
        <w:t xml:space="preserve">Section 3.08 </w:t>
      </w:r>
      <w:r>
        <w:rPr>
          <w:rFonts w:ascii="Arial" w:cs="Arial" w:eastAsia="Arial" w:hAnsi="Arial"/>
          <w:sz w:val="20"/>
          <w:szCs w:val="20"/>
          <w:u w:val="single" w:color="auto"/>
          <w:color w:val="auto"/>
        </w:rPr>
        <w:t>Survival</w:t>
      </w:r>
      <w:r>
        <w:rPr>
          <w:rFonts w:ascii="Arial" w:cs="Arial" w:eastAsia="Arial" w:hAnsi="Arial"/>
          <w:sz w:val="20"/>
          <w:szCs w:val="20"/>
          <w:color w:val="auto"/>
        </w:rPr>
        <w:t>. All of each Borrower’s obligations under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Article III</w:t>
      </w:r>
      <w:r>
        <w:rPr>
          <w:rFonts w:ascii="Arial" w:cs="Arial" w:eastAsia="Arial" w:hAnsi="Arial"/>
          <w:sz w:val="20"/>
          <w:szCs w:val="20"/>
          <w:b w:val="1"/>
          <w:bCs w:val="1"/>
          <w:color w:val="auto"/>
        </w:rPr>
        <w:t xml:space="preserve"> </w:t>
      </w:r>
      <w:r>
        <w:rPr>
          <w:rFonts w:ascii="Arial" w:cs="Arial" w:eastAsia="Arial" w:hAnsi="Arial"/>
          <w:sz w:val="20"/>
          <w:szCs w:val="20"/>
          <w:color w:val="auto"/>
        </w:rPr>
        <w:t>shall survive termination of the Commitments</w:t>
      </w:r>
      <w:r>
        <w:rPr>
          <w:rFonts w:ascii="Arial" w:cs="Arial" w:eastAsia="Arial" w:hAnsi="Arial"/>
          <w:sz w:val="20"/>
          <w:szCs w:val="20"/>
          <w:b w:val="1"/>
          <w:bCs w:val="1"/>
          <w:color w:val="auto"/>
        </w:rPr>
        <w:t xml:space="preserve"> </w:t>
      </w:r>
      <w:r>
        <w:rPr>
          <w:rFonts w:ascii="Arial" w:cs="Arial" w:eastAsia="Arial" w:hAnsi="Arial"/>
          <w:sz w:val="20"/>
          <w:szCs w:val="20"/>
          <w:color w:val="auto"/>
        </w:rPr>
        <w:t>and repayment of all other Senior Credit Obligations hereunder.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IV.</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CONDITIONS PRECEDENT TO CREDIT EXTENSIONS</w:t>
      </w:r>
    </w:p>
    <w:p>
      <w:pPr>
        <w:spacing w:after="0" w:line="216"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4.01</w:t>
      </w:r>
      <w:r>
        <w:rPr>
          <w:sz w:val="20"/>
          <w:szCs w:val="20"/>
          <w:color w:val="auto"/>
        </w:rPr>
        <w:tab/>
      </w:r>
      <w:r>
        <w:rPr>
          <w:rFonts w:ascii="Arial" w:cs="Arial" w:eastAsia="Arial" w:hAnsi="Arial"/>
          <w:sz w:val="18"/>
          <w:szCs w:val="18"/>
          <w:u w:val="single" w:color="auto"/>
          <w:color w:val="auto"/>
        </w:rPr>
        <w:t>Conditions to Initial Credit Extension</w:t>
      </w:r>
      <w:r>
        <w:rPr>
          <w:rFonts w:ascii="Arial" w:cs="Arial" w:eastAsia="Arial" w:hAnsi="Arial"/>
          <w:sz w:val="18"/>
          <w:szCs w:val="18"/>
          <w:color w:val="auto"/>
        </w:rPr>
        <w:t>. The obligation of each L/C Issuer and each Lender to make its initial</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Credit Extension hereunder on the Closing Date was subject to the satisfaction or waiver of the following conditions precedent:</w:t>
      </w:r>
    </w:p>
    <w:p>
      <w:pPr>
        <w:spacing w:after="0" w:line="267" w:lineRule="exact"/>
        <w:rPr>
          <w:sz w:val="20"/>
          <w:szCs w:val="20"/>
          <w:color w:val="auto"/>
        </w:rPr>
      </w:pPr>
    </w:p>
    <w:p>
      <w:pPr>
        <w:ind w:left="660" w:right="20" w:firstLine="645"/>
        <w:spacing w:after="0" w:line="286" w:lineRule="auto"/>
        <w:tabs>
          <w:tab w:leader="none" w:pos="2176" w:val="left"/>
        </w:tabs>
        <w:numPr>
          <w:ilvl w:val="1"/>
          <w:numId w:val="259"/>
        </w:numPr>
        <w:rPr>
          <w:rFonts w:ascii="Arial" w:cs="Arial" w:eastAsia="Arial" w:hAnsi="Arial"/>
          <w:sz w:val="19"/>
          <w:szCs w:val="19"/>
          <w:color w:val="auto"/>
        </w:rPr>
      </w:pPr>
      <w:r>
        <w:rPr>
          <w:rFonts w:ascii="Arial" w:cs="Arial" w:eastAsia="Arial" w:hAnsi="Arial"/>
          <w:sz w:val="19"/>
          <w:szCs w:val="19"/>
          <w:i w:val="1"/>
          <w:iCs w:val="1"/>
          <w:u w:val="single" w:color="auto"/>
          <w:color w:val="auto"/>
        </w:rPr>
        <w:t>Executed Loan Documents</w:t>
      </w:r>
      <w:r>
        <w:rPr>
          <w:rFonts w:ascii="Arial" w:cs="Arial" w:eastAsia="Arial" w:hAnsi="Arial"/>
          <w:sz w:val="19"/>
          <w:szCs w:val="19"/>
          <w:color w:val="auto"/>
        </w:rPr>
        <w:t>. Receipt by the Administrative Agent (or its counsel) of duly executed counterparts from</w:t>
      </w:r>
      <w:r>
        <w:rPr>
          <w:rFonts w:ascii="Arial" w:cs="Arial" w:eastAsia="Arial" w:hAnsi="Arial"/>
          <w:sz w:val="19"/>
          <w:szCs w:val="19"/>
          <w:i w:val="1"/>
          <w:iCs w:val="1"/>
          <w:color w:val="auto"/>
        </w:rPr>
        <w:t xml:space="preserve"> </w:t>
      </w:r>
      <w:r>
        <w:rPr>
          <w:rFonts w:ascii="Arial" w:cs="Arial" w:eastAsia="Arial" w:hAnsi="Arial"/>
          <w:sz w:val="19"/>
          <w:szCs w:val="19"/>
          <w:color w:val="auto"/>
        </w:rPr>
        <w:t>each party thereto of: (i) this Agreement, (ii) the Notes (to the extent requested), (iii) the Guaranty Agreement and (iv) the U.S. Security Agreement and (v) the Foreign Collateral Documents. Each of the aforementioned documents shall be originals or telecopies (followed promptly by originals) unless otherwise specified, each properly executed by a Responsible Officer of the signing Loan Party (and in respect of any Loan Party incorporated in Ireland, by the requisite number of Responsible Officers and in accordance with the requirements of each such Loan Party’s Organization Documents), each dated the Closing Date (or, in the case of certificates of governmental officials, a recent date before the Closing Date) and each in form and substance satisfactory to the Administrative Agent and each of the Lenders.</w:t>
      </w:r>
    </w:p>
    <w:p>
      <w:pPr>
        <w:spacing w:after="0" w:line="239" w:lineRule="exact"/>
        <w:rPr>
          <w:rFonts w:ascii="Arial" w:cs="Arial" w:eastAsia="Arial" w:hAnsi="Arial"/>
          <w:sz w:val="19"/>
          <w:szCs w:val="19"/>
          <w:color w:val="auto"/>
        </w:rPr>
      </w:pPr>
    </w:p>
    <w:p>
      <w:pPr>
        <w:ind w:left="660" w:right="60" w:firstLine="645"/>
        <w:spacing w:after="0" w:line="297" w:lineRule="auto"/>
        <w:tabs>
          <w:tab w:leader="none" w:pos="2187" w:val="left"/>
        </w:tabs>
        <w:numPr>
          <w:ilvl w:val="1"/>
          <w:numId w:val="259"/>
        </w:numPr>
        <w:rPr>
          <w:rFonts w:ascii="Arial" w:cs="Arial" w:eastAsia="Arial" w:hAnsi="Arial"/>
          <w:sz w:val="18"/>
          <w:szCs w:val="18"/>
          <w:color w:val="auto"/>
        </w:rPr>
      </w:pPr>
      <w:r>
        <w:rPr>
          <w:rFonts w:ascii="Arial" w:cs="Arial" w:eastAsia="Arial" w:hAnsi="Arial"/>
          <w:sz w:val="18"/>
          <w:szCs w:val="18"/>
          <w:i w:val="1"/>
          <w:iCs w:val="1"/>
          <w:u w:val="single" w:color="auto"/>
          <w:color w:val="auto"/>
        </w:rPr>
        <w:t>Organization Documents</w:t>
      </w:r>
      <w:r>
        <w:rPr>
          <w:rFonts w:ascii="Arial" w:cs="Arial" w:eastAsia="Arial" w:hAnsi="Arial"/>
          <w:sz w:val="18"/>
          <w:szCs w:val="18"/>
          <w:color w:val="auto"/>
        </w:rPr>
        <w:t>. After giving effect to the transactions contemplated hereby, the Administrative Agent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shall have received: (i) a copy of the Organization Documents, including all amendments thereto, of each Loan Party, certified as of a recent date by the Secretary of State or other applicable Governmental Authority of its respective jurisdiction of organization to the extent applicable; (ii) a certificate as to the good standing (or comparable status) of each Loan Party from such Secretary of State or other applicable Governmental Authority of its respective jurisdiction of organization, as of a recent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 certificate of good standing (or comparable status) is not applicable in the jurisdiction of any Loan Party that is a Foreign Subsidiary, such Loan Party shall provide an Officer’s Certificate in form and substance reasonably satisfactory to the Administrative Agent; (iii) a certificate of the Secretary or Assistant Secretary or other applicable Responsible Officer of each Loan Party dated the Closing Date and certifying (A) that the Organization Documents of such Loan Party have not been amended since the date of the last amendment thereto shown on the certificate of good standing or comparable status from its jurisdiction of organization furnished pursuant to clause</w:t>
      </w:r>
    </w:p>
    <w:p>
      <w:pPr>
        <w:spacing w:after="0" w:line="4" w:lineRule="exact"/>
        <w:rPr>
          <w:rFonts w:ascii="Arial" w:cs="Arial" w:eastAsia="Arial" w:hAnsi="Arial"/>
          <w:sz w:val="18"/>
          <w:szCs w:val="18"/>
          <w:color w:val="auto"/>
        </w:rPr>
      </w:pPr>
    </w:p>
    <w:p>
      <w:pPr>
        <w:ind w:left="660" w:right="40" w:hanging="4"/>
        <w:spacing w:after="0" w:line="285" w:lineRule="auto"/>
        <w:tabs>
          <w:tab w:leader="none" w:pos="951" w:val="left"/>
        </w:tabs>
        <w:numPr>
          <w:ilvl w:val="0"/>
          <w:numId w:val="260"/>
        </w:numPr>
        <w:rPr>
          <w:rFonts w:ascii="Arial" w:cs="Arial" w:eastAsia="Arial" w:hAnsi="Arial"/>
          <w:sz w:val="19"/>
          <w:szCs w:val="19"/>
          <w:color w:val="auto"/>
        </w:rPr>
      </w:pPr>
      <w:r>
        <w:rPr>
          <w:rFonts w:ascii="Arial" w:cs="Arial" w:eastAsia="Arial" w:hAnsi="Arial"/>
          <w:sz w:val="19"/>
          <w:szCs w:val="19"/>
          <w:color w:val="auto"/>
        </w:rPr>
        <w:t>above (to the extent applicable in the relevant Loan Party’s jurisdiction) and remains in full force and effect; (B) that attached thereto is a true and complete copy of the Organization Documents as in effect on the Closing Date and at all times since the date of the resolutions described in clause (C) below or certifying that such Organization Documents have not been amended since such date, (C) that attached thereto is a true and complete copy of resolutions duly adopted by the Board of Directors (or equivalent governing body) of such Loan Party authorizing the execution, delivery and performance of the Loan Documents to which it is to be a party and, in the case of the Borrowers, the borrowings hereunder, and that such resolutions have not been modified, rescinded or amended and are in full force and effect and are the only resolutions authorizing the execution, delivery and performance of the Loan Documents; and (D) as to the incumbency and specimen signature of each Responsible Officer executing any Loan Document; and (iv) a certificate of another officer as to the incumbency and specimen signature of the Secretary or Assistant Secretary or other applicable Responsible Officer executing the certificate pursuant to clause (iii) above.</w:t>
      </w:r>
    </w:p>
    <w:p>
      <w:pPr>
        <w:spacing w:after="0" w:line="200" w:lineRule="exact"/>
        <w:rPr>
          <w:rFonts w:ascii="Arial" w:cs="Arial" w:eastAsia="Arial" w:hAnsi="Arial"/>
          <w:sz w:val="19"/>
          <w:szCs w:val="19"/>
          <w:color w:val="auto"/>
        </w:rPr>
      </w:pPr>
    </w:p>
    <w:p>
      <w:pPr>
        <w:spacing w:after="0" w:line="325" w:lineRule="exact"/>
        <w:rPr>
          <w:rFonts w:ascii="Arial" w:cs="Arial" w:eastAsia="Arial" w:hAnsi="Arial"/>
          <w:sz w:val="19"/>
          <w:szCs w:val="19"/>
          <w:color w:val="auto"/>
        </w:rPr>
      </w:pPr>
    </w:p>
    <w:p>
      <w:pPr>
        <w:ind w:left="5560" w:hanging="106"/>
        <w:spacing w:after="0"/>
        <w:tabs>
          <w:tab w:leader="none" w:pos="5560" w:val="left"/>
        </w:tabs>
        <w:numPr>
          <w:ilvl w:val="2"/>
          <w:numId w:val="260"/>
        </w:numPr>
        <w:rPr>
          <w:rFonts w:ascii="Arial" w:cs="Arial" w:eastAsia="Arial" w:hAnsi="Arial"/>
          <w:sz w:val="20"/>
          <w:szCs w:val="20"/>
          <w:color w:val="auto"/>
        </w:rPr>
      </w:pPr>
      <w:r>
        <w:rPr>
          <w:rFonts w:ascii="Arial" w:cs="Arial" w:eastAsia="Arial" w:hAnsi="Arial"/>
          <w:sz w:val="20"/>
          <w:szCs w:val="20"/>
          <w:color w:val="auto"/>
        </w:rPr>
        <w:t>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09" w:name="page310"/>
    <w:bookmarkEnd w:id="309"/>
    <w:p>
      <w:pPr>
        <w:ind w:left="660" w:right="140" w:firstLine="645"/>
        <w:spacing w:after="0" w:line="278" w:lineRule="auto"/>
        <w:tabs>
          <w:tab w:leader="none" w:pos="2176" w:val="left"/>
        </w:tabs>
        <w:numPr>
          <w:ilvl w:val="0"/>
          <w:numId w:val="261"/>
        </w:numPr>
        <w:rPr>
          <w:rFonts w:ascii="Arial" w:cs="Arial" w:eastAsia="Arial" w:hAnsi="Arial"/>
          <w:sz w:val="20"/>
          <w:szCs w:val="20"/>
          <w:color w:val="auto"/>
        </w:rPr>
      </w:pPr>
      <w:r>
        <w:rPr>
          <w:rFonts w:ascii="Arial" w:cs="Arial" w:eastAsia="Arial" w:hAnsi="Arial"/>
          <w:sz w:val="20"/>
          <w:szCs w:val="20"/>
          <w:i w:val="1"/>
          <w:iCs w:val="1"/>
          <w:u w:val="single" w:color="auto"/>
          <w:color w:val="auto"/>
        </w:rPr>
        <w:t>Officer’s Certificate</w:t>
      </w:r>
      <w:r>
        <w:rPr>
          <w:rFonts w:ascii="Arial" w:cs="Arial" w:eastAsia="Arial" w:hAnsi="Arial"/>
          <w:sz w:val="20"/>
          <w:szCs w:val="20"/>
          <w:color w:val="auto"/>
        </w:rPr>
        <w:t>. The Administrative Agent shall have received a certificate, dated the Closing Date and signed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by a Responsible Officer of Parent on behalf of each Loan Party, confirming compliance with the conditions precedent set forth in </w:t>
      </w:r>
      <w:r>
        <w:rPr>
          <w:rFonts w:ascii="Arial" w:cs="Arial" w:eastAsia="Arial" w:hAnsi="Arial"/>
          <w:sz w:val="20"/>
          <w:szCs w:val="20"/>
          <w:u w:val="single" w:color="auto"/>
          <w:color w:val="auto"/>
        </w:rPr>
        <w:t>Sections 4.01(f)</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4.02(b)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w:t>
      </w:r>
    </w:p>
    <w:p>
      <w:pPr>
        <w:spacing w:after="0" w:line="146" w:lineRule="exact"/>
        <w:rPr>
          <w:rFonts w:ascii="Arial" w:cs="Arial" w:eastAsia="Arial" w:hAnsi="Arial"/>
          <w:sz w:val="20"/>
          <w:szCs w:val="20"/>
          <w:color w:val="auto"/>
        </w:rPr>
      </w:pPr>
    </w:p>
    <w:p>
      <w:pPr>
        <w:ind w:left="660" w:right="20" w:firstLine="645"/>
        <w:spacing w:after="0" w:line="272" w:lineRule="auto"/>
        <w:tabs>
          <w:tab w:leader="none" w:pos="2187" w:val="left"/>
        </w:tabs>
        <w:numPr>
          <w:ilvl w:val="0"/>
          <w:numId w:val="261"/>
        </w:numPr>
        <w:rPr>
          <w:rFonts w:ascii="Arial" w:cs="Arial" w:eastAsia="Arial" w:hAnsi="Arial"/>
          <w:sz w:val="20"/>
          <w:szCs w:val="20"/>
          <w:color w:val="auto"/>
        </w:rPr>
      </w:pPr>
      <w:r>
        <w:rPr>
          <w:rFonts w:ascii="Arial" w:cs="Arial" w:eastAsia="Arial" w:hAnsi="Arial"/>
          <w:sz w:val="20"/>
          <w:szCs w:val="20"/>
          <w:i w:val="1"/>
          <w:iCs w:val="1"/>
          <w:u w:val="single" w:color="auto"/>
          <w:color w:val="auto"/>
        </w:rPr>
        <w:t>Opinions of Counsel</w:t>
      </w:r>
      <w:r>
        <w:rPr>
          <w:rFonts w:ascii="Arial" w:cs="Arial" w:eastAsia="Arial" w:hAnsi="Arial"/>
          <w:sz w:val="20"/>
          <w:szCs w:val="20"/>
          <w:color w:val="auto"/>
        </w:rPr>
        <w:t>. On the Closing Date, the Administrative Agent shall have received a favorable written opinion</w:t>
      </w:r>
      <w:r>
        <w:rPr>
          <w:rFonts w:ascii="Arial" w:cs="Arial" w:eastAsia="Arial" w:hAnsi="Arial"/>
          <w:sz w:val="20"/>
          <w:szCs w:val="20"/>
          <w:i w:val="1"/>
          <w:iCs w:val="1"/>
          <w:color w:val="auto"/>
        </w:rPr>
        <w:t xml:space="preserve"> </w:t>
      </w:r>
      <w:r>
        <w:rPr>
          <w:rFonts w:ascii="Arial" w:cs="Arial" w:eastAsia="Arial" w:hAnsi="Arial"/>
          <w:sz w:val="20"/>
          <w:szCs w:val="20"/>
          <w:color w:val="auto"/>
        </w:rPr>
        <w:t>of (i) Cooley LLP, US counsel to the Loan Parties, (ii) A&amp;L Goodbody, Irish counsel to the Loan Parties, (iii) Arthur Cox, Irish counsel to the Administrative Agent, (iv) Conyers, Dill &amp; Pearman Limited, Bermuda counsel to the Loan Parties, (v) Ellul &amp; Co., Gibraltar counsel to the Loan Parties, and (vi) Arendt &amp; Medernach, Luxembourg counsel to the Loan Parties , in each case addressed to the Administrative Agent, Collateral Agent, each Lender and the L/C Issuer, dated the Closing Date, in the form reasonably satisfactory to the Administrative Agent.</w:t>
      </w:r>
    </w:p>
    <w:p>
      <w:pPr>
        <w:spacing w:after="0" w:line="151" w:lineRule="exact"/>
        <w:rPr>
          <w:rFonts w:ascii="Arial" w:cs="Arial" w:eastAsia="Arial" w:hAnsi="Arial"/>
          <w:sz w:val="20"/>
          <w:szCs w:val="20"/>
          <w:color w:val="auto"/>
        </w:rPr>
      </w:pPr>
    </w:p>
    <w:p>
      <w:pPr>
        <w:ind w:left="2180" w:hanging="875"/>
        <w:spacing w:after="0"/>
        <w:tabs>
          <w:tab w:leader="none" w:pos="2180" w:val="left"/>
        </w:tabs>
        <w:numPr>
          <w:ilvl w:val="0"/>
          <w:numId w:val="261"/>
        </w:numPr>
        <w:rPr>
          <w:rFonts w:ascii="Arial" w:cs="Arial" w:eastAsia="Arial" w:hAnsi="Arial"/>
          <w:sz w:val="20"/>
          <w:szCs w:val="20"/>
          <w:color w:val="auto"/>
        </w:rPr>
      </w:pPr>
      <w:r>
        <w:rPr>
          <w:rFonts w:ascii="Arial" w:cs="Arial" w:eastAsia="Arial" w:hAnsi="Arial"/>
          <w:sz w:val="20"/>
          <w:szCs w:val="20"/>
          <w:i w:val="1"/>
          <w:iCs w:val="1"/>
          <w:u w:val="single" w:color="auto"/>
          <w:color w:val="auto"/>
        </w:rPr>
        <w:t>Consummation of the Closing Date Refinancing</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Contemporaneously with the initial funding of the Loans hereunder, the Closing Date Refinancing shall have been consummated.</w:t>
      </w:r>
    </w:p>
    <w:p>
      <w:pPr>
        <w:spacing w:after="0" w:line="189" w:lineRule="exact"/>
        <w:rPr>
          <w:sz w:val="20"/>
          <w:szCs w:val="20"/>
          <w:color w:val="auto"/>
        </w:rPr>
      </w:pPr>
    </w:p>
    <w:p>
      <w:pPr>
        <w:ind w:left="660" w:right="20" w:firstLine="645"/>
        <w:spacing w:after="0" w:line="356" w:lineRule="auto"/>
        <w:tabs>
          <w:tab w:leader="none" w:pos="2154" w:val="left"/>
        </w:tabs>
        <w:numPr>
          <w:ilvl w:val="0"/>
          <w:numId w:val="262"/>
        </w:numPr>
        <w:rPr>
          <w:rFonts w:ascii="Arial" w:cs="Arial" w:eastAsia="Arial" w:hAnsi="Arial"/>
          <w:sz w:val="16"/>
          <w:szCs w:val="16"/>
          <w:color w:val="auto"/>
        </w:rPr>
      </w:pPr>
      <w:r>
        <w:rPr>
          <w:rFonts w:ascii="Arial" w:cs="Arial" w:eastAsia="Arial" w:hAnsi="Arial"/>
          <w:sz w:val="16"/>
          <w:szCs w:val="16"/>
          <w:i w:val="1"/>
          <w:iCs w:val="1"/>
          <w:u w:val="single" w:color="auto"/>
          <w:color w:val="auto"/>
        </w:rPr>
        <w:t>Company Material Adverse Change</w:t>
      </w:r>
      <w:r>
        <w:rPr>
          <w:rFonts w:ascii="Arial" w:cs="Arial" w:eastAsia="Arial" w:hAnsi="Arial"/>
          <w:sz w:val="16"/>
          <w:szCs w:val="16"/>
          <w:color w:val="auto"/>
        </w:rPr>
        <w:t>. Since December 31, 2014, there shall not have occurred any change, event,</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 or occurrence that, individually or in the aggregate, has or would reasonably be expected to have a material adverse effect on the business, property, results of operations, or financial condition of Parent and its Subsidiaries, taken as a whole (after taking into account any applicable insurance and any applicable indemnification (to the extent the provider of such insurance or indemnification has the financial ability to support its obligations with respect thereto and is not disputing or refusing to acknowledge the same)).</w:t>
      </w:r>
    </w:p>
    <w:p>
      <w:pPr>
        <w:spacing w:after="0" w:line="94" w:lineRule="exact"/>
        <w:rPr>
          <w:rFonts w:ascii="Arial" w:cs="Arial" w:eastAsia="Arial" w:hAnsi="Arial"/>
          <w:sz w:val="16"/>
          <w:szCs w:val="16"/>
          <w:color w:val="auto"/>
        </w:rPr>
      </w:pPr>
    </w:p>
    <w:p>
      <w:pPr>
        <w:ind w:left="660" w:right="20" w:firstLine="645"/>
        <w:spacing w:after="0" w:line="289" w:lineRule="auto"/>
        <w:tabs>
          <w:tab w:leader="none" w:pos="2187" w:val="left"/>
        </w:tabs>
        <w:numPr>
          <w:ilvl w:val="0"/>
          <w:numId w:val="262"/>
        </w:numPr>
        <w:rPr>
          <w:rFonts w:ascii="Arial" w:cs="Arial" w:eastAsia="Arial" w:hAnsi="Arial"/>
          <w:sz w:val="20"/>
          <w:szCs w:val="20"/>
          <w:color w:val="auto"/>
        </w:rPr>
      </w:pPr>
      <w:r>
        <w:rPr>
          <w:rFonts w:ascii="Arial" w:cs="Arial" w:eastAsia="Arial" w:hAnsi="Arial"/>
          <w:sz w:val="20"/>
          <w:szCs w:val="20"/>
          <w:i w:val="1"/>
          <w:iCs w:val="1"/>
          <w:u w:val="single" w:color="auto"/>
          <w:color w:val="auto"/>
        </w:rPr>
        <w:t>Perfection of Personal Property Security Interests and Pledges; Search Reports</w:t>
      </w:r>
      <w:r>
        <w:rPr>
          <w:rFonts w:ascii="Arial" w:cs="Arial" w:eastAsia="Arial" w:hAnsi="Arial"/>
          <w:sz w:val="20"/>
          <w:szCs w:val="20"/>
          <w:color w:val="auto"/>
        </w:rPr>
        <w:t>. On or prior to the Closing Date, the</w:t>
      </w:r>
      <w:r>
        <w:rPr>
          <w:rFonts w:ascii="Arial" w:cs="Arial" w:eastAsia="Arial" w:hAnsi="Arial"/>
          <w:sz w:val="20"/>
          <w:szCs w:val="20"/>
          <w:i w:val="1"/>
          <w:iCs w:val="1"/>
          <w:color w:val="auto"/>
        </w:rPr>
        <w:t xml:space="preserve"> </w:t>
      </w:r>
      <w:r>
        <w:rPr>
          <w:rFonts w:ascii="Arial" w:cs="Arial" w:eastAsia="Arial" w:hAnsi="Arial"/>
          <w:sz w:val="20"/>
          <w:szCs w:val="20"/>
          <w:color w:val="auto"/>
        </w:rPr>
        <w:t>Collateral Agent shall have received:</w:t>
      </w:r>
    </w:p>
    <w:p>
      <w:pPr>
        <w:spacing w:after="0" w:line="134" w:lineRule="exact"/>
        <w:rPr>
          <w:rFonts w:ascii="Arial" w:cs="Arial" w:eastAsia="Arial" w:hAnsi="Arial"/>
          <w:sz w:val="20"/>
          <w:szCs w:val="20"/>
          <w:color w:val="auto"/>
        </w:rPr>
      </w:pPr>
    </w:p>
    <w:p>
      <w:pPr>
        <w:ind w:left="2780" w:hanging="827"/>
        <w:spacing w:after="0"/>
        <w:tabs>
          <w:tab w:leader="none" w:pos="2780" w:val="left"/>
        </w:tabs>
        <w:numPr>
          <w:ilvl w:val="1"/>
          <w:numId w:val="262"/>
        </w:numPr>
        <w:rPr>
          <w:rFonts w:ascii="Arial" w:cs="Arial" w:eastAsia="Arial" w:hAnsi="Arial"/>
          <w:sz w:val="20"/>
          <w:szCs w:val="20"/>
          <w:color w:val="auto"/>
        </w:rPr>
      </w:pPr>
      <w:r>
        <w:rPr>
          <w:rFonts w:ascii="Arial" w:cs="Arial" w:eastAsia="Arial" w:hAnsi="Arial"/>
          <w:sz w:val="20"/>
          <w:szCs w:val="20"/>
          <w:color w:val="auto"/>
        </w:rPr>
        <w:t>a Perfection Certificate executed by each Loan Party;</w:t>
      </w:r>
    </w:p>
    <w:p>
      <w:pPr>
        <w:spacing w:after="0" w:line="202" w:lineRule="exact"/>
        <w:rPr>
          <w:rFonts w:ascii="Arial" w:cs="Arial" w:eastAsia="Arial" w:hAnsi="Arial"/>
          <w:sz w:val="20"/>
          <w:szCs w:val="20"/>
          <w:color w:val="auto"/>
        </w:rPr>
      </w:pPr>
    </w:p>
    <w:p>
      <w:pPr>
        <w:ind w:left="1300" w:firstLine="653"/>
        <w:spacing w:after="0" w:line="293" w:lineRule="auto"/>
        <w:tabs>
          <w:tab w:leader="none" w:pos="2838" w:val="left"/>
        </w:tabs>
        <w:numPr>
          <w:ilvl w:val="1"/>
          <w:numId w:val="262"/>
        </w:numPr>
        <w:rPr>
          <w:rFonts w:ascii="Arial" w:cs="Arial" w:eastAsia="Arial" w:hAnsi="Arial"/>
          <w:sz w:val="19"/>
          <w:szCs w:val="19"/>
          <w:color w:val="auto"/>
        </w:rPr>
      </w:pPr>
      <w:r>
        <w:rPr>
          <w:rFonts w:ascii="Arial" w:cs="Arial" w:eastAsia="Arial" w:hAnsi="Arial"/>
          <w:sz w:val="19"/>
          <w:szCs w:val="19"/>
          <w:color w:val="auto"/>
        </w:rPr>
        <w:t>appropriate financing statements (Form UCC-1 or such other financing statements or similar notices as shall be required by local Law) authenticated and authorized for filing under the UCC or other applicable local law of each jurisdiction in which the filing of a financing statement or giving of notice may be required, or reasonably requested by the Collateral Agent, to perfect the security interests intended to be created by the Collateral Documents;</w:t>
      </w:r>
    </w:p>
    <w:p>
      <w:pPr>
        <w:spacing w:after="0" w:line="135" w:lineRule="exact"/>
        <w:rPr>
          <w:rFonts w:ascii="Arial" w:cs="Arial" w:eastAsia="Arial" w:hAnsi="Arial"/>
          <w:sz w:val="19"/>
          <w:szCs w:val="19"/>
          <w:color w:val="auto"/>
        </w:rPr>
      </w:pPr>
    </w:p>
    <w:p>
      <w:pPr>
        <w:ind w:left="1300" w:right="200" w:firstLine="653"/>
        <w:spacing w:after="0" w:line="287" w:lineRule="auto"/>
        <w:tabs>
          <w:tab w:leader="none" w:pos="2893" w:val="left"/>
        </w:tabs>
        <w:numPr>
          <w:ilvl w:val="1"/>
          <w:numId w:val="262"/>
        </w:numPr>
        <w:rPr>
          <w:rFonts w:ascii="Arial" w:cs="Arial" w:eastAsia="Arial" w:hAnsi="Arial"/>
          <w:sz w:val="19"/>
          <w:szCs w:val="19"/>
          <w:color w:val="auto"/>
        </w:rPr>
      </w:pPr>
      <w:r>
        <w:rPr>
          <w:rFonts w:ascii="Arial" w:cs="Arial" w:eastAsia="Arial" w:hAnsi="Arial"/>
          <w:sz w:val="19"/>
          <w:szCs w:val="19"/>
          <w:color w:val="auto"/>
        </w:rPr>
        <w:t>certified copies of UCC, United States Patent and Trademark Office and United States Copyright Office, Tax and judgment lien searches or equivalent reports or searches within the United States, each of a recent date listing all effective financing statements, lien notices or comparable documents that name any Loan Party as debtor and that are filed in those state and county jurisdictions in which the U.S. Borrower or any Domestic Guarantor is organized or maintains its principal place of business and such other searches within the United States that are required by the Perfection Certificate or that the Collateral Agent deems necessary or appropriate, none of which encumber the Collateral covered or intended to be covered by the Collateral Documents (other than Permitted Liens);</w:t>
      </w:r>
    </w:p>
    <w:p>
      <w:pPr>
        <w:spacing w:after="0" w:line="200" w:lineRule="exact"/>
        <w:rPr>
          <w:rFonts w:ascii="Arial" w:cs="Arial" w:eastAsia="Arial" w:hAnsi="Arial"/>
          <w:sz w:val="19"/>
          <w:szCs w:val="19"/>
          <w:color w:val="auto"/>
        </w:rPr>
      </w:pPr>
    </w:p>
    <w:p>
      <w:pPr>
        <w:spacing w:after="0" w:line="388" w:lineRule="exact"/>
        <w:rPr>
          <w:rFonts w:ascii="Arial" w:cs="Arial" w:eastAsia="Arial" w:hAnsi="Arial"/>
          <w:sz w:val="19"/>
          <w:szCs w:val="19"/>
          <w:color w:val="auto"/>
        </w:rPr>
      </w:pPr>
    </w:p>
    <w:p>
      <w:pPr>
        <w:ind w:left="5560" w:hanging="106"/>
        <w:spacing w:after="0"/>
        <w:tabs>
          <w:tab w:leader="none" w:pos="5560" w:val="left"/>
        </w:tabs>
        <w:numPr>
          <w:ilvl w:val="2"/>
          <w:numId w:val="262"/>
        </w:numPr>
        <w:rPr>
          <w:rFonts w:ascii="Arial" w:cs="Arial" w:eastAsia="Arial" w:hAnsi="Arial"/>
          <w:sz w:val="20"/>
          <w:szCs w:val="20"/>
          <w:color w:val="auto"/>
        </w:rPr>
      </w:pPr>
      <w:r>
        <w:rPr>
          <w:rFonts w:ascii="Arial" w:cs="Arial" w:eastAsia="Arial" w:hAnsi="Arial"/>
          <w:sz w:val="20"/>
          <w:szCs w:val="20"/>
          <w:color w:val="auto"/>
        </w:rPr>
        <w:t>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310" w:name="page311"/>
    <w:bookmarkEnd w:id="310"/>
    <w:p>
      <w:pPr>
        <w:ind w:left="1300" w:right="100" w:firstLine="653"/>
        <w:spacing w:after="0" w:line="274" w:lineRule="auto"/>
        <w:tabs>
          <w:tab w:leader="none" w:pos="2882" w:val="left"/>
        </w:tabs>
        <w:numPr>
          <w:ilvl w:val="1"/>
          <w:numId w:val="263"/>
        </w:numPr>
        <w:rPr>
          <w:rFonts w:ascii="Arial" w:cs="Arial" w:eastAsia="Arial" w:hAnsi="Arial"/>
          <w:sz w:val="20"/>
          <w:szCs w:val="20"/>
          <w:color w:val="auto"/>
        </w:rPr>
      </w:pPr>
      <w:r>
        <w:rPr>
          <w:rFonts w:ascii="Arial" w:cs="Arial" w:eastAsia="Arial" w:hAnsi="Arial"/>
          <w:sz w:val="20"/>
          <w:szCs w:val="20"/>
          <w:color w:val="auto"/>
        </w:rPr>
        <w:t>all of the Pledged Collateral, which Pledged Collateral shall be in suitable form for transfer by delivery, or shall be accompanied by duly executed instruments of transfer or assignment in blank, with signatures appropriately guaranteed, accompanied in each case by any required transfer tax stamps, all in form and substance reasonably satisfactory to the Collateral Agent;</w:t>
      </w:r>
    </w:p>
    <w:p>
      <w:pPr>
        <w:spacing w:after="0" w:line="151" w:lineRule="exact"/>
        <w:rPr>
          <w:rFonts w:ascii="Arial" w:cs="Arial" w:eastAsia="Arial" w:hAnsi="Arial"/>
          <w:sz w:val="20"/>
          <w:szCs w:val="20"/>
          <w:color w:val="auto"/>
        </w:rPr>
      </w:pPr>
    </w:p>
    <w:p>
      <w:pPr>
        <w:ind w:left="1300" w:right="280" w:firstLine="653"/>
        <w:spacing w:after="0" w:line="274" w:lineRule="auto"/>
        <w:tabs>
          <w:tab w:leader="none" w:pos="2827" w:val="left"/>
        </w:tabs>
        <w:numPr>
          <w:ilvl w:val="1"/>
          <w:numId w:val="263"/>
        </w:numPr>
        <w:rPr>
          <w:rFonts w:ascii="Arial" w:cs="Arial" w:eastAsia="Arial" w:hAnsi="Arial"/>
          <w:sz w:val="20"/>
          <w:szCs w:val="20"/>
          <w:color w:val="auto"/>
        </w:rPr>
      </w:pPr>
      <w:r>
        <w:rPr>
          <w:rFonts w:ascii="Arial" w:cs="Arial" w:eastAsia="Arial" w:hAnsi="Arial"/>
          <w:sz w:val="20"/>
          <w:szCs w:val="20"/>
          <w:color w:val="auto"/>
        </w:rPr>
        <w:t>satisfactory up to date searches on the Loan Parties incorporated in Ireland and evidence that all acts appearing thereon which the Lenders require to be discharged have been fully discharged to the satisfaction of the Collateral Agent together with satisfactory priority searches in the Property Registration Authority of Ireland in respect of Mortgaged Property located in Ireland (if any); and</w:t>
      </w:r>
    </w:p>
    <w:p>
      <w:pPr>
        <w:spacing w:after="0" w:line="151" w:lineRule="exact"/>
        <w:rPr>
          <w:rFonts w:ascii="Arial" w:cs="Arial" w:eastAsia="Arial" w:hAnsi="Arial"/>
          <w:sz w:val="20"/>
          <w:szCs w:val="20"/>
          <w:color w:val="auto"/>
        </w:rPr>
      </w:pPr>
    </w:p>
    <w:p>
      <w:pPr>
        <w:ind w:left="1300" w:right="320" w:firstLine="653"/>
        <w:spacing w:after="0" w:line="289" w:lineRule="auto"/>
        <w:tabs>
          <w:tab w:leader="none" w:pos="2882" w:val="left"/>
        </w:tabs>
        <w:numPr>
          <w:ilvl w:val="1"/>
          <w:numId w:val="263"/>
        </w:numPr>
        <w:rPr>
          <w:rFonts w:ascii="Arial" w:cs="Arial" w:eastAsia="Arial" w:hAnsi="Arial"/>
          <w:sz w:val="20"/>
          <w:szCs w:val="20"/>
          <w:color w:val="auto"/>
        </w:rPr>
      </w:pPr>
      <w:r>
        <w:rPr>
          <w:rFonts w:ascii="Arial" w:cs="Arial" w:eastAsia="Arial" w:hAnsi="Arial"/>
          <w:sz w:val="20"/>
          <w:szCs w:val="20"/>
          <w:color w:val="auto"/>
        </w:rPr>
        <w:t>all other filings and recordings of or with respect to the Collateral Documents and of all other actions in each case to the extent required by such Collateral Documents.</w:t>
      </w:r>
    </w:p>
    <w:p>
      <w:pPr>
        <w:spacing w:after="0" w:line="134" w:lineRule="exact"/>
        <w:rPr>
          <w:rFonts w:ascii="Arial" w:cs="Arial" w:eastAsia="Arial" w:hAnsi="Arial"/>
          <w:sz w:val="20"/>
          <w:szCs w:val="20"/>
          <w:color w:val="auto"/>
        </w:rPr>
      </w:pPr>
    </w:p>
    <w:p>
      <w:pPr>
        <w:ind w:left="660" w:right="160" w:firstLine="645"/>
        <w:spacing w:after="0" w:line="293" w:lineRule="auto"/>
        <w:tabs>
          <w:tab w:leader="none" w:pos="2187" w:val="left"/>
        </w:tabs>
        <w:numPr>
          <w:ilvl w:val="0"/>
          <w:numId w:val="264"/>
        </w:numPr>
        <w:rPr>
          <w:rFonts w:ascii="Arial" w:cs="Arial" w:eastAsia="Arial" w:hAnsi="Arial"/>
          <w:sz w:val="19"/>
          <w:szCs w:val="19"/>
          <w:color w:val="auto"/>
        </w:rPr>
      </w:pPr>
      <w:r>
        <w:rPr>
          <w:rFonts w:ascii="Arial" w:cs="Arial" w:eastAsia="Arial" w:hAnsi="Arial"/>
          <w:sz w:val="19"/>
          <w:szCs w:val="19"/>
          <w:i w:val="1"/>
          <w:iCs w:val="1"/>
          <w:u w:val="single" w:color="auto"/>
          <w:color w:val="auto"/>
        </w:rPr>
        <w:t>Solvency Certificate</w:t>
      </w:r>
      <w:r>
        <w:rPr>
          <w:rFonts w:ascii="Arial" w:cs="Arial" w:eastAsia="Arial" w:hAnsi="Arial"/>
          <w:sz w:val="19"/>
          <w:szCs w:val="19"/>
          <w:color w:val="auto"/>
        </w:rPr>
        <w:t>. On or prior to the Closing Date, Parent shall have delivered or caused to be delivered to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Administrative Agent a solvency certificate from a Responsible Officer or chief accounting officer of Parent, substantially in the form of </w:t>
      </w:r>
      <w:r>
        <w:rPr>
          <w:rFonts w:ascii="Arial" w:cs="Arial" w:eastAsia="Arial" w:hAnsi="Arial"/>
          <w:sz w:val="19"/>
          <w:szCs w:val="19"/>
          <w:u w:val="single" w:color="auto"/>
          <w:color w:val="auto"/>
        </w:rPr>
        <w:t>Exhibit K</w:t>
      </w:r>
      <w:r>
        <w:rPr>
          <w:rFonts w:ascii="Arial" w:cs="Arial" w:eastAsia="Arial" w:hAnsi="Arial"/>
          <w:sz w:val="19"/>
          <w:szCs w:val="19"/>
          <w:color w:val="auto"/>
        </w:rPr>
        <w:t xml:space="preserve"> hereto, setting forth the conclusions that, after giving effect to the Transactions and the consummation of all financings contemplated herein, Parent and its Subsidiaries (on a consolidated basis) are Solvent.</w:t>
      </w:r>
    </w:p>
    <w:p>
      <w:pPr>
        <w:spacing w:after="0" w:line="135" w:lineRule="exact"/>
        <w:rPr>
          <w:rFonts w:ascii="Arial" w:cs="Arial" w:eastAsia="Arial" w:hAnsi="Arial"/>
          <w:sz w:val="19"/>
          <w:szCs w:val="19"/>
          <w:color w:val="auto"/>
        </w:rPr>
      </w:pPr>
    </w:p>
    <w:p>
      <w:pPr>
        <w:ind w:left="660" w:firstLine="645"/>
        <w:spacing w:after="0" w:line="293" w:lineRule="auto"/>
        <w:tabs>
          <w:tab w:leader="none" w:pos="2143" w:val="left"/>
        </w:tabs>
        <w:numPr>
          <w:ilvl w:val="0"/>
          <w:numId w:val="264"/>
        </w:numPr>
        <w:rPr>
          <w:rFonts w:ascii="Arial" w:cs="Arial" w:eastAsia="Arial" w:hAnsi="Arial"/>
          <w:sz w:val="19"/>
          <w:szCs w:val="19"/>
          <w:color w:val="auto"/>
        </w:rPr>
      </w:pPr>
      <w:r>
        <w:rPr>
          <w:rFonts w:ascii="Arial" w:cs="Arial" w:eastAsia="Arial" w:hAnsi="Arial"/>
          <w:sz w:val="19"/>
          <w:szCs w:val="19"/>
          <w:i w:val="1"/>
          <w:iCs w:val="1"/>
          <w:u w:val="single" w:color="auto"/>
          <w:color w:val="auto"/>
        </w:rPr>
        <w:t>Payment of Fees</w:t>
      </w:r>
      <w:r>
        <w:rPr>
          <w:rFonts w:ascii="Arial" w:cs="Arial" w:eastAsia="Arial" w:hAnsi="Arial"/>
          <w:sz w:val="19"/>
          <w:szCs w:val="19"/>
          <w:color w:val="auto"/>
        </w:rPr>
        <w:t>. All costs, fees and expenses due and payable to the Administrative Agent, the Collateral Agent and</w:t>
      </w:r>
      <w:r>
        <w:rPr>
          <w:rFonts w:ascii="Arial" w:cs="Arial" w:eastAsia="Arial" w:hAnsi="Arial"/>
          <w:sz w:val="19"/>
          <w:szCs w:val="19"/>
          <w:i w:val="1"/>
          <w:iCs w:val="1"/>
          <w:color w:val="auto"/>
        </w:rPr>
        <w:t xml:space="preserve"> </w:t>
      </w:r>
      <w:r>
        <w:rPr>
          <w:rFonts w:ascii="Arial" w:cs="Arial" w:eastAsia="Arial" w:hAnsi="Arial"/>
          <w:sz w:val="19"/>
          <w:szCs w:val="19"/>
          <w:color w:val="auto"/>
        </w:rPr>
        <w:t>the Lenders on or before the Closing Date shall have been paid or, contemporaneously with the funding of the Term Loans, will be paid, to the extent invoiced in reasonable detail at least three Business Days prior to the Closing Date (which amounts may be offset against the proceeds of the Term Loans or using the proceeds of Revolving Loans).</w:t>
      </w:r>
    </w:p>
    <w:p>
      <w:pPr>
        <w:spacing w:after="0" w:line="135" w:lineRule="exact"/>
        <w:rPr>
          <w:rFonts w:ascii="Arial" w:cs="Arial" w:eastAsia="Arial" w:hAnsi="Arial"/>
          <w:sz w:val="19"/>
          <w:szCs w:val="19"/>
          <w:color w:val="auto"/>
        </w:rPr>
      </w:pPr>
    </w:p>
    <w:p>
      <w:pPr>
        <w:ind w:left="660" w:right="80" w:firstLine="645"/>
        <w:spacing w:after="0" w:line="290" w:lineRule="auto"/>
        <w:tabs>
          <w:tab w:leader="none" w:pos="2143" w:val="left"/>
        </w:tabs>
        <w:numPr>
          <w:ilvl w:val="0"/>
          <w:numId w:val="264"/>
        </w:numPr>
        <w:rPr>
          <w:rFonts w:ascii="Arial" w:cs="Arial" w:eastAsia="Arial" w:hAnsi="Arial"/>
          <w:sz w:val="19"/>
          <w:szCs w:val="19"/>
          <w:color w:val="auto"/>
        </w:rPr>
      </w:pPr>
      <w:r>
        <w:rPr>
          <w:rFonts w:ascii="Arial" w:cs="Arial" w:eastAsia="Arial" w:hAnsi="Arial"/>
          <w:sz w:val="19"/>
          <w:szCs w:val="19"/>
          <w:i w:val="1"/>
          <w:iCs w:val="1"/>
          <w:u w:val="single" w:color="auto"/>
          <w:color w:val="auto"/>
        </w:rPr>
        <w:t>Patriot Act</w:t>
      </w:r>
      <w:r>
        <w:rPr>
          <w:rFonts w:ascii="Arial" w:cs="Arial" w:eastAsia="Arial" w:hAnsi="Arial"/>
          <w:sz w:val="19"/>
          <w:szCs w:val="19"/>
          <w:color w:val="auto"/>
        </w:rPr>
        <w:t>. At least five days prior to the Closing Date, each Loan Party shall have provided the documentation and</w:t>
      </w:r>
      <w:r>
        <w:rPr>
          <w:rFonts w:ascii="Arial" w:cs="Arial" w:eastAsia="Arial" w:hAnsi="Arial"/>
          <w:sz w:val="19"/>
          <w:szCs w:val="19"/>
          <w:i w:val="1"/>
          <w:iCs w:val="1"/>
          <w:color w:val="auto"/>
        </w:rPr>
        <w:t xml:space="preserve"> </w:t>
      </w:r>
      <w:r>
        <w:rPr>
          <w:rFonts w:ascii="Arial" w:cs="Arial" w:eastAsia="Arial" w:hAnsi="Arial"/>
          <w:sz w:val="19"/>
          <w:szCs w:val="19"/>
          <w:color w:val="auto"/>
        </w:rPr>
        <w:t>other information concerning such Loan Party to the Administrative Agent and the Lead Arranger as has been reasonably requested in writing at least 10 days prior to the Closing Date by the Administrative Agent (as requested by any Lender to the Administrative Agent) that the Lenders reasonably determine is required by regulatory authorities under applicable “know your customer” and anti-money laundering rules and regulations, including, without limitation, the Patriot Act.</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The documents referred to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shall be delivered to the Administrative Agent no later than the Closing Date.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certificates and opinions referred to in this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shall be dated the Closing Date.</w:t>
      </w:r>
    </w:p>
    <w:p>
      <w:pPr>
        <w:spacing w:after="0" w:line="200"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 xml:space="preserve">Without limiting the generality of the provisions of </w:t>
      </w:r>
      <w:r>
        <w:rPr>
          <w:rFonts w:ascii="Arial" w:cs="Arial" w:eastAsia="Arial" w:hAnsi="Arial"/>
          <w:sz w:val="20"/>
          <w:szCs w:val="20"/>
          <w:u w:val="single" w:color="auto"/>
          <w:color w:val="auto"/>
        </w:rPr>
        <w:t>Section 9.04</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4.01</w:t>
      </w:r>
      <w:r>
        <w:rPr>
          <w:rFonts w:ascii="Arial" w:cs="Arial" w:eastAsia="Arial" w:hAnsi="Arial"/>
          <w:sz w:val="20"/>
          <w:szCs w:val="20"/>
          <w:color w:val="auto"/>
        </w:rPr>
        <w:t>, each Lender that has signed this Agreement shall be deemed to have consented to, approved or accepted or to be satisfied with, or waived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311" w:name="page312"/>
    <w:bookmarkEnd w:id="311"/>
    <w:p>
      <w:pPr>
        <w:ind w:right="520" w:firstLine="1297"/>
        <w:spacing w:after="0" w:line="260" w:lineRule="auto"/>
        <w:rPr>
          <w:sz w:val="20"/>
          <w:szCs w:val="20"/>
          <w:color w:val="auto"/>
        </w:rPr>
      </w:pPr>
      <w:r>
        <w:rPr>
          <w:rFonts w:ascii="Arial" w:cs="Arial" w:eastAsia="Arial" w:hAnsi="Arial"/>
          <w:sz w:val="20"/>
          <w:szCs w:val="20"/>
          <w:color w:val="auto"/>
        </w:rPr>
        <w:t>Promptly after the Closing Date occurs, the Administrative Agent shall notify the Lead Borrower and the Lenders of the Closing Date, and such notice shall be conclusive and binding on all parties hereto.</w:t>
      </w:r>
    </w:p>
    <w:p>
      <w:pPr>
        <w:spacing w:after="0" w:line="177" w:lineRule="exact"/>
        <w:rPr>
          <w:sz w:val="20"/>
          <w:szCs w:val="20"/>
          <w:color w:val="auto"/>
        </w:rPr>
      </w:pPr>
    </w:p>
    <w:p>
      <w:pPr>
        <w:ind w:firstLine="1297"/>
        <w:spacing w:after="0" w:line="271" w:lineRule="auto"/>
        <w:rPr>
          <w:sz w:val="20"/>
          <w:szCs w:val="20"/>
          <w:color w:val="auto"/>
        </w:rPr>
      </w:pPr>
      <w:r>
        <w:rPr>
          <w:rFonts w:ascii="Arial" w:cs="Arial" w:eastAsia="Arial" w:hAnsi="Arial"/>
          <w:sz w:val="18"/>
          <w:szCs w:val="18"/>
          <w:color w:val="auto"/>
        </w:rPr>
        <w:t>Notwithstanding anything in this Agreement to the contrary it is understood that, to the extent any security interest in the Collateral (other than (1) any Collateral the security interest in which may be perfected by the filing of a UCC financing statement, (2) with respect to the U.S. Borrower and the Domestic Guarantors by intellectual property filings with the United States Patent and Trademark Office or the United States Copyright Office or (3) by the delivery of certificates representing the Equity Interests of (x) the U.S. Borrower and its Domestic Subsidiaries and (y) the Irish Borrowers) is not perfected or, with respect to (a) any Mortgages, (b) any Collateral, the pledge of which requires a filing in any Non-U.S. jurisdiction (other than Ireland), and (c) any Foreign Collateral Documents (other than those governed by the laws of Ireland), are not provided on the Closing Date after Parent’s and the Borrowers’ use of commercially reasonable efforts to do so, the perfection or provision of such security interest will not constitute a condition precedent to the availability of the initial Loans and other Credit Extensions on the Closing Date, but the Borrowers and Parent agree to perfect such security interest no later than 90 days after the Closing Date (subject to extension by the Administrative Agent in its reasonable discretion).</w:t>
      </w:r>
    </w:p>
    <w:p>
      <w:pPr>
        <w:spacing w:after="0" w:line="277" w:lineRule="exact"/>
        <w:rPr>
          <w:sz w:val="20"/>
          <w:szCs w:val="20"/>
          <w:color w:val="auto"/>
        </w:rPr>
      </w:pPr>
    </w:p>
    <w:p>
      <w:pPr>
        <w:ind w:right="160" w:firstLine="1297"/>
        <w:spacing w:after="0" w:line="253" w:lineRule="auto"/>
        <w:rPr>
          <w:sz w:val="20"/>
          <w:szCs w:val="20"/>
          <w:color w:val="auto"/>
        </w:rPr>
      </w:pPr>
      <w:r>
        <w:rPr>
          <w:rFonts w:ascii="Arial" w:cs="Arial" w:eastAsia="Arial" w:hAnsi="Arial"/>
          <w:sz w:val="20"/>
          <w:szCs w:val="20"/>
          <w:b w:val="1"/>
          <w:bCs w:val="1"/>
          <w:color w:val="auto"/>
        </w:rPr>
        <w:t xml:space="preserve">Section 4.02 </w:t>
      </w:r>
      <w:r>
        <w:rPr>
          <w:rFonts w:ascii="Arial" w:cs="Arial" w:eastAsia="Arial" w:hAnsi="Arial"/>
          <w:sz w:val="20"/>
          <w:szCs w:val="20"/>
          <w:u w:val="single" w:color="auto"/>
          <w:color w:val="auto"/>
        </w:rPr>
        <w:t>Conditions to All Credit Extensions</w:t>
      </w:r>
      <w:r>
        <w:rPr>
          <w:rFonts w:ascii="Arial" w:cs="Arial" w:eastAsia="Arial" w:hAnsi="Arial"/>
          <w:sz w:val="20"/>
          <w:szCs w:val="20"/>
          <w:color w:val="auto"/>
        </w:rPr>
        <w:t>. The obligation of any Lender to make a Loan on the occasion of any</w:t>
      </w:r>
      <w:r>
        <w:rPr>
          <w:rFonts w:ascii="Arial" w:cs="Arial" w:eastAsia="Arial" w:hAnsi="Arial"/>
          <w:sz w:val="20"/>
          <w:szCs w:val="20"/>
          <w:b w:val="1"/>
          <w:bCs w:val="1"/>
          <w:color w:val="auto"/>
        </w:rPr>
        <w:t xml:space="preserve"> </w:t>
      </w:r>
      <w:r>
        <w:rPr>
          <w:rFonts w:ascii="Arial" w:cs="Arial" w:eastAsia="Arial" w:hAnsi="Arial"/>
          <w:sz w:val="20"/>
          <w:szCs w:val="20"/>
          <w:color w:val="auto"/>
        </w:rPr>
        <w:t>Borrowing (including the initial Credit Extensions on the Closing Date), and the obligation of any L/C Issuer to issue (or renew or extend the term of) any Letter of Credit, is subject to the satisfaction or waiver of the following conditions:</w:t>
      </w:r>
    </w:p>
    <w:p>
      <w:pPr>
        <w:spacing w:after="0" w:line="157" w:lineRule="exact"/>
        <w:rPr>
          <w:sz w:val="20"/>
          <w:szCs w:val="20"/>
          <w:color w:val="auto"/>
        </w:rPr>
      </w:pPr>
    </w:p>
    <w:p>
      <w:pPr>
        <w:ind w:left="660" w:right="120" w:firstLine="645"/>
        <w:spacing w:after="0" w:line="297" w:lineRule="auto"/>
        <w:tabs>
          <w:tab w:leader="none" w:pos="2176" w:val="left"/>
        </w:tabs>
        <w:numPr>
          <w:ilvl w:val="1"/>
          <w:numId w:val="265"/>
        </w:numPr>
        <w:rPr>
          <w:rFonts w:ascii="Arial" w:cs="Arial" w:eastAsia="Arial" w:hAnsi="Arial"/>
          <w:sz w:val="18"/>
          <w:szCs w:val="18"/>
          <w:color w:val="auto"/>
        </w:rPr>
      </w:pPr>
      <w:r>
        <w:rPr>
          <w:rFonts w:ascii="Arial" w:cs="Arial" w:eastAsia="Arial" w:hAnsi="Arial"/>
          <w:sz w:val="18"/>
          <w:szCs w:val="18"/>
          <w:i w:val="1"/>
          <w:iCs w:val="1"/>
          <w:u w:val="single" w:color="auto"/>
          <w:color w:val="auto"/>
        </w:rPr>
        <w:t>Notice</w:t>
      </w:r>
      <w:r>
        <w:rPr>
          <w:rFonts w:ascii="Arial" w:cs="Arial" w:eastAsia="Arial" w:hAnsi="Arial"/>
          <w:sz w:val="18"/>
          <w:szCs w:val="18"/>
          <w:color w:val="auto"/>
        </w:rPr>
        <w:t>. The applicable Borrower shall have delivered (i) in the case of any Loan, to the Administrative Agent,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appropriate Notice of Borrowing, duly executed and completed, by the time specified in, and otherwise as permitted by,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ind w:left="660" w:right="160" w:hanging="4"/>
        <w:spacing w:after="0" w:line="278" w:lineRule="auto"/>
        <w:tabs>
          <w:tab w:leader="none" w:pos="951" w:val="left"/>
        </w:tabs>
        <w:numPr>
          <w:ilvl w:val="0"/>
          <w:numId w:val="266"/>
        </w:numPr>
        <w:rPr>
          <w:rFonts w:ascii="Arial" w:cs="Arial" w:eastAsia="Arial" w:hAnsi="Arial"/>
          <w:sz w:val="20"/>
          <w:szCs w:val="20"/>
          <w:color w:val="auto"/>
        </w:rPr>
      </w:pPr>
      <w:r>
        <w:rPr>
          <w:rFonts w:ascii="Arial" w:cs="Arial" w:eastAsia="Arial" w:hAnsi="Arial"/>
          <w:sz w:val="20"/>
          <w:szCs w:val="20"/>
          <w:color w:val="auto"/>
        </w:rPr>
        <w:t xml:space="preserve">in the case of any Letter of Credit, to the L/C Issuer, an appropriate Letter of Credit Request duly executed and completed in accordance with the provisions of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and (iii) in the case of any Swing Line Loan, to the Swing Line Lender, a Swing Line Loan Request, duly executed and completed, by the time specified in </w:t>
      </w:r>
      <w:r>
        <w:rPr>
          <w:rFonts w:ascii="Arial" w:cs="Arial" w:eastAsia="Arial" w:hAnsi="Arial"/>
          <w:sz w:val="20"/>
          <w:szCs w:val="20"/>
          <w:u w:val="single" w:color="auto"/>
          <w:color w:val="auto"/>
        </w:rPr>
        <w:t>Section 2.02(b)</w:t>
      </w:r>
      <w:r>
        <w:rPr>
          <w:rFonts w:ascii="Arial" w:cs="Arial" w:eastAsia="Arial" w:hAnsi="Arial"/>
          <w:sz w:val="20"/>
          <w:szCs w:val="20"/>
          <w:color w:val="auto"/>
        </w:rPr>
        <w:t>.</w:t>
      </w:r>
    </w:p>
    <w:p>
      <w:pPr>
        <w:spacing w:after="0" w:line="146" w:lineRule="exact"/>
        <w:rPr>
          <w:rFonts w:ascii="Arial" w:cs="Arial" w:eastAsia="Arial" w:hAnsi="Arial"/>
          <w:sz w:val="20"/>
          <w:szCs w:val="20"/>
          <w:color w:val="auto"/>
        </w:rPr>
      </w:pPr>
    </w:p>
    <w:p>
      <w:pPr>
        <w:ind w:left="660" w:right="200" w:firstLine="645"/>
        <w:spacing w:after="0" w:line="343" w:lineRule="auto"/>
        <w:tabs>
          <w:tab w:leader="none" w:pos="2187" w:val="left"/>
        </w:tabs>
        <w:numPr>
          <w:ilvl w:val="1"/>
          <w:numId w:val="266"/>
        </w:numPr>
        <w:rPr>
          <w:rFonts w:ascii="Arial" w:cs="Arial" w:eastAsia="Arial" w:hAnsi="Arial"/>
          <w:sz w:val="16"/>
          <w:szCs w:val="16"/>
          <w:color w:val="auto"/>
        </w:rPr>
      </w:pPr>
      <w:r>
        <w:rPr>
          <w:rFonts w:ascii="Arial" w:cs="Arial" w:eastAsia="Arial" w:hAnsi="Arial"/>
          <w:sz w:val="16"/>
          <w:szCs w:val="16"/>
          <w:i w:val="1"/>
          <w:iCs w:val="1"/>
          <w:u w:val="single" w:color="auto"/>
          <w:color w:val="auto"/>
        </w:rPr>
        <w:t>Representations and Warranties</w:t>
      </w:r>
      <w:r>
        <w:rPr>
          <w:rFonts w:ascii="Arial" w:cs="Arial" w:eastAsia="Arial" w:hAnsi="Arial"/>
          <w:sz w:val="16"/>
          <w:szCs w:val="16"/>
          <w:color w:val="auto"/>
        </w:rPr>
        <w:t>. The representations and warranties of each Borrower and the other Loan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this Agreement and in any other Loan Document, or which are contained in any Compliance Certificate furnished at any time under or in connection herewith, shall be (i) in the case of representations and warranties qualified by “materiality,” “Material Adverse Effect” or similar language, true and correct in all respects and (ii) in the case of all other representations and warranties, true and correct in all material respects, in each case on and as of the date of such Credit Extension, except to the extent that such representations and warranties specifically refer to an earlier date, in which case they shall be true and correct on the basis set forth above as of such earlier date. The representations and warranties contained in subsection (b)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5.05</w:t>
      </w:r>
      <w:r>
        <w:rPr>
          <w:rFonts w:ascii="Arial" w:cs="Arial" w:eastAsia="Arial" w:hAnsi="Arial"/>
          <w:sz w:val="16"/>
          <w:szCs w:val="16"/>
          <w:color w:val="auto"/>
        </w:rPr>
        <w:t xml:space="preserve"> shall be deemed to refer to the most recent statements furnished after the Closing Date pursuant to subsections (a) and (b),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Notwithstanding the foregoing, to the extent the proceeds of any Incremental Facility are to be used to consummate a Limited Condition Acquisition and to the extent agreed to by lenders providing such Incremental Facility, the requirement that the representations and warranties in this Agreement and in any other Loan Documents be true and correct shall be limited to customary “specified representations” to be agreed upon with the lenders providing such Incremental Facility.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8" w:lineRule="exact"/>
        <w:rPr>
          <w:rFonts w:ascii="Arial" w:cs="Arial" w:eastAsia="Arial" w:hAnsi="Arial"/>
          <w:sz w:val="16"/>
          <w:szCs w:val="16"/>
          <w:color w:val="auto"/>
        </w:rPr>
      </w:pPr>
    </w:p>
    <w:p>
      <w:pPr>
        <w:ind w:left="5560" w:hanging="106"/>
        <w:spacing w:after="0"/>
        <w:tabs>
          <w:tab w:leader="none" w:pos="5560" w:val="left"/>
        </w:tabs>
        <w:numPr>
          <w:ilvl w:val="2"/>
          <w:numId w:val="266"/>
        </w:numPr>
        <w:rPr>
          <w:rFonts w:ascii="Arial" w:cs="Arial" w:eastAsia="Arial" w:hAnsi="Arial"/>
          <w:sz w:val="20"/>
          <w:szCs w:val="20"/>
          <w:color w:val="auto"/>
        </w:rPr>
      </w:pPr>
      <w:r>
        <w:rPr>
          <w:rFonts w:ascii="Arial" w:cs="Arial" w:eastAsia="Arial" w:hAnsi="Arial"/>
          <w:sz w:val="20"/>
          <w:szCs w:val="20"/>
          <w:color w:val="auto"/>
        </w:rPr>
        <w:t>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366" w:right="319" w:bottom="1440" w:gutter="0" w:footer="0" w:header="0"/>
        </w:sectPr>
      </w:pPr>
    </w:p>
    <w:bookmarkStart w:id="312" w:name="page313"/>
    <w:bookmarkEnd w:id="312"/>
    <w:p>
      <w:pPr>
        <w:ind w:left="660" w:right="60" w:firstLine="645"/>
        <w:spacing w:after="0" w:line="289" w:lineRule="auto"/>
        <w:tabs>
          <w:tab w:leader="none" w:pos="2176" w:val="left"/>
        </w:tabs>
        <w:numPr>
          <w:ilvl w:val="0"/>
          <w:numId w:val="267"/>
        </w:numPr>
        <w:rPr>
          <w:rFonts w:ascii="Arial" w:cs="Arial" w:eastAsia="Arial" w:hAnsi="Arial"/>
          <w:sz w:val="20"/>
          <w:szCs w:val="20"/>
          <w:color w:val="auto"/>
        </w:rPr>
      </w:pPr>
      <w:r>
        <w:rPr>
          <w:rFonts w:ascii="Arial" w:cs="Arial" w:eastAsia="Arial" w:hAnsi="Arial"/>
          <w:sz w:val="20"/>
          <w:szCs w:val="20"/>
          <w:i w:val="1"/>
          <w:iCs w:val="1"/>
          <w:u w:val="single" w:color="auto"/>
          <w:color w:val="auto"/>
        </w:rPr>
        <w:t>No Default</w:t>
      </w:r>
      <w:r>
        <w:rPr>
          <w:rFonts w:ascii="Arial" w:cs="Arial" w:eastAsia="Arial" w:hAnsi="Arial"/>
          <w:sz w:val="20"/>
          <w:szCs w:val="20"/>
          <w:color w:val="auto"/>
        </w:rPr>
        <w:t>. No Default or Event of Default shall exist or would result from such proposed Credit Extension or from</w:t>
      </w:r>
      <w:r>
        <w:rPr>
          <w:rFonts w:ascii="Arial" w:cs="Arial" w:eastAsia="Arial" w:hAnsi="Arial"/>
          <w:sz w:val="20"/>
          <w:szCs w:val="20"/>
          <w:i w:val="1"/>
          <w:iCs w:val="1"/>
          <w:color w:val="auto"/>
        </w:rPr>
        <w:t xml:space="preserve"> </w:t>
      </w:r>
      <w:r>
        <w:rPr>
          <w:rFonts w:ascii="Arial" w:cs="Arial" w:eastAsia="Arial" w:hAnsi="Arial"/>
          <w:sz w:val="20"/>
          <w:szCs w:val="20"/>
          <w:color w:val="auto"/>
        </w:rPr>
        <w:t>the application of the proceeds thereof.</w:t>
      </w:r>
    </w:p>
    <w:p>
      <w:pPr>
        <w:spacing w:after="0" w:line="121" w:lineRule="exact"/>
        <w:rPr>
          <w:sz w:val="20"/>
          <w:szCs w:val="20"/>
          <w:color w:val="auto"/>
        </w:rPr>
      </w:pPr>
    </w:p>
    <w:p>
      <w:pPr>
        <w:ind w:right="180" w:firstLine="1297"/>
        <w:spacing w:after="0" w:line="316" w:lineRule="auto"/>
        <w:rPr>
          <w:sz w:val="20"/>
          <w:szCs w:val="20"/>
          <w:color w:val="auto"/>
        </w:rPr>
      </w:pPr>
      <w:r>
        <w:rPr>
          <w:rFonts w:ascii="Arial" w:cs="Arial" w:eastAsia="Arial" w:hAnsi="Arial"/>
          <w:sz w:val="18"/>
          <w:szCs w:val="18"/>
          <w:color w:val="auto"/>
        </w:rPr>
        <w:t>The delivery of each Notice of Borrowing, Swing Line Loan Request and each request for a Letter of Credit shall constitute a representation and warranty by the Loan Parties of the correctness of the matters specified in subsections (b) and (c) above.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235" w:lineRule="exact"/>
        <w:rPr>
          <w:sz w:val="20"/>
          <w:szCs w:val="20"/>
          <w:color w:val="auto"/>
        </w:rPr>
      </w:pPr>
    </w:p>
    <w:p>
      <w:pPr>
        <w:ind w:right="200" w:firstLine="1297"/>
        <w:spacing w:after="0" w:line="250" w:lineRule="auto"/>
        <w:rPr>
          <w:sz w:val="20"/>
          <w:szCs w:val="20"/>
          <w:color w:val="auto"/>
        </w:rPr>
      </w:pPr>
      <w:r>
        <w:rPr>
          <w:rFonts w:ascii="Arial" w:cs="Arial" w:eastAsia="Arial" w:hAnsi="Arial"/>
          <w:sz w:val="20"/>
          <w:szCs w:val="20"/>
          <w:color w:val="auto"/>
        </w:rPr>
        <w:t xml:space="preserve">Parent and each Borrower represent and warrant to the Administrative Agent and the Lenders that on and as of the Closing Date and after giving effect to the Transactions and the making of the Loans and the other financial accommodations on the Closing Date and on and as of each date as required by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4.02</w:t>
      </w:r>
      <w:r>
        <w:rPr>
          <w:rFonts w:ascii="Arial" w:cs="Arial" w:eastAsia="Arial" w:hAnsi="Arial"/>
          <w:sz w:val="20"/>
          <w:szCs w:val="20"/>
          <w:color w:val="auto"/>
        </w:rPr>
        <w:t>:</w:t>
      </w:r>
    </w:p>
    <w:p>
      <w:pPr>
        <w:spacing w:after="0" w:line="126" w:lineRule="exact"/>
        <w:rPr>
          <w:sz w:val="20"/>
          <w:szCs w:val="20"/>
          <w:color w:val="auto"/>
        </w:rPr>
      </w:pPr>
    </w:p>
    <w:p>
      <w:pPr>
        <w:ind w:firstLine="1297"/>
        <w:spacing w:after="0" w:line="257" w:lineRule="auto"/>
        <w:rPr>
          <w:sz w:val="20"/>
          <w:szCs w:val="20"/>
          <w:color w:val="auto"/>
        </w:rPr>
      </w:pPr>
      <w:r>
        <w:rPr>
          <w:rFonts w:ascii="Arial" w:cs="Arial" w:eastAsia="Arial" w:hAnsi="Arial"/>
          <w:sz w:val="19"/>
          <w:szCs w:val="19"/>
          <w:b w:val="1"/>
          <w:bCs w:val="1"/>
          <w:color w:val="auto"/>
        </w:rPr>
        <w:t xml:space="preserve">Section 5.01 </w:t>
      </w:r>
      <w:r>
        <w:rPr>
          <w:rFonts w:ascii="Arial" w:cs="Arial" w:eastAsia="Arial" w:hAnsi="Arial"/>
          <w:sz w:val="19"/>
          <w:szCs w:val="19"/>
          <w:u w:val="single" w:color="auto"/>
          <w:color w:val="auto"/>
        </w:rPr>
        <w:t>Existence, Qualification and Power</w:t>
      </w:r>
      <w:r>
        <w:rPr>
          <w:rFonts w:ascii="Arial" w:cs="Arial" w:eastAsia="Arial" w:hAnsi="Arial"/>
          <w:sz w:val="19"/>
          <w:szCs w:val="19"/>
          <w:color w:val="auto"/>
        </w:rPr>
        <w:t>. Each of Parent and each of its Restricted Subsidiaries (i) is duly organized</w:t>
      </w:r>
      <w:r>
        <w:rPr>
          <w:rFonts w:ascii="Arial" w:cs="Arial" w:eastAsia="Arial" w:hAnsi="Arial"/>
          <w:sz w:val="19"/>
          <w:szCs w:val="19"/>
          <w:b w:val="1"/>
          <w:bCs w:val="1"/>
          <w:color w:val="auto"/>
        </w:rPr>
        <w:t xml:space="preserve"> </w:t>
      </w:r>
      <w:r>
        <w:rPr>
          <w:rFonts w:ascii="Arial" w:cs="Arial" w:eastAsia="Arial" w:hAnsi="Arial"/>
          <w:sz w:val="19"/>
          <w:szCs w:val="19"/>
          <w:color w:val="auto"/>
        </w:rPr>
        <w:t>or formed, validly existing and in good standing (to the extent such concept exists in the relevant jurisdiction) under the Laws of the jurisdiction of its incorporation or organization, (ii) has all requisite corporate or other organizational power and authority and all requisite governmental licenses, authorizations, consents and approvals to (A) own its assets and carry on its business as presently conducted except to the extent that failure to possess such governmental licenses, authorizations, consents and approvals would not reasonably be expected to have a Material Adverse Effect and (B) execute, deliver and perform its obligations under the Loan Documents to which it is a party and (iii) is duly qualified and is licensed and in good standing under the Laws of each jurisdiction where its ownership, lease or operation of properties or the conduct of its business requires such qualification or license except to the extent that failure to do so would not reasonably be expected to have a Material Adverse Effect.</w:t>
      </w:r>
    </w:p>
    <w:p>
      <w:pPr>
        <w:spacing w:after="0" w:line="69" w:lineRule="exact"/>
        <w:rPr>
          <w:sz w:val="20"/>
          <w:szCs w:val="20"/>
          <w:color w:val="auto"/>
        </w:rPr>
      </w:pPr>
    </w:p>
    <w:p>
      <w:pPr>
        <w:ind w:right="60" w:firstLine="1297"/>
        <w:spacing w:after="0" w:line="274" w:lineRule="auto"/>
        <w:rPr>
          <w:sz w:val="20"/>
          <w:szCs w:val="20"/>
          <w:color w:val="auto"/>
        </w:rPr>
      </w:pPr>
      <w:r>
        <w:rPr>
          <w:rFonts w:ascii="Arial" w:cs="Arial" w:eastAsia="Arial" w:hAnsi="Arial"/>
          <w:sz w:val="18"/>
          <w:szCs w:val="18"/>
          <w:b w:val="1"/>
          <w:bCs w:val="1"/>
          <w:color w:val="auto"/>
        </w:rPr>
        <w:t xml:space="preserve">Section 5.02 </w:t>
      </w:r>
      <w:r>
        <w:rPr>
          <w:rFonts w:ascii="Arial" w:cs="Arial" w:eastAsia="Arial" w:hAnsi="Arial"/>
          <w:sz w:val="18"/>
          <w:szCs w:val="18"/>
          <w:u w:val="single" w:color="auto"/>
          <w:color w:val="auto"/>
        </w:rPr>
        <w:t>Authorization; No Contravention</w:t>
      </w:r>
      <w:r>
        <w:rPr>
          <w:rFonts w:ascii="Arial" w:cs="Arial" w:eastAsia="Arial" w:hAnsi="Arial"/>
          <w:sz w:val="18"/>
          <w:szCs w:val="18"/>
          <w:color w:val="auto"/>
        </w:rPr>
        <w:t>. The execution, delivery and performance by each Loan Party of each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to which such Person is party (x) have been duly authorized by all necessary corporate, partnership, limited liability company or other organizational action, and (y) do not and will not (i) contravene the terms of any of such Person’s Organization Documents, (ii) conflict with or result in any breach or contravention of, or the creation of any Lien (other than Permitted Liens) under, any Contractual Obligation to which such Person is a party or any order, injunction, writ or decree of any Governmental Authority or any arbitral award to which such Person or its property is subject except in the case of this clause (ii) any such conflict, breach or contravention that would not reasonably be expected individually or in the aggregate to have a Material Adverse Effect or (iii) violate any Law, except in any case for such violations that would not reasonably be expected, individually or in the aggregate, to have a Material Adverse Effect.</w:t>
      </w:r>
    </w:p>
    <w:p>
      <w:pPr>
        <w:spacing w:after="0" w:line="230"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b w:val="1"/>
          <w:bCs w:val="1"/>
          <w:color w:val="auto"/>
        </w:rPr>
        <w:t xml:space="preserve">Section 5.03 </w:t>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 Except for filings necessary to perfect the Liens in favor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Collateral Agent in the Collateral, consents, authorizations, notices, approvals and exemptions that have been obtained prior to or as of the Closing Date or as are scheduled on </w:t>
      </w:r>
      <w:r>
        <w:rPr>
          <w:rFonts w:ascii="Arial" w:cs="Arial" w:eastAsia="Arial" w:hAnsi="Arial"/>
          <w:sz w:val="18"/>
          <w:szCs w:val="18"/>
          <w:u w:val="single" w:color="auto"/>
          <w:color w:val="auto"/>
        </w:rPr>
        <w:t>Schedule 5.03</w:t>
      </w:r>
      <w:r>
        <w:rPr>
          <w:rFonts w:ascii="Arial" w:cs="Arial" w:eastAsia="Arial" w:hAnsi="Arial"/>
          <w:sz w:val="18"/>
          <w:szCs w:val="18"/>
          <w:color w:val="auto"/>
        </w:rPr>
        <w:t xml:space="preserve"> and consents, authorizations, notices, approvals and exemptions, the failure of which to obtain or make would not reasonably be expected to have a Material Adverse Effect, no approval, consent, exemption, authorization, or other action by, or notice to, or filing with, any Governmental Authority is necessary or required in connection with the execution, delivery or performance by, or enforcement against, any Loan Party of this Agreement or any other Loan Document to which it is a party.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313" w:name="page314"/>
    <w:bookmarkEnd w:id="313"/>
    <w:p>
      <w:pPr>
        <w:ind w:right="20" w:firstLine="1297"/>
        <w:spacing w:after="0" w:line="244" w:lineRule="auto"/>
        <w:rPr>
          <w:sz w:val="20"/>
          <w:szCs w:val="20"/>
          <w:color w:val="auto"/>
        </w:rPr>
      </w:pPr>
      <w:r>
        <w:rPr>
          <w:rFonts w:ascii="Arial" w:cs="Arial" w:eastAsia="Arial" w:hAnsi="Arial"/>
          <w:sz w:val="20"/>
          <w:szCs w:val="20"/>
          <w:b w:val="1"/>
          <w:bCs w:val="1"/>
          <w:color w:val="auto"/>
        </w:rPr>
        <w:t xml:space="preserve">Section 5.04 </w:t>
      </w: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has been, and each other Loan Document, when delivered hereunder, will have</w:t>
      </w:r>
      <w:r>
        <w:rPr>
          <w:rFonts w:ascii="Arial" w:cs="Arial" w:eastAsia="Arial" w:hAnsi="Arial"/>
          <w:sz w:val="20"/>
          <w:szCs w:val="20"/>
          <w:b w:val="1"/>
          <w:bCs w:val="1"/>
          <w:color w:val="auto"/>
        </w:rPr>
        <w:t xml:space="preserve"> </w:t>
      </w:r>
      <w:r>
        <w:rPr>
          <w:rFonts w:ascii="Arial" w:cs="Arial" w:eastAsia="Arial" w:hAnsi="Arial"/>
          <w:sz w:val="20"/>
          <w:szCs w:val="20"/>
          <w:color w:val="auto"/>
        </w:rPr>
        <w:t>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(i) as such enforceability may be limited by applicable bankruptcy, insolvency, examinership, reorganization, moratorium or similar laws affecting the enforcement of creditors’ rights generally and (ii) that rights of acceleration and the availability of equitable remedies may be limited by equitable principles of general applicability (regardless of whether enforcement is sought by proceedings in equity or at law).</w:t>
      </w:r>
    </w:p>
    <w:p>
      <w:pPr>
        <w:spacing w:after="0" w:line="200"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5.05</w:t>
      </w:r>
      <w:r>
        <w:rPr>
          <w:sz w:val="20"/>
          <w:szCs w:val="20"/>
          <w:color w:val="auto"/>
        </w:rPr>
        <w:tab/>
      </w:r>
      <w:r>
        <w:rPr>
          <w:rFonts w:ascii="Arial" w:cs="Arial" w:eastAsia="Arial" w:hAnsi="Arial"/>
          <w:sz w:val="18"/>
          <w:szCs w:val="18"/>
          <w:u w:val="single" w:color="auto"/>
          <w:color w:val="auto"/>
        </w:rPr>
        <w:t>Financial Condition; No Material Adverse Effect</w:t>
      </w:r>
      <w:r>
        <w:rPr>
          <w:rFonts w:ascii="Arial" w:cs="Arial" w:eastAsia="Arial" w:hAnsi="Arial"/>
          <w:sz w:val="18"/>
          <w:szCs w:val="18"/>
          <w:color w:val="auto"/>
        </w:rPr>
        <w:t>.</w:t>
      </w:r>
    </w:p>
    <w:p>
      <w:pPr>
        <w:spacing w:after="0" w:line="195" w:lineRule="exact"/>
        <w:rPr>
          <w:sz w:val="20"/>
          <w:szCs w:val="20"/>
          <w:color w:val="auto"/>
        </w:rPr>
      </w:pPr>
    </w:p>
    <w:p>
      <w:pPr>
        <w:ind w:right="40" w:firstLine="1305"/>
        <w:spacing w:after="0" w:line="349" w:lineRule="auto"/>
        <w:tabs>
          <w:tab w:leader="none" w:pos="2164" w:val="left"/>
        </w:tabs>
        <w:numPr>
          <w:ilvl w:val="0"/>
          <w:numId w:val="268"/>
        </w:numPr>
        <w:rPr>
          <w:rFonts w:ascii="Arial" w:cs="Arial" w:eastAsia="Arial" w:hAnsi="Arial"/>
          <w:sz w:val="16"/>
          <w:szCs w:val="16"/>
          <w:color w:val="auto"/>
        </w:rPr>
      </w:pPr>
      <w:r>
        <w:rPr>
          <w:rFonts w:ascii="Arial" w:cs="Arial" w:eastAsia="Arial" w:hAnsi="Arial"/>
          <w:sz w:val="16"/>
          <w:szCs w:val="16"/>
          <w:i w:val="1"/>
          <w:iCs w:val="1"/>
          <w:u w:val="single" w:color="auto"/>
          <w:color w:val="auto"/>
        </w:rPr>
        <w:t>Historical Financial Statements</w:t>
      </w:r>
      <w:r>
        <w:rPr>
          <w:rFonts w:ascii="Arial" w:cs="Arial" w:eastAsia="Arial" w:hAnsi="Arial"/>
          <w:sz w:val="16"/>
          <w:szCs w:val="16"/>
          <w:color w:val="auto"/>
        </w:rPr>
        <w:t>. Each of the Jazz Financial Statements (x) were prepared in accordance with GAAP</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consistently applied throughout the period covered thereby, except as otherwise expressly noted therein and (y) fairly present in all material respects the consolidated financial condition and results of operations of Parent and its Subsidiaries as of the date thereof and for the period to which it relates, except as otherwise expressly noted therein. The unaudited consolidated financial statements of Parent for the quarter ended March 31, 2015 (x) were prepared in accordance with GAAP consistently applied throughout the period covered thereby, except as otherwise expressly noted therein and (y) fairly present in all material respects the consolidated financial condition and results of operations of Parent and its Subsidiaries as of the date thereof and its results of operations for the period covered thereby, except as otherwise expressly noted therein.</w:t>
      </w:r>
    </w:p>
    <w:p>
      <w:pPr>
        <w:spacing w:after="0" w:line="98" w:lineRule="exact"/>
        <w:rPr>
          <w:rFonts w:ascii="Arial" w:cs="Arial" w:eastAsia="Arial" w:hAnsi="Arial"/>
          <w:sz w:val="16"/>
          <w:szCs w:val="16"/>
          <w:color w:val="auto"/>
        </w:rPr>
      </w:pPr>
    </w:p>
    <w:p>
      <w:pPr>
        <w:ind w:firstLine="1305"/>
        <w:spacing w:after="0" w:line="287" w:lineRule="auto"/>
        <w:tabs>
          <w:tab w:leader="none" w:pos="2175" w:val="left"/>
        </w:tabs>
        <w:numPr>
          <w:ilvl w:val="0"/>
          <w:numId w:val="268"/>
        </w:numPr>
        <w:rPr>
          <w:rFonts w:ascii="Arial" w:cs="Arial" w:eastAsia="Arial" w:hAnsi="Arial"/>
          <w:sz w:val="19"/>
          <w:szCs w:val="19"/>
          <w:color w:val="auto"/>
        </w:rPr>
      </w:pPr>
      <w:r>
        <w:rPr>
          <w:rFonts w:ascii="Arial" w:cs="Arial" w:eastAsia="Arial" w:hAnsi="Arial"/>
          <w:sz w:val="19"/>
          <w:szCs w:val="19"/>
          <w:i w:val="1"/>
          <w:iCs w:val="1"/>
          <w:u w:val="single" w:color="auto"/>
          <w:color w:val="auto"/>
        </w:rPr>
        <w:t>Post-Closing Financial Statements</w:t>
      </w:r>
      <w:r>
        <w:rPr>
          <w:rFonts w:ascii="Arial" w:cs="Arial" w:eastAsia="Arial" w:hAnsi="Arial"/>
          <w:sz w:val="19"/>
          <w:szCs w:val="19"/>
          <w:color w:val="auto"/>
        </w:rPr>
        <w:t>. After the Closing Date, the financial statements of Parent and its Subsidiaries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have been prepared in accordance with GAAP (except as noted therein) and present fairly in all material respects the financial condition and results of operations and cash flows of Parent and its Subsidiaries as of the dates and for the period to which they relate. After the Closing Date, the unaudited financial statements of Parent and its Subsidiaries delivered pursuant to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have been prepared in accordance with GAAP (except as noted therein and for year-end audit adjustments and absence of footnotes) and present fairly in all material respects the financial condition and results of operations and cash flows of Parent and its Subsidiaries as of the dates and for the period to which they relate.</w:t>
      </w:r>
    </w:p>
    <w:p>
      <w:pPr>
        <w:spacing w:after="0" w:line="142" w:lineRule="exact"/>
        <w:rPr>
          <w:rFonts w:ascii="Arial" w:cs="Arial" w:eastAsia="Arial" w:hAnsi="Arial"/>
          <w:sz w:val="19"/>
          <w:szCs w:val="19"/>
          <w:color w:val="auto"/>
        </w:rPr>
      </w:pPr>
    </w:p>
    <w:p>
      <w:pPr>
        <w:ind w:right="40" w:firstLine="1305"/>
        <w:spacing w:after="0" w:line="289" w:lineRule="auto"/>
        <w:tabs>
          <w:tab w:leader="none" w:pos="2164" w:val="left"/>
        </w:tabs>
        <w:numPr>
          <w:ilvl w:val="0"/>
          <w:numId w:val="268"/>
        </w:numPr>
        <w:rPr>
          <w:rFonts w:ascii="Arial" w:cs="Arial" w:eastAsia="Arial" w:hAnsi="Arial"/>
          <w:sz w:val="20"/>
          <w:szCs w:val="20"/>
          <w:color w:val="auto"/>
        </w:rPr>
      </w:pPr>
      <w:r>
        <w:rPr>
          <w:rFonts w:ascii="Arial" w:cs="Arial" w:eastAsia="Arial" w:hAnsi="Arial"/>
          <w:sz w:val="20"/>
          <w:szCs w:val="20"/>
          <w:i w:val="1"/>
          <w:iCs w:val="1"/>
          <w:u w:val="single" w:color="auto"/>
          <w:color w:val="auto"/>
        </w:rPr>
        <w:t>Material Adverse Change</w:t>
      </w:r>
      <w:r>
        <w:rPr>
          <w:rFonts w:ascii="Arial" w:cs="Arial" w:eastAsia="Arial" w:hAnsi="Arial"/>
          <w:sz w:val="20"/>
          <w:szCs w:val="20"/>
          <w:color w:val="auto"/>
        </w:rPr>
        <w:t>. Since the Closing Date, there has been no event or circumstance, either individually or in</w:t>
      </w:r>
      <w:r>
        <w:rPr>
          <w:rFonts w:ascii="Arial" w:cs="Arial" w:eastAsia="Arial" w:hAnsi="Arial"/>
          <w:sz w:val="20"/>
          <w:szCs w:val="20"/>
          <w:i w:val="1"/>
          <w:iCs w:val="1"/>
          <w:color w:val="auto"/>
        </w:rPr>
        <w:t xml:space="preserve"> </w:t>
      </w:r>
      <w:r>
        <w:rPr>
          <w:rFonts w:ascii="Arial" w:cs="Arial" w:eastAsia="Arial" w:hAnsi="Arial"/>
          <w:sz w:val="20"/>
          <w:szCs w:val="20"/>
          <w:color w:val="auto"/>
        </w:rPr>
        <w:t>the aggregate, that has had or could reasonably be expected to have a Material Adverse Effect.</w:t>
      </w:r>
    </w:p>
    <w:p>
      <w:pPr>
        <w:spacing w:after="0" w:line="169" w:lineRule="exact"/>
        <w:rPr>
          <w:sz w:val="20"/>
          <w:szCs w:val="20"/>
          <w:color w:val="auto"/>
        </w:rPr>
      </w:pPr>
    </w:p>
    <w:p>
      <w:pPr>
        <w:jc w:val="both"/>
        <w:ind w:right="140" w:firstLine="1297"/>
        <w:spacing w:after="0" w:line="273" w:lineRule="auto"/>
        <w:rPr>
          <w:sz w:val="20"/>
          <w:szCs w:val="20"/>
          <w:color w:val="auto"/>
        </w:rPr>
      </w:pPr>
      <w:r>
        <w:rPr>
          <w:rFonts w:ascii="Arial" w:cs="Arial" w:eastAsia="Arial" w:hAnsi="Arial"/>
          <w:sz w:val="19"/>
          <w:szCs w:val="19"/>
          <w:b w:val="1"/>
          <w:bCs w:val="1"/>
          <w:color w:val="auto"/>
        </w:rPr>
        <w:t xml:space="preserve">Section 5.06 </w:t>
      </w:r>
      <w:r>
        <w:rPr>
          <w:rFonts w:ascii="Arial" w:cs="Arial" w:eastAsia="Arial" w:hAnsi="Arial"/>
          <w:sz w:val="19"/>
          <w:szCs w:val="19"/>
          <w:u w:val="single" w:color="auto"/>
          <w:color w:val="auto"/>
        </w:rPr>
        <w:t>Litigation</w:t>
      </w:r>
      <w:r>
        <w:rPr>
          <w:rFonts w:ascii="Arial" w:cs="Arial" w:eastAsia="Arial" w:hAnsi="Arial"/>
          <w:sz w:val="19"/>
          <w:szCs w:val="19"/>
          <w:color w:val="auto"/>
        </w:rPr>
        <w:t>. Except as specifically disclosed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5.06</w:t>
      </w:r>
      <w:r>
        <w:rPr>
          <w:rFonts w:ascii="Arial" w:cs="Arial" w:eastAsia="Arial" w:hAnsi="Arial"/>
          <w:sz w:val="19"/>
          <w:szCs w:val="19"/>
          <w:color w:val="auto"/>
        </w:rPr>
        <w:t>, there are no actions, suits, investigations or legal,</w:t>
      </w:r>
      <w:r>
        <w:rPr>
          <w:rFonts w:ascii="Arial" w:cs="Arial" w:eastAsia="Arial" w:hAnsi="Arial"/>
          <w:sz w:val="19"/>
          <w:szCs w:val="19"/>
          <w:b w:val="1"/>
          <w:bCs w:val="1"/>
          <w:color w:val="auto"/>
        </w:rPr>
        <w:t xml:space="preserve"> </w:t>
      </w:r>
      <w:r>
        <w:rPr>
          <w:rFonts w:ascii="Arial" w:cs="Arial" w:eastAsia="Arial" w:hAnsi="Arial"/>
          <w:sz w:val="19"/>
          <w:szCs w:val="19"/>
          <w:color w:val="auto"/>
        </w:rPr>
        <w:t>equitable, arbitration or administrative proceedings pending or, to the knowledge of Parent, threatened in writing against or affecting Parent or any of its Restricted Subsidiaries that could reasonably be expected to result in a Material Adverse Effect.</w:t>
      </w:r>
    </w:p>
    <w:p>
      <w:pPr>
        <w:spacing w:after="0" w:line="159"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5.07</w:t>
      </w:r>
      <w:r>
        <w:rPr>
          <w:sz w:val="20"/>
          <w:szCs w:val="20"/>
          <w:color w:val="auto"/>
        </w:rPr>
        <w:tab/>
      </w:r>
      <w:r>
        <w:rPr>
          <w:rFonts w:ascii="Arial" w:cs="Arial" w:eastAsia="Arial" w:hAnsi="Arial"/>
          <w:sz w:val="18"/>
          <w:szCs w:val="18"/>
          <w:u w:val="single" w:color="auto"/>
          <w:color w:val="auto"/>
        </w:rPr>
        <w:t>Ownership of Property, Liens</w:t>
      </w:r>
      <w:r>
        <w:rPr>
          <w:rFonts w:ascii="Arial" w:cs="Arial" w:eastAsia="Arial" w:hAnsi="Arial"/>
          <w:sz w:val="18"/>
          <w:szCs w:val="18"/>
          <w:color w:val="auto"/>
        </w:rPr>
        <w:t>.</w:t>
      </w:r>
    </w:p>
    <w:p>
      <w:pPr>
        <w:spacing w:after="0" w:line="195" w:lineRule="exact"/>
        <w:rPr>
          <w:sz w:val="20"/>
          <w:szCs w:val="20"/>
          <w:color w:val="auto"/>
        </w:rPr>
      </w:pPr>
    </w:p>
    <w:p>
      <w:pPr>
        <w:ind w:right="60" w:firstLine="1305"/>
        <w:spacing w:after="0" w:line="273" w:lineRule="auto"/>
        <w:tabs>
          <w:tab w:leader="none" w:pos="2164" w:val="left"/>
        </w:tabs>
        <w:numPr>
          <w:ilvl w:val="0"/>
          <w:numId w:val="269"/>
        </w:numPr>
        <w:rPr>
          <w:rFonts w:ascii="Arial" w:cs="Arial" w:eastAsia="Arial" w:hAnsi="Arial"/>
          <w:sz w:val="20"/>
          <w:szCs w:val="20"/>
          <w:color w:val="auto"/>
        </w:rPr>
      </w:pPr>
      <w:r>
        <w:rPr>
          <w:rFonts w:ascii="Arial" w:cs="Arial" w:eastAsia="Arial" w:hAnsi="Arial"/>
          <w:sz w:val="20"/>
          <w:szCs w:val="20"/>
          <w:i w:val="1"/>
          <w:iCs w:val="1"/>
          <w:u w:val="single" w:color="auto"/>
          <w:color w:val="auto"/>
        </w:rPr>
        <w:t>Generally</w:t>
      </w:r>
      <w:r>
        <w:rPr>
          <w:rFonts w:ascii="Arial" w:cs="Arial" w:eastAsia="Arial" w:hAnsi="Arial"/>
          <w:sz w:val="20"/>
          <w:szCs w:val="20"/>
          <w:color w:val="auto"/>
        </w:rPr>
        <w:t>. Each Loan Party has good title to, valid leasehold interests in, or license in, all its property material to its</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 and Mortgaged Property, free and clear of all Liens, except for Permitted Liens and minor irregularities or deficiencies in title that, individually or in the aggregate, would not reasonably be expected to result in a Material Adverse Effect. The property of the Loan Parties, taken as a whole, (i) is in good operating order, condition and repair (ordinary wear and tear and damage by casualty excepted) and (ii) constitutes all the property which is required for the</w:t>
      </w:r>
    </w:p>
    <w:p>
      <w:pPr>
        <w:spacing w:after="0" w:line="200" w:lineRule="exact"/>
        <w:rPr>
          <w:rFonts w:ascii="Arial" w:cs="Arial" w:eastAsia="Arial" w:hAnsi="Arial"/>
          <w:sz w:val="20"/>
          <w:szCs w:val="20"/>
          <w:color w:val="auto"/>
        </w:rPr>
      </w:pPr>
    </w:p>
    <w:p>
      <w:pPr>
        <w:spacing w:after="0" w:line="396" w:lineRule="exact"/>
        <w:rPr>
          <w:rFonts w:ascii="Arial" w:cs="Arial" w:eastAsia="Arial" w:hAnsi="Arial"/>
          <w:sz w:val="20"/>
          <w:szCs w:val="20"/>
          <w:color w:val="auto"/>
        </w:rPr>
      </w:pPr>
    </w:p>
    <w:p>
      <w:pPr>
        <w:ind w:left="5560" w:hanging="106"/>
        <w:spacing w:after="0"/>
        <w:tabs>
          <w:tab w:leader="none" w:pos="556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14" w:name="page315"/>
    <w:bookmarkEnd w:id="314"/>
    <w:p>
      <w:pPr>
        <w:ind w:right="240"/>
        <w:spacing w:after="0" w:line="260" w:lineRule="auto"/>
        <w:rPr>
          <w:sz w:val="20"/>
          <w:szCs w:val="20"/>
          <w:color w:val="auto"/>
        </w:rPr>
      </w:pPr>
      <w:r>
        <w:rPr>
          <w:rFonts w:ascii="Arial" w:cs="Arial" w:eastAsia="Arial" w:hAnsi="Arial"/>
          <w:sz w:val="20"/>
          <w:szCs w:val="20"/>
          <w:color w:val="auto"/>
        </w:rPr>
        <w:t>business and operations of the Loan Parties as presently conducted, in each case, to the extent that it would not be reasonably likely to have a Material Adverse Effect.</w:t>
      </w:r>
    </w:p>
    <w:p>
      <w:pPr>
        <w:spacing w:after="0" w:line="150" w:lineRule="exact"/>
        <w:rPr>
          <w:sz w:val="20"/>
          <w:szCs w:val="20"/>
          <w:color w:val="auto"/>
        </w:rPr>
      </w:pPr>
    </w:p>
    <w:p>
      <w:pPr>
        <w:ind w:right="20" w:firstLine="1305"/>
        <w:spacing w:after="0" w:line="288" w:lineRule="auto"/>
        <w:tabs>
          <w:tab w:leader="none" w:pos="2175" w:val="left"/>
        </w:tabs>
        <w:numPr>
          <w:ilvl w:val="0"/>
          <w:numId w:val="270"/>
        </w:numPr>
        <w:rPr>
          <w:rFonts w:ascii="Arial" w:cs="Arial" w:eastAsia="Arial" w:hAnsi="Arial"/>
          <w:sz w:val="19"/>
          <w:szCs w:val="19"/>
          <w:color w:val="auto"/>
        </w:rPr>
      </w:pPr>
      <w:r>
        <w:rPr>
          <w:rFonts w:ascii="Arial" w:cs="Arial" w:eastAsia="Arial" w:hAnsi="Arial"/>
          <w:sz w:val="19"/>
          <w:szCs w:val="19"/>
          <w:i w:val="1"/>
          <w:iCs w:val="1"/>
          <w:u w:val="single" w:color="auto"/>
          <w:color w:val="auto"/>
        </w:rPr>
        <w:t>Real Property</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Schedules 7(a)</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7(b)</w:t>
      </w:r>
      <w:r>
        <w:rPr>
          <w:rFonts w:ascii="Arial" w:cs="Arial" w:eastAsia="Arial" w:hAnsi="Arial"/>
          <w:sz w:val="19"/>
          <w:szCs w:val="19"/>
          <w:i w:val="1"/>
          <w:iCs w:val="1"/>
          <w:color w:val="auto"/>
        </w:rPr>
        <w:t xml:space="preserve"> </w:t>
      </w:r>
      <w:r>
        <w:rPr>
          <w:rFonts w:ascii="Arial" w:cs="Arial" w:eastAsia="Arial" w:hAnsi="Arial"/>
          <w:sz w:val="19"/>
          <w:szCs w:val="19"/>
          <w:color w:val="auto"/>
        </w:rPr>
        <w:t>to the Perfection Certificate dated the Closing Date contain a true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complete list as of the Closing Date of each interest in material real property owned by any Loan Party as of the Closing Date. Except as described in </w:t>
      </w:r>
      <w:r>
        <w:rPr>
          <w:rFonts w:ascii="Arial" w:cs="Arial" w:eastAsia="Arial" w:hAnsi="Arial"/>
          <w:sz w:val="19"/>
          <w:szCs w:val="19"/>
          <w:u w:val="single" w:color="auto"/>
          <w:color w:val="auto"/>
        </w:rPr>
        <w:t>Schedule 7(b)</w:t>
      </w:r>
      <w:r>
        <w:rPr>
          <w:rFonts w:ascii="Arial" w:cs="Arial" w:eastAsia="Arial" w:hAnsi="Arial"/>
          <w:sz w:val="19"/>
          <w:szCs w:val="19"/>
          <w:color w:val="auto"/>
        </w:rPr>
        <w:t xml:space="preserve"> thereto (as updated from time to time pursuant to the terms hereof and the other Loan Documents): (i) no Loan Party has entered into any leases, subleases, tenancies, franchise agreements, licenses or other occupancy arrangements as owner, lessor, sublessor, licensor, franchisor or grantor with respect to any of the real property described in </w:t>
      </w:r>
      <w:r>
        <w:rPr>
          <w:rFonts w:ascii="Arial" w:cs="Arial" w:eastAsia="Arial" w:hAnsi="Arial"/>
          <w:sz w:val="19"/>
          <w:szCs w:val="19"/>
          <w:u w:val="single" w:color="auto"/>
          <w:color w:val="auto"/>
        </w:rPr>
        <w:t>Schedule 7(a)</w:t>
      </w:r>
      <w:r>
        <w:rPr>
          <w:rFonts w:ascii="Arial" w:cs="Arial" w:eastAsia="Arial" w:hAnsi="Arial"/>
          <w:sz w:val="19"/>
          <w:szCs w:val="19"/>
          <w:color w:val="auto"/>
        </w:rPr>
        <w:t xml:space="preserve"> and (ii) no Loan Party has any material Leases which require the consent of the landlord, tenant or other party thereto to the Transactions.</w:t>
      </w:r>
    </w:p>
    <w:p>
      <w:pPr>
        <w:spacing w:after="0" w:line="142" w:lineRule="exact"/>
        <w:rPr>
          <w:rFonts w:ascii="Arial" w:cs="Arial" w:eastAsia="Arial" w:hAnsi="Arial"/>
          <w:sz w:val="19"/>
          <w:szCs w:val="19"/>
          <w:color w:val="auto"/>
        </w:rPr>
      </w:pPr>
    </w:p>
    <w:p>
      <w:pPr>
        <w:ind w:firstLine="1305"/>
        <w:spacing w:after="0" w:line="272" w:lineRule="auto"/>
        <w:tabs>
          <w:tab w:leader="none" w:pos="2164" w:val="left"/>
        </w:tabs>
        <w:numPr>
          <w:ilvl w:val="0"/>
          <w:numId w:val="270"/>
        </w:numPr>
        <w:rPr>
          <w:rFonts w:ascii="Arial" w:cs="Arial" w:eastAsia="Arial" w:hAnsi="Arial"/>
          <w:sz w:val="20"/>
          <w:szCs w:val="20"/>
          <w:color w:val="auto"/>
        </w:rPr>
      </w:pPr>
      <w:r>
        <w:rPr>
          <w:rFonts w:ascii="Arial" w:cs="Arial" w:eastAsia="Arial" w:hAnsi="Arial"/>
          <w:sz w:val="20"/>
          <w:szCs w:val="20"/>
          <w:i w:val="1"/>
          <w:iCs w:val="1"/>
          <w:u w:val="single" w:color="auto"/>
          <w:color w:val="auto"/>
        </w:rPr>
        <w:t>No Casualty Event/Flood Insurance</w:t>
      </w:r>
      <w:r>
        <w:rPr>
          <w:rFonts w:ascii="Arial" w:cs="Arial" w:eastAsia="Arial" w:hAnsi="Arial"/>
          <w:sz w:val="20"/>
          <w:szCs w:val="20"/>
          <w:color w:val="auto"/>
        </w:rPr>
        <w:t>. No Loan Party has received any notice of the occurrence of any Casualty Event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affecting all or any portion of its property, except for any such Casualty Event as would not reasonably be expected to result in a Material Adverse Effect. No Mortgage encumbers improved real property that is located in an area that has been identified by the Secretary of Housing and Urban Development as an area having special flood hazards within the meaning of the National Flood Insurance Act of 1968 unless flood insurance available under such Act or otherwise reasonably acceptable to the Administrative Agent has been obtained in accordance with </w:t>
      </w:r>
      <w:r>
        <w:rPr>
          <w:rFonts w:ascii="Arial" w:cs="Arial" w:eastAsia="Arial" w:hAnsi="Arial"/>
          <w:sz w:val="20"/>
          <w:szCs w:val="20"/>
          <w:u w:val="single" w:color="auto"/>
          <w:color w:val="auto"/>
        </w:rPr>
        <w:t>Section 6.05</w:t>
      </w:r>
      <w:r>
        <w:rPr>
          <w:rFonts w:ascii="Arial" w:cs="Arial" w:eastAsia="Arial" w:hAnsi="Arial"/>
          <w:sz w:val="20"/>
          <w:szCs w:val="20"/>
          <w:color w:val="auto"/>
        </w:rPr>
        <w:t>.</w:t>
      </w:r>
    </w:p>
    <w:p>
      <w:pPr>
        <w:spacing w:after="0" w:line="186" w:lineRule="exact"/>
        <w:rPr>
          <w:sz w:val="20"/>
          <w:szCs w:val="20"/>
          <w:color w:val="auto"/>
        </w:rPr>
      </w:pPr>
    </w:p>
    <w:p>
      <w:pPr>
        <w:ind w:right="80" w:firstLine="1297"/>
        <w:spacing w:after="0" w:line="267" w:lineRule="auto"/>
        <w:rPr>
          <w:sz w:val="20"/>
          <w:szCs w:val="20"/>
          <w:color w:val="auto"/>
        </w:rPr>
      </w:pPr>
      <w:r>
        <w:rPr>
          <w:rFonts w:ascii="Arial" w:cs="Arial" w:eastAsia="Arial" w:hAnsi="Arial"/>
          <w:sz w:val="20"/>
          <w:szCs w:val="20"/>
          <w:b w:val="1"/>
          <w:bCs w:val="1"/>
          <w:color w:val="auto"/>
        </w:rPr>
        <w:t xml:space="preserve">Section 5.08 </w:t>
      </w:r>
      <w:r>
        <w:rPr>
          <w:rFonts w:ascii="Arial" w:cs="Arial" w:eastAsia="Arial" w:hAnsi="Arial"/>
          <w:sz w:val="20"/>
          <w:szCs w:val="20"/>
          <w:u w:val="single" w:color="auto"/>
          <w:color w:val="auto"/>
        </w:rPr>
        <w:t>Environmental Matters</w:t>
      </w:r>
      <w:r>
        <w:rPr>
          <w:rFonts w:ascii="Arial" w:cs="Arial" w:eastAsia="Arial" w:hAnsi="Arial"/>
          <w:sz w:val="20"/>
          <w:szCs w:val="20"/>
          <w:color w:val="auto"/>
        </w:rPr>
        <w:t>. Except for any matters which, individually or in the aggregate, could not reasonably be</w:t>
      </w:r>
      <w:r>
        <w:rPr>
          <w:rFonts w:ascii="Arial" w:cs="Arial" w:eastAsia="Arial" w:hAnsi="Arial"/>
          <w:sz w:val="20"/>
          <w:szCs w:val="20"/>
          <w:b w:val="1"/>
          <w:bCs w:val="1"/>
          <w:color w:val="auto"/>
        </w:rPr>
        <w:t xml:space="preserve"> </w:t>
      </w:r>
      <w:r>
        <w:rPr>
          <w:rFonts w:ascii="Arial" w:cs="Arial" w:eastAsia="Arial" w:hAnsi="Arial"/>
          <w:sz w:val="20"/>
          <w:szCs w:val="20"/>
          <w:color w:val="auto"/>
        </w:rPr>
        <w:t>expected to result in a Material Adverse Effect:</w:t>
      </w:r>
    </w:p>
    <w:p>
      <w:pPr>
        <w:spacing w:after="0" w:line="143" w:lineRule="exact"/>
        <w:rPr>
          <w:sz w:val="20"/>
          <w:szCs w:val="20"/>
          <w:color w:val="auto"/>
        </w:rPr>
      </w:pPr>
    </w:p>
    <w:p>
      <w:pPr>
        <w:ind w:left="660" w:right="900" w:firstLine="645"/>
        <w:spacing w:after="0" w:line="289" w:lineRule="auto"/>
        <w:tabs>
          <w:tab w:leader="none" w:pos="2176" w:val="left"/>
        </w:tabs>
        <w:numPr>
          <w:ilvl w:val="0"/>
          <w:numId w:val="271"/>
        </w:numPr>
        <w:rPr>
          <w:rFonts w:ascii="Arial" w:cs="Arial" w:eastAsia="Arial" w:hAnsi="Arial"/>
          <w:sz w:val="20"/>
          <w:szCs w:val="20"/>
          <w:color w:val="auto"/>
        </w:rPr>
      </w:pPr>
      <w:r>
        <w:rPr>
          <w:rFonts w:ascii="Arial" w:cs="Arial" w:eastAsia="Arial" w:hAnsi="Arial"/>
          <w:sz w:val="20"/>
          <w:szCs w:val="20"/>
          <w:color w:val="auto"/>
        </w:rPr>
        <w:t>Each of Parent and each of its Restricted Subsidiaries and their businesses, operations and property are in compliance with, and they have no liability under, Environmental Law;</w:t>
      </w:r>
    </w:p>
    <w:p>
      <w:pPr>
        <w:spacing w:after="0" w:line="134" w:lineRule="exact"/>
        <w:rPr>
          <w:rFonts w:ascii="Arial" w:cs="Arial" w:eastAsia="Arial" w:hAnsi="Arial"/>
          <w:sz w:val="20"/>
          <w:szCs w:val="20"/>
          <w:color w:val="auto"/>
        </w:rPr>
      </w:pPr>
    </w:p>
    <w:p>
      <w:pPr>
        <w:jc w:val="both"/>
        <w:ind w:left="660" w:right="580" w:firstLine="645"/>
        <w:spacing w:after="0" w:line="299" w:lineRule="auto"/>
        <w:tabs>
          <w:tab w:leader="none" w:pos="2187" w:val="left"/>
        </w:tabs>
        <w:numPr>
          <w:ilvl w:val="0"/>
          <w:numId w:val="271"/>
        </w:numPr>
        <w:rPr>
          <w:rFonts w:ascii="Arial" w:cs="Arial" w:eastAsia="Arial" w:hAnsi="Arial"/>
          <w:sz w:val="19"/>
          <w:szCs w:val="19"/>
          <w:color w:val="auto"/>
        </w:rPr>
      </w:pPr>
      <w:r>
        <w:rPr>
          <w:rFonts w:ascii="Arial" w:cs="Arial" w:eastAsia="Arial" w:hAnsi="Arial"/>
          <w:sz w:val="19"/>
          <w:szCs w:val="19"/>
          <w:color w:val="auto"/>
        </w:rPr>
        <w:t>Each of Parent and each of its Restricted Subsidiaries has obtained, or has applied in a timely manner for, all Environmental Permits required for the conduct of their businesses and operations, and the ownership, operation and use of their property, under Environmental Law, and all such Environmental Permits are valid and in good standing;</w:t>
      </w:r>
    </w:p>
    <w:p>
      <w:pPr>
        <w:spacing w:after="0" w:line="128" w:lineRule="exact"/>
        <w:rPr>
          <w:rFonts w:ascii="Arial" w:cs="Arial" w:eastAsia="Arial" w:hAnsi="Arial"/>
          <w:sz w:val="19"/>
          <w:szCs w:val="19"/>
          <w:color w:val="auto"/>
        </w:rPr>
      </w:pPr>
    </w:p>
    <w:p>
      <w:pPr>
        <w:jc w:val="both"/>
        <w:ind w:left="660" w:right="220" w:firstLine="645"/>
        <w:spacing w:after="0" w:line="274" w:lineRule="auto"/>
        <w:tabs>
          <w:tab w:leader="none" w:pos="2176" w:val="left"/>
        </w:tabs>
        <w:numPr>
          <w:ilvl w:val="0"/>
          <w:numId w:val="271"/>
        </w:numPr>
        <w:rPr>
          <w:rFonts w:ascii="Arial" w:cs="Arial" w:eastAsia="Arial" w:hAnsi="Arial"/>
          <w:sz w:val="20"/>
          <w:szCs w:val="20"/>
          <w:color w:val="auto"/>
        </w:rPr>
      </w:pPr>
      <w:r>
        <w:rPr>
          <w:rFonts w:ascii="Arial" w:cs="Arial" w:eastAsia="Arial" w:hAnsi="Arial"/>
          <w:sz w:val="20"/>
          <w:szCs w:val="20"/>
          <w:color w:val="auto"/>
        </w:rPr>
        <w:t>There has been no Release or threatened Release of Hazardous Material on, at, under or from any real property or facility presently or, to the knowledge of Parent and each of its Restricted Subsidiaries, formerly owned, leased or operated by Parent or any of its Restricted Subsidiaries or their predecessors in interest that could reasonably be expected to result in Environmental Liability;</w:t>
      </w:r>
    </w:p>
    <w:p>
      <w:pPr>
        <w:spacing w:after="0" w:line="151" w:lineRule="exact"/>
        <w:rPr>
          <w:rFonts w:ascii="Arial" w:cs="Arial" w:eastAsia="Arial" w:hAnsi="Arial"/>
          <w:sz w:val="20"/>
          <w:szCs w:val="20"/>
          <w:color w:val="auto"/>
        </w:rPr>
      </w:pPr>
    </w:p>
    <w:p>
      <w:pPr>
        <w:ind w:left="660" w:right="60" w:firstLine="645"/>
        <w:spacing w:after="0" w:line="272" w:lineRule="auto"/>
        <w:tabs>
          <w:tab w:leader="none" w:pos="2187" w:val="left"/>
        </w:tabs>
        <w:numPr>
          <w:ilvl w:val="0"/>
          <w:numId w:val="271"/>
        </w:numPr>
        <w:rPr>
          <w:rFonts w:ascii="Arial" w:cs="Arial" w:eastAsia="Arial" w:hAnsi="Arial"/>
          <w:sz w:val="20"/>
          <w:szCs w:val="20"/>
          <w:color w:val="auto"/>
        </w:rPr>
      </w:pPr>
      <w:r>
        <w:rPr>
          <w:rFonts w:ascii="Arial" w:cs="Arial" w:eastAsia="Arial" w:hAnsi="Arial"/>
          <w:sz w:val="20"/>
          <w:szCs w:val="20"/>
          <w:color w:val="auto"/>
        </w:rPr>
        <w:t>There is no Environmental Liability pending or, to the knowledge of any of Parent or any of its Restricted Subsidiaries, threatened against any of Parent or any of its Restricted Subsidiaries, or relating to any real property or facilities currently or, to the knowledge of each of Parent and each of its Restricted Subsidiaries, formerly owned, leased or operated by Parent or any of its Restricted Subsidiaries or relating to the operations of any of Parent or any of its Restricted Subsidiaries, and there are no actions, activities, circumstances, conditions, or occurrences that could reasonably be expected to form the basis of such Environmental Liability;</w:t>
      </w:r>
    </w:p>
    <w:p>
      <w:pPr>
        <w:spacing w:after="0" w:line="151" w:lineRule="exact"/>
        <w:rPr>
          <w:rFonts w:ascii="Arial" w:cs="Arial" w:eastAsia="Arial" w:hAnsi="Arial"/>
          <w:sz w:val="20"/>
          <w:szCs w:val="20"/>
          <w:color w:val="auto"/>
        </w:rPr>
      </w:pPr>
    </w:p>
    <w:p>
      <w:pPr>
        <w:jc w:val="both"/>
        <w:ind w:left="660" w:right="540" w:firstLine="645"/>
        <w:spacing w:after="0" w:line="278" w:lineRule="auto"/>
        <w:tabs>
          <w:tab w:leader="none" w:pos="2176" w:val="left"/>
        </w:tabs>
        <w:numPr>
          <w:ilvl w:val="0"/>
          <w:numId w:val="271"/>
        </w:numPr>
        <w:rPr>
          <w:rFonts w:ascii="Arial" w:cs="Arial" w:eastAsia="Arial" w:hAnsi="Arial"/>
          <w:sz w:val="20"/>
          <w:szCs w:val="20"/>
          <w:color w:val="auto"/>
        </w:rPr>
      </w:pPr>
      <w:r>
        <w:rPr>
          <w:rFonts w:ascii="Arial" w:cs="Arial" w:eastAsia="Arial" w:hAnsi="Arial"/>
          <w:sz w:val="20"/>
          <w:szCs w:val="20"/>
          <w:color w:val="auto"/>
        </w:rPr>
        <w:t>Neither Parent nor any of its Restricted Subsidiaries is obligated to perform any action or otherwise incur any expense under Environmental Law pursuant to any order, decree, judgment or agreement by which it is bound or has assumed by contract, agreement or operation</w:t>
      </w:r>
    </w:p>
    <w:p>
      <w:pPr>
        <w:spacing w:after="0" w:line="200" w:lineRule="exact"/>
        <w:rPr>
          <w:rFonts w:ascii="Arial" w:cs="Arial" w:eastAsia="Arial" w:hAnsi="Arial"/>
          <w:sz w:val="20"/>
          <w:szCs w:val="20"/>
          <w:color w:val="auto"/>
        </w:rPr>
      </w:pPr>
    </w:p>
    <w:p>
      <w:pPr>
        <w:spacing w:after="0" w:line="391" w:lineRule="exact"/>
        <w:rPr>
          <w:rFonts w:ascii="Arial" w:cs="Arial" w:eastAsia="Arial" w:hAnsi="Arial"/>
          <w:sz w:val="20"/>
          <w:szCs w:val="20"/>
          <w:color w:val="auto"/>
        </w:rPr>
      </w:pPr>
    </w:p>
    <w:p>
      <w:pPr>
        <w:ind w:left="5560" w:hanging="106"/>
        <w:spacing w:after="0"/>
        <w:tabs>
          <w:tab w:leader="none" w:pos="5560" w:val="left"/>
        </w:tabs>
        <w:numPr>
          <w:ilvl w:val="1"/>
          <w:numId w:val="271"/>
        </w:numPr>
        <w:rPr>
          <w:rFonts w:ascii="Arial" w:cs="Arial" w:eastAsia="Arial" w:hAnsi="Arial"/>
          <w:sz w:val="20"/>
          <w:szCs w:val="20"/>
          <w:color w:val="auto"/>
        </w:rPr>
      </w:pPr>
      <w:r>
        <w:rPr>
          <w:rFonts w:ascii="Arial" w:cs="Arial" w:eastAsia="Arial" w:hAnsi="Arial"/>
          <w:sz w:val="20"/>
          <w:szCs w:val="20"/>
          <w:color w:val="auto"/>
        </w:rPr>
        <w:t>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315" w:name="page316"/>
    <w:bookmarkEnd w:id="315"/>
    <w:p>
      <w:pPr>
        <w:ind w:left="660" w:right="20"/>
        <w:spacing w:after="0" w:line="260" w:lineRule="auto"/>
        <w:rPr>
          <w:sz w:val="20"/>
          <w:szCs w:val="20"/>
          <w:color w:val="auto"/>
        </w:rPr>
      </w:pPr>
      <w:r>
        <w:rPr>
          <w:rFonts w:ascii="Arial" w:cs="Arial" w:eastAsia="Arial" w:hAnsi="Arial"/>
          <w:sz w:val="20"/>
          <w:szCs w:val="20"/>
          <w:color w:val="auto"/>
        </w:rPr>
        <w:t>of law, and none of them is conducting or financing, in whole or in part, any investigation, response or other corrective action pursuant to any Environmental Law at any location; and</w:t>
      </w:r>
    </w:p>
    <w:p>
      <w:pPr>
        <w:spacing w:after="0" w:line="150" w:lineRule="exact"/>
        <w:rPr>
          <w:sz w:val="20"/>
          <w:szCs w:val="20"/>
          <w:color w:val="auto"/>
        </w:rPr>
      </w:pPr>
    </w:p>
    <w:p>
      <w:pPr>
        <w:jc w:val="both"/>
        <w:ind w:left="660" w:right="240" w:firstLine="645"/>
        <w:spacing w:after="0" w:line="421" w:lineRule="auto"/>
        <w:tabs>
          <w:tab w:leader="none" w:pos="215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No Lien has been recorded or, to the knowledge of any of Parent or any of its Restricted Subsidiaries, threatened under any Environmental Law with respect to any real property or other assets of any of Parent or any of its Restricted Subsidiaries.</w:t>
      </w:r>
    </w:p>
    <w:p>
      <w:pPr>
        <w:spacing w:after="0" w:line="78" w:lineRule="exact"/>
        <w:rPr>
          <w:sz w:val="20"/>
          <w:szCs w:val="20"/>
          <w:color w:val="auto"/>
        </w:rPr>
      </w:pPr>
    </w:p>
    <w:p>
      <w:pPr>
        <w:ind w:firstLine="1297"/>
        <w:spacing w:after="0" w:line="262" w:lineRule="auto"/>
        <w:rPr>
          <w:sz w:val="20"/>
          <w:szCs w:val="20"/>
          <w:color w:val="auto"/>
        </w:rPr>
      </w:pPr>
      <w:r>
        <w:rPr>
          <w:rFonts w:ascii="Arial" w:cs="Arial" w:eastAsia="Arial" w:hAnsi="Arial"/>
          <w:sz w:val="19"/>
          <w:szCs w:val="19"/>
          <w:b w:val="1"/>
          <w:bCs w:val="1"/>
          <w:color w:val="auto"/>
        </w:rPr>
        <w:t xml:space="preserve">Section 5.09 </w:t>
      </w:r>
      <w:r>
        <w:rPr>
          <w:rFonts w:ascii="Arial" w:cs="Arial" w:eastAsia="Arial" w:hAnsi="Arial"/>
          <w:sz w:val="19"/>
          <w:szCs w:val="19"/>
          <w:u w:val="single" w:color="auto"/>
          <w:color w:val="auto"/>
        </w:rPr>
        <w:t>Insurance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5.09</w:t>
      </w:r>
      <w:r>
        <w:rPr>
          <w:rFonts w:ascii="Arial" w:cs="Arial" w:eastAsia="Arial" w:hAnsi="Arial"/>
          <w:sz w:val="19"/>
          <w:szCs w:val="19"/>
          <w:b w:val="1"/>
          <w:bCs w:val="1"/>
          <w:color w:val="auto"/>
        </w:rPr>
        <w:t xml:space="preserve"> </w:t>
      </w:r>
      <w:r>
        <w:rPr>
          <w:rFonts w:ascii="Arial" w:cs="Arial" w:eastAsia="Arial" w:hAnsi="Arial"/>
          <w:sz w:val="19"/>
          <w:szCs w:val="19"/>
          <w:color w:val="auto"/>
        </w:rPr>
        <w:t>sets forth a true, complete and correct description in all material respects of all</w:t>
      </w:r>
      <w:r>
        <w:rPr>
          <w:rFonts w:ascii="Arial" w:cs="Arial" w:eastAsia="Arial" w:hAnsi="Arial"/>
          <w:sz w:val="19"/>
          <w:szCs w:val="19"/>
          <w:b w:val="1"/>
          <w:bCs w:val="1"/>
          <w:color w:val="auto"/>
        </w:rPr>
        <w:t xml:space="preserve"> </w:t>
      </w:r>
      <w:r>
        <w:rPr>
          <w:rFonts w:ascii="Arial" w:cs="Arial" w:eastAsia="Arial" w:hAnsi="Arial"/>
          <w:sz w:val="19"/>
          <w:szCs w:val="19"/>
          <w:color w:val="auto"/>
        </w:rPr>
        <w:t>insurance maintained by Parent and each of its Restricted Subsidiaries on the Closing Date. The properties of Parent and each of its Restricted Subsidiaries are insured with insurance companies that Parent believes are financially sound and reputable that are not Affiliates of Parent, in such amounts (after giving effect to any self-insurance compatible with the following standards), with such deductibles and covering such risks as are prudent in the reasonable business judgment of Parent’s officers.</w:t>
      </w:r>
    </w:p>
    <w:p>
      <w:pPr>
        <w:spacing w:after="0" w:line="185"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5.10</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195" w:lineRule="exact"/>
        <w:rPr>
          <w:sz w:val="20"/>
          <w:szCs w:val="20"/>
          <w:color w:val="auto"/>
        </w:rPr>
      </w:pPr>
    </w:p>
    <w:p>
      <w:pPr>
        <w:ind w:firstLine="1305"/>
        <w:spacing w:after="0" w:line="270" w:lineRule="auto"/>
        <w:tabs>
          <w:tab w:leader="none" w:pos="2164" w:val="left"/>
        </w:tabs>
        <w:numPr>
          <w:ilvl w:val="0"/>
          <w:numId w:val="273"/>
        </w:numPr>
        <w:rPr>
          <w:rFonts w:ascii="Arial" w:cs="Arial" w:eastAsia="Arial" w:hAnsi="Arial"/>
          <w:sz w:val="20"/>
          <w:szCs w:val="20"/>
          <w:color w:val="auto"/>
        </w:rPr>
      </w:pPr>
      <w:r>
        <w:rPr>
          <w:rFonts w:ascii="Arial" w:cs="Arial" w:eastAsia="Arial" w:hAnsi="Arial"/>
          <w:sz w:val="20"/>
          <w:szCs w:val="20"/>
          <w:color w:val="auto"/>
        </w:rPr>
        <w:t xml:space="preserve">Parent and each of its Subsidiaries have each timely filed, or caused to be filed, all federal, state, provincial, local and foreign Tax returns required to be filed, and paid all Taxes owing by it (including in their capacity as a withholding agent), whether or not shown on any such Tax returns, except (a) Taxes the validity or the amount of which are being contested in good faith by appropriate proceedings and for which Parent or such Subsidiary, as applicable, has set aside on its books adequate reserves with respect thereto in accordance with GAAP, and (b) to the extent that the failure to so file or so pay could not reasonably be expected, individually or in the aggregate, to result in a Material Adverse Effect. </w:t>
      </w:r>
      <w:r>
        <w:rPr>
          <w:rFonts w:ascii="Arial" w:cs="Arial" w:eastAsia="Arial" w:hAnsi="Arial"/>
          <w:sz w:val="20"/>
          <w:szCs w:val="20"/>
          <w:color w:val="FF0000"/>
          <w:strike w:val="1"/>
        </w:rPr>
        <w:t>Neither</w:t>
      </w:r>
      <w:r>
        <w:rPr>
          <w:rFonts w:ascii="Arial" w:cs="Arial" w:eastAsia="Arial" w:hAnsi="Arial"/>
          <w:sz w:val="20"/>
          <w:szCs w:val="20"/>
          <w:u w:val="single" w:color="auto"/>
          <w:color w:val="0000FF"/>
        </w:rPr>
        <w:t>Except as specifically disclosed in Schedule 5.10(a), neither</w:t>
      </w:r>
      <w:r>
        <w:rPr>
          <w:rFonts w:ascii="Arial" w:cs="Arial" w:eastAsia="Arial" w:hAnsi="Arial"/>
          <w:sz w:val="20"/>
          <w:szCs w:val="20"/>
          <w:color w:val="auto"/>
        </w:rPr>
        <w:t xml:space="preserve"> Parent nor any of its Subsidiaries knows of any pending investigation, Tax audit or deficiencies of any of Parent or any of its Subsidiaries by any taxing authority or proposed Tax assessments against any of Parent or any of its Subsidiaries that would, individually or in the aggregate, if made, result in a Material Adverse Effect.</w:t>
      </w:r>
    </w:p>
    <w:p>
      <w:pPr>
        <w:spacing w:after="0" w:line="156" w:lineRule="exact"/>
        <w:rPr>
          <w:rFonts w:ascii="Arial" w:cs="Arial" w:eastAsia="Arial" w:hAnsi="Arial"/>
          <w:sz w:val="20"/>
          <w:szCs w:val="20"/>
          <w:color w:val="auto"/>
        </w:rPr>
      </w:pPr>
    </w:p>
    <w:p>
      <w:pPr>
        <w:ind w:right="320" w:firstLine="1305"/>
        <w:spacing w:after="0" w:line="289" w:lineRule="auto"/>
        <w:tabs>
          <w:tab w:leader="none" w:pos="2175" w:val="left"/>
        </w:tabs>
        <w:numPr>
          <w:ilvl w:val="0"/>
          <w:numId w:val="273"/>
        </w:numPr>
        <w:rPr>
          <w:rFonts w:ascii="Arial" w:cs="Arial" w:eastAsia="Arial" w:hAnsi="Arial"/>
          <w:sz w:val="20"/>
          <w:szCs w:val="20"/>
          <w:color w:val="auto"/>
        </w:rPr>
      </w:pPr>
      <w:r>
        <w:rPr>
          <w:rFonts w:ascii="Arial" w:cs="Arial" w:eastAsia="Arial" w:hAnsi="Arial"/>
          <w:sz w:val="20"/>
          <w:szCs w:val="20"/>
          <w:color w:val="auto"/>
        </w:rPr>
        <w:t>Neither Parent nor any of its Subsidiaries has ever “participated” in a “listed transaction” within the meaning of Treasury Regulation Section 1.6011-4.</w:t>
      </w:r>
    </w:p>
    <w:p>
      <w:pPr>
        <w:spacing w:after="0" w:line="169"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0"/>
          <w:szCs w:val="20"/>
          <w:b w:val="1"/>
          <w:bCs w:val="1"/>
          <w:color w:val="auto"/>
        </w:rPr>
        <w:t>Section 5.11</w:t>
      </w:r>
      <w:r>
        <w:rPr>
          <w:sz w:val="20"/>
          <w:szCs w:val="20"/>
          <w:color w:val="auto"/>
        </w:rPr>
        <w:tab/>
      </w:r>
      <w:r>
        <w:rPr>
          <w:rFonts w:ascii="Arial" w:cs="Arial" w:eastAsia="Arial" w:hAnsi="Arial"/>
          <w:sz w:val="18"/>
          <w:szCs w:val="18"/>
          <w:u w:val="single" w:color="auto"/>
          <w:color w:val="auto"/>
        </w:rPr>
        <w:t>ERISA; Foreign Pension Plans; Employee Benefit Arrangements</w:t>
      </w:r>
      <w:r>
        <w:rPr>
          <w:rFonts w:ascii="Arial" w:cs="Arial" w:eastAsia="Arial" w:hAnsi="Arial"/>
          <w:sz w:val="18"/>
          <w:szCs w:val="18"/>
          <w:color w:val="auto"/>
        </w:rPr>
        <w:t>.</w:t>
      </w:r>
    </w:p>
    <w:p>
      <w:pPr>
        <w:spacing w:after="0" w:line="195" w:lineRule="exact"/>
        <w:rPr>
          <w:sz w:val="20"/>
          <w:szCs w:val="20"/>
          <w:color w:val="auto"/>
        </w:rPr>
      </w:pPr>
    </w:p>
    <w:p>
      <w:pPr>
        <w:ind w:left="2180" w:hanging="875"/>
        <w:spacing w:after="0"/>
        <w:tabs>
          <w:tab w:leader="none" w:pos="2180" w:val="left"/>
        </w:tabs>
        <w:numPr>
          <w:ilvl w:val="0"/>
          <w:numId w:val="274"/>
        </w:numPr>
        <w:rPr>
          <w:rFonts w:ascii="Arial" w:cs="Arial" w:eastAsia="Arial" w:hAnsi="Arial"/>
          <w:sz w:val="20"/>
          <w:szCs w:val="20"/>
          <w:color w:val="auto"/>
        </w:rPr>
      </w:pPr>
      <w:r>
        <w:rPr>
          <w:rFonts w:ascii="Arial" w:cs="Arial" w:eastAsia="Arial" w:hAnsi="Arial"/>
          <w:sz w:val="20"/>
          <w:szCs w:val="20"/>
          <w:i w:val="1"/>
          <w:iCs w:val="1"/>
          <w:u w:val="single" w:color="auto"/>
          <w:color w:val="auto"/>
        </w:rPr>
        <w:t>ERISA</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right="280" w:firstLine="1467"/>
        <w:spacing w:after="0" w:line="273" w:lineRule="auto"/>
        <w:tabs>
          <w:tab w:leader="none" w:pos="2132" w:val="left"/>
        </w:tabs>
        <w:numPr>
          <w:ilvl w:val="1"/>
          <w:numId w:val="274"/>
        </w:numPr>
        <w:rPr>
          <w:rFonts w:ascii="Arial" w:cs="Arial" w:eastAsia="Arial" w:hAnsi="Arial"/>
          <w:sz w:val="20"/>
          <w:szCs w:val="20"/>
          <w:color w:val="auto"/>
        </w:rPr>
      </w:pPr>
      <w:r>
        <w:rPr>
          <w:rFonts w:ascii="Arial" w:cs="Arial" w:eastAsia="Arial" w:hAnsi="Arial"/>
          <w:sz w:val="20"/>
          <w:szCs w:val="20"/>
          <w:color w:val="auto"/>
        </w:rPr>
        <w:t xml:space="preserve">There are no Unfunded Liabilities in excess of $2,500,000 (A) with respect to Parent or any of its Restricted Subsidiaries and (B) except as would not reasonably be expected to have a Material Adverse Effect, with respect to any ERISA Affiliate;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purposes of this </w:t>
      </w:r>
      <w:r>
        <w:rPr>
          <w:rFonts w:ascii="Arial" w:cs="Arial" w:eastAsia="Arial" w:hAnsi="Arial"/>
          <w:sz w:val="20"/>
          <w:szCs w:val="20"/>
          <w:u w:val="single" w:color="auto"/>
          <w:color w:val="auto"/>
        </w:rPr>
        <w:t>Section 5.11(a)(i)(B)</w:t>
      </w:r>
      <w:r>
        <w:rPr>
          <w:rFonts w:ascii="Arial" w:cs="Arial" w:eastAsia="Arial" w:hAnsi="Arial"/>
          <w:sz w:val="20"/>
          <w:szCs w:val="20"/>
          <w:color w:val="auto"/>
        </w:rPr>
        <w:t xml:space="preserve"> only, Unfunded Liabilities means the amount (if any) by which the projected benefit obligation exceeds the value of the plan’s assets as of its last valuation date using the actuarial assumptions and methods being used by the plan’s actuaries for making such determination.</w:t>
      </w:r>
    </w:p>
    <w:p>
      <w:pPr>
        <w:spacing w:after="0" w:line="150" w:lineRule="exact"/>
        <w:rPr>
          <w:rFonts w:ascii="Arial" w:cs="Arial" w:eastAsia="Arial" w:hAnsi="Arial"/>
          <w:sz w:val="20"/>
          <w:szCs w:val="20"/>
          <w:color w:val="auto"/>
        </w:rPr>
      </w:pPr>
    </w:p>
    <w:p>
      <w:pPr>
        <w:ind w:right="20" w:firstLine="1467"/>
        <w:spacing w:after="0" w:line="290" w:lineRule="auto"/>
        <w:tabs>
          <w:tab w:leader="none" w:pos="2186" w:val="left"/>
        </w:tabs>
        <w:numPr>
          <w:ilvl w:val="1"/>
          <w:numId w:val="274"/>
        </w:numPr>
        <w:rPr>
          <w:rFonts w:ascii="Arial" w:cs="Arial" w:eastAsia="Arial" w:hAnsi="Arial"/>
          <w:sz w:val="19"/>
          <w:szCs w:val="19"/>
          <w:color w:val="auto"/>
        </w:rPr>
      </w:pPr>
      <w:r>
        <w:rPr>
          <w:rFonts w:ascii="Arial" w:cs="Arial" w:eastAsia="Arial" w:hAnsi="Arial"/>
          <w:sz w:val="19"/>
          <w:szCs w:val="19"/>
          <w:color w:val="auto"/>
        </w:rPr>
        <w:t>Each Plan and Employee Benefit Arrangement, other than a Multiemployer Plan, complies in all respects with the applicable requirements of ERISA and the Code (including pursuant to any applicable correction procedures under applicable Law, as appropriate), and each of Parent and each of its Restricted Subsidiaries complies in all respects with the applicable requirements of ERISA and the Code with respect to all Multiemployer Plans to which it contributes, except, in each case, to the extent that the failure to comply therewith would not reasonably be expected to have a Material Adverse Effect.</w:t>
      </w:r>
    </w:p>
    <w:p>
      <w:pPr>
        <w:spacing w:after="0" w:line="200" w:lineRule="exact"/>
        <w:rPr>
          <w:rFonts w:ascii="Arial" w:cs="Arial" w:eastAsia="Arial" w:hAnsi="Arial"/>
          <w:sz w:val="19"/>
          <w:szCs w:val="19"/>
          <w:color w:val="auto"/>
        </w:rPr>
      </w:pPr>
    </w:p>
    <w:p>
      <w:pPr>
        <w:spacing w:after="0" w:line="384" w:lineRule="exact"/>
        <w:rPr>
          <w:rFonts w:ascii="Arial" w:cs="Arial" w:eastAsia="Arial" w:hAnsi="Arial"/>
          <w:sz w:val="19"/>
          <w:szCs w:val="19"/>
          <w:color w:val="auto"/>
        </w:rPr>
      </w:pPr>
    </w:p>
    <w:p>
      <w:pPr>
        <w:ind w:left="5560" w:hanging="110"/>
        <w:spacing w:after="0"/>
        <w:tabs>
          <w:tab w:leader="none" w:pos="5560" w:val="left"/>
        </w:tabs>
        <w:numPr>
          <w:ilvl w:val="2"/>
          <w:numId w:val="274"/>
        </w:numPr>
        <w:rPr>
          <w:rFonts w:ascii="Arial" w:cs="Arial" w:eastAsia="Arial" w:hAnsi="Arial"/>
          <w:sz w:val="20"/>
          <w:szCs w:val="20"/>
          <w:color w:val="auto"/>
        </w:rPr>
      </w:pPr>
      <w:r>
        <w:rPr>
          <w:rFonts w:ascii="Arial" w:cs="Arial" w:eastAsia="Arial" w:hAnsi="Arial"/>
          <w:sz w:val="20"/>
          <w:szCs w:val="20"/>
          <w:color w:val="auto"/>
        </w:rPr>
        <w:t>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365" w:right="319" w:bottom="1440" w:gutter="0" w:footer="0" w:header="0"/>
        </w:sectPr>
      </w:pPr>
    </w:p>
    <w:bookmarkStart w:id="316" w:name="page317"/>
    <w:bookmarkEnd w:id="316"/>
    <w:p>
      <w:pPr>
        <w:ind w:right="40" w:firstLine="1467"/>
        <w:spacing w:after="0" w:line="289" w:lineRule="auto"/>
        <w:tabs>
          <w:tab w:leader="none" w:pos="2241" w:val="left"/>
        </w:tabs>
        <w:numPr>
          <w:ilvl w:val="1"/>
          <w:numId w:val="275"/>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a Material Adverse Effect, no ERISA Event has occurred or is reasonably expected to occur with respect to any Plan.</w:t>
      </w:r>
    </w:p>
    <w:p>
      <w:pPr>
        <w:spacing w:after="0" w:line="134" w:lineRule="exact"/>
        <w:rPr>
          <w:rFonts w:ascii="Arial" w:cs="Arial" w:eastAsia="Arial" w:hAnsi="Arial"/>
          <w:sz w:val="20"/>
          <w:szCs w:val="20"/>
          <w:color w:val="auto"/>
        </w:rPr>
      </w:pPr>
    </w:p>
    <w:p>
      <w:pPr>
        <w:ind w:right="480" w:firstLine="1467"/>
        <w:spacing w:after="0" w:line="289" w:lineRule="auto"/>
        <w:tabs>
          <w:tab w:leader="none" w:pos="2231" w:val="left"/>
        </w:tabs>
        <w:numPr>
          <w:ilvl w:val="1"/>
          <w:numId w:val="275"/>
        </w:numPr>
        <w:rPr>
          <w:rFonts w:ascii="Arial" w:cs="Arial" w:eastAsia="Arial" w:hAnsi="Arial"/>
          <w:sz w:val="20"/>
          <w:szCs w:val="20"/>
          <w:color w:val="auto"/>
        </w:rPr>
      </w:pPr>
      <w:r>
        <w:rPr>
          <w:rFonts w:ascii="Arial" w:cs="Arial" w:eastAsia="Arial" w:hAnsi="Arial"/>
          <w:sz w:val="20"/>
          <w:szCs w:val="20"/>
          <w:color w:val="auto"/>
        </w:rPr>
        <w:t>Neither Parent nor any of its Restricted Subsidiaries: (A) is or has been within the last six years a party to any Multiemployer Plan; or (B) has completely or partially withdrawn from any Multiemployer Plan.</w:t>
      </w:r>
    </w:p>
    <w:p>
      <w:pPr>
        <w:spacing w:after="0" w:line="134" w:lineRule="exact"/>
        <w:rPr>
          <w:rFonts w:ascii="Arial" w:cs="Arial" w:eastAsia="Arial" w:hAnsi="Arial"/>
          <w:sz w:val="20"/>
          <w:szCs w:val="20"/>
          <w:color w:val="auto"/>
        </w:rPr>
      </w:pPr>
    </w:p>
    <w:p>
      <w:pPr>
        <w:ind w:right="160" w:firstLine="1467"/>
        <w:spacing w:after="0" w:line="289" w:lineRule="auto"/>
        <w:tabs>
          <w:tab w:leader="none" w:pos="2175" w:val="left"/>
        </w:tabs>
        <w:numPr>
          <w:ilvl w:val="1"/>
          <w:numId w:val="275"/>
        </w:numPr>
        <w:rPr>
          <w:rFonts w:ascii="Arial" w:cs="Arial" w:eastAsia="Arial" w:hAnsi="Arial"/>
          <w:sz w:val="20"/>
          <w:szCs w:val="20"/>
          <w:color w:val="auto"/>
        </w:rPr>
      </w:pPr>
      <w:r>
        <w:rPr>
          <w:rFonts w:ascii="Arial" w:cs="Arial" w:eastAsia="Arial" w:hAnsi="Arial"/>
          <w:sz w:val="20"/>
          <w:szCs w:val="20"/>
          <w:color w:val="auto"/>
        </w:rPr>
        <w:t>Neither Parent nor any of its Restricted Subsidiaries has any contingent liability with respect to any postretirement benefit under a Welfare Plan that could reasonably be expected to have a Material Adverse Effect.</w:t>
      </w:r>
    </w:p>
    <w:p>
      <w:pPr>
        <w:spacing w:after="0" w:line="134" w:lineRule="exact"/>
        <w:rPr>
          <w:rFonts w:ascii="Arial" w:cs="Arial" w:eastAsia="Arial" w:hAnsi="Arial"/>
          <w:sz w:val="20"/>
          <w:szCs w:val="20"/>
          <w:color w:val="auto"/>
        </w:rPr>
      </w:pPr>
    </w:p>
    <w:p>
      <w:pPr>
        <w:ind w:right="140" w:firstLine="1305"/>
        <w:spacing w:after="0" w:line="310" w:lineRule="auto"/>
        <w:tabs>
          <w:tab w:leader="none" w:pos="2175" w:val="left"/>
        </w:tabs>
        <w:numPr>
          <w:ilvl w:val="0"/>
          <w:numId w:val="276"/>
        </w:numPr>
        <w:rPr>
          <w:rFonts w:ascii="Arial" w:cs="Arial" w:eastAsia="Arial" w:hAnsi="Arial"/>
          <w:sz w:val="18"/>
          <w:szCs w:val="18"/>
          <w:color w:val="auto"/>
        </w:rPr>
      </w:pPr>
      <w:r>
        <w:rPr>
          <w:rFonts w:ascii="Arial" w:cs="Arial" w:eastAsia="Arial" w:hAnsi="Arial"/>
          <w:sz w:val="18"/>
          <w:szCs w:val="18"/>
          <w:i w:val="1"/>
          <w:iCs w:val="1"/>
          <w:u w:val="single" w:color="auto"/>
          <w:color w:val="auto"/>
        </w:rPr>
        <w:t>Foreign Pension Plans</w:t>
      </w:r>
      <w:r>
        <w:rPr>
          <w:rFonts w:ascii="Arial" w:cs="Arial" w:eastAsia="Arial" w:hAnsi="Arial"/>
          <w:sz w:val="18"/>
          <w:szCs w:val="18"/>
          <w:color w:val="auto"/>
        </w:rPr>
        <w:t>. Each Foreign Pension Plan has been maintained in compliance with its terms and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any and all applicable Laws, statutes, rules, regulations and orders and has been maintained, where required, in good standing with applicable regulatory authorities except to the extent that the failure to comply therewith would not reasonably be expected to have a Material Adverse Effect. Neither Parent nor any of its Restricted Subsidiaries has incurred any obligation in an amount that would reasonably be expected to have a Material Adverse Effect in connection with the termination of or withdrawal from any Foreign Pension Plan.</w:t>
      </w:r>
    </w:p>
    <w:p>
      <w:pPr>
        <w:spacing w:after="0" w:line="121" w:lineRule="exact"/>
        <w:rPr>
          <w:rFonts w:ascii="Arial" w:cs="Arial" w:eastAsia="Arial" w:hAnsi="Arial"/>
          <w:sz w:val="18"/>
          <w:szCs w:val="18"/>
          <w:color w:val="auto"/>
        </w:rPr>
      </w:pPr>
    </w:p>
    <w:p>
      <w:pPr>
        <w:ind w:left="2180" w:hanging="875"/>
        <w:spacing w:after="0"/>
        <w:tabs>
          <w:tab w:leader="none" w:pos="2180" w:val="left"/>
        </w:tabs>
        <w:numPr>
          <w:ilvl w:val="0"/>
          <w:numId w:val="276"/>
        </w:numPr>
        <w:rPr>
          <w:rFonts w:ascii="Arial" w:cs="Arial" w:eastAsia="Arial" w:hAnsi="Arial"/>
          <w:sz w:val="20"/>
          <w:szCs w:val="20"/>
          <w:color w:val="auto"/>
        </w:rPr>
      </w:pPr>
      <w:r>
        <w:rPr>
          <w:rFonts w:ascii="Arial" w:cs="Arial" w:eastAsia="Arial" w:hAnsi="Arial"/>
          <w:sz w:val="20"/>
          <w:szCs w:val="20"/>
          <w:i w:val="1"/>
          <w:iCs w:val="1"/>
          <w:u w:val="single" w:color="auto"/>
          <w:color w:val="auto"/>
        </w:rPr>
        <w:t>Employee Benefit Arrangements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right="140" w:firstLine="1467"/>
        <w:spacing w:after="0" w:line="288" w:lineRule="auto"/>
        <w:tabs>
          <w:tab w:leader="none" w:pos="2132" w:val="left"/>
        </w:tabs>
        <w:numPr>
          <w:ilvl w:val="1"/>
          <w:numId w:val="276"/>
        </w:numPr>
        <w:rPr>
          <w:rFonts w:ascii="Arial" w:cs="Arial" w:eastAsia="Arial" w:hAnsi="Arial"/>
          <w:sz w:val="19"/>
          <w:szCs w:val="19"/>
          <w:color w:val="auto"/>
        </w:rPr>
      </w:pPr>
      <w:r>
        <w:rPr>
          <w:rFonts w:ascii="Arial" w:cs="Arial" w:eastAsia="Arial" w:hAnsi="Arial"/>
          <w:sz w:val="19"/>
          <w:szCs w:val="19"/>
          <w:color w:val="auto"/>
        </w:rPr>
        <w:t xml:space="preserve">All liabilities under the Employee Benefit Arrangements are (A) funded to at least the minimum level required by Law or, if higher, to the level required by the terms governing the Employee Benefit Arrangements, (B) insured with a reputable insurance company, (C) provided for or recognized in the financial statements most recently delivered to the Administrative Agent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w:t>
      </w:r>
      <w:r>
        <w:rPr>
          <w:rFonts w:ascii="Arial" w:cs="Arial" w:eastAsia="Arial" w:hAnsi="Arial"/>
          <w:sz w:val="19"/>
          <w:szCs w:val="19"/>
          <w:color w:val="auto"/>
        </w:rPr>
        <w:t xml:space="preserve"> hereof or (D) estimated in the formal notes to the financial statements most recently delivered to the Administrative Agent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hereof, where such failure to fund, insure, provide for, recognize or estimate the liabilities arising under such arrangements could reasonably be expected to have a Material Adverse Effect.</w:t>
      </w:r>
    </w:p>
    <w:p>
      <w:pPr>
        <w:spacing w:after="0" w:line="142" w:lineRule="exact"/>
        <w:rPr>
          <w:rFonts w:ascii="Arial" w:cs="Arial" w:eastAsia="Arial" w:hAnsi="Arial"/>
          <w:sz w:val="19"/>
          <w:szCs w:val="19"/>
          <w:color w:val="auto"/>
        </w:rPr>
      </w:pPr>
    </w:p>
    <w:p>
      <w:pPr>
        <w:ind w:right="20" w:firstLine="1467"/>
        <w:spacing w:after="0" w:line="278" w:lineRule="auto"/>
        <w:tabs>
          <w:tab w:leader="none" w:pos="2186" w:val="left"/>
        </w:tabs>
        <w:numPr>
          <w:ilvl w:val="1"/>
          <w:numId w:val="276"/>
        </w:numPr>
        <w:rPr>
          <w:rFonts w:ascii="Arial" w:cs="Arial" w:eastAsia="Arial" w:hAnsi="Arial"/>
          <w:sz w:val="20"/>
          <w:szCs w:val="20"/>
          <w:color w:val="auto"/>
        </w:rPr>
      </w:pPr>
      <w:r>
        <w:rPr>
          <w:rFonts w:ascii="Arial" w:cs="Arial" w:eastAsia="Arial" w:hAnsi="Arial"/>
          <w:sz w:val="20"/>
          <w:szCs w:val="20"/>
          <w:color w:val="auto"/>
        </w:rPr>
        <w:t>There are no circumstances which may give rise to a liability in relation to the Employee Benefit Arrangements which are not funded, insured, provided for, recognized or estimated in the manner described in clause (i) above and which could reasonably be expected to have a Material Adverse Effect.</w:t>
      </w:r>
    </w:p>
    <w:p>
      <w:pPr>
        <w:spacing w:after="0" w:line="146" w:lineRule="exact"/>
        <w:rPr>
          <w:rFonts w:ascii="Arial" w:cs="Arial" w:eastAsia="Arial" w:hAnsi="Arial"/>
          <w:sz w:val="20"/>
          <w:szCs w:val="20"/>
          <w:color w:val="auto"/>
        </w:rPr>
      </w:pPr>
    </w:p>
    <w:p>
      <w:pPr>
        <w:ind w:right="40" w:firstLine="1467"/>
        <w:spacing w:after="0" w:line="278" w:lineRule="auto"/>
        <w:tabs>
          <w:tab w:leader="none" w:pos="2241" w:val="left"/>
        </w:tabs>
        <w:numPr>
          <w:ilvl w:val="1"/>
          <w:numId w:val="276"/>
        </w:numPr>
        <w:rPr>
          <w:rFonts w:ascii="Arial" w:cs="Arial" w:eastAsia="Arial" w:hAnsi="Arial"/>
          <w:sz w:val="20"/>
          <w:szCs w:val="20"/>
          <w:color w:val="auto"/>
        </w:rPr>
      </w:pPr>
      <w:r>
        <w:rPr>
          <w:rFonts w:ascii="Arial" w:cs="Arial" w:eastAsia="Arial" w:hAnsi="Arial"/>
          <w:sz w:val="20"/>
          <w:szCs w:val="20"/>
          <w:color w:val="auto"/>
        </w:rPr>
        <w:t>Each of Parent and each of its Restricted Subsidiaries is in compliance with all applicable Laws, trust documentation and contracts relating to the Employee Benefit Arrangements (including pursuant to any applicable procedures under applicable Law, as appropriate), except as would not reasonably be expected to have a Material Adverse Effect.</w:t>
      </w:r>
    </w:p>
    <w:p>
      <w:pPr>
        <w:spacing w:after="0" w:line="181"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b w:val="1"/>
          <w:bCs w:val="1"/>
          <w:color w:val="auto"/>
        </w:rPr>
        <w:t xml:space="preserve">Section 5.12 </w:t>
      </w:r>
      <w:r>
        <w:rPr>
          <w:rFonts w:ascii="Arial" w:cs="Arial" w:eastAsia="Arial" w:hAnsi="Arial"/>
          <w:sz w:val="16"/>
          <w:szCs w:val="16"/>
          <w:u w:val="single" w:color="auto"/>
          <w:color w:val="auto"/>
        </w:rPr>
        <w:t>Subsidiaries; Equity Interests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5.12</w:t>
      </w:r>
      <w:r>
        <w:rPr>
          <w:rFonts w:ascii="Arial" w:cs="Arial" w:eastAsia="Arial" w:hAnsi="Arial"/>
          <w:sz w:val="16"/>
          <w:szCs w:val="16"/>
          <w:b w:val="1"/>
          <w:bCs w:val="1"/>
          <w:color w:val="auto"/>
        </w:rPr>
        <w:t xml:space="preserve"> </w:t>
      </w:r>
      <w:r>
        <w:rPr>
          <w:rFonts w:ascii="Arial" w:cs="Arial" w:eastAsia="Arial" w:hAnsi="Arial"/>
          <w:sz w:val="16"/>
          <w:szCs w:val="16"/>
          <w:color w:val="auto"/>
        </w:rPr>
        <w:t>sets forth a complete and accurate list as of the Closing Date of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Subsidiaries of Parent. </w:t>
      </w:r>
      <w:r>
        <w:rPr>
          <w:rFonts w:ascii="Arial" w:cs="Arial" w:eastAsia="Arial" w:hAnsi="Arial"/>
          <w:sz w:val="16"/>
          <w:szCs w:val="16"/>
          <w:u w:val="single" w:color="auto"/>
          <w:color w:val="auto"/>
        </w:rPr>
        <w:t>Schedule 5.12</w:t>
      </w:r>
      <w:r>
        <w:rPr>
          <w:rFonts w:ascii="Arial" w:cs="Arial" w:eastAsia="Arial" w:hAnsi="Arial"/>
          <w:sz w:val="16"/>
          <w:szCs w:val="16"/>
          <w:color w:val="auto"/>
        </w:rPr>
        <w:t xml:space="preserve"> sets forth as of the Closing Date the jurisdiction of formation of each such Subsidiary, whether each such Subsidiary is a Guarantor, the number of authorized shares of each class of Equity Interests of each such Subsidiary, the number of outstanding shares of each class of Equity Interests, the number and percentage of outstanding shares of each class of Equity Interests of each such Subsidiary owned (directly or indirectly) by any Person and the number and effect, if exercised, of all Equity Equivalents with respect to Equity Interests of each such Subsidiary. All the outstanding Equity Interests of each Restricted Subsidiary of Parent are validly issued, fully paid and non-assessable (to the extent applicable and except as may arise under mandatory, nonwaivable provisions of applicable law) and were not issued in violation of the preemptive rights of any shareholder and, as of the Closing Date, those owned by Parent, directly or indirectly, are</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79" w:right="259" w:bottom="1440" w:gutter="0" w:footer="0" w:header="0"/>
        </w:sectPr>
      </w:pPr>
    </w:p>
    <w:bookmarkStart w:id="317" w:name="page318"/>
    <w:bookmarkEnd w:id="317"/>
    <w:p>
      <w:pPr>
        <w:ind w:right="40"/>
        <w:spacing w:after="0" w:line="246" w:lineRule="auto"/>
        <w:rPr>
          <w:sz w:val="20"/>
          <w:szCs w:val="20"/>
          <w:color w:val="auto"/>
        </w:rPr>
      </w:pPr>
      <w:r>
        <w:rPr>
          <w:rFonts w:ascii="Arial" w:cs="Arial" w:eastAsia="Arial" w:hAnsi="Arial"/>
          <w:sz w:val="20"/>
          <w:szCs w:val="20"/>
          <w:color w:val="auto"/>
        </w:rPr>
        <w:t xml:space="preserve">free and clear of all Liens (other than those arising under the Collateral Documents). Other than as set forth on </w:t>
      </w:r>
      <w:r>
        <w:rPr>
          <w:rFonts w:ascii="Arial" w:cs="Arial" w:eastAsia="Arial" w:hAnsi="Arial"/>
          <w:sz w:val="20"/>
          <w:szCs w:val="20"/>
          <w:u w:val="single" w:color="auto"/>
          <w:color w:val="auto"/>
        </w:rPr>
        <w:t>Schedule 5.12</w:t>
      </w:r>
      <w:r>
        <w:rPr>
          <w:rFonts w:ascii="Arial" w:cs="Arial" w:eastAsia="Arial" w:hAnsi="Arial"/>
          <w:sz w:val="20"/>
          <w:szCs w:val="20"/>
          <w:color w:val="auto"/>
        </w:rPr>
        <w:t>, as of the Closing Date, no such Restricted Subsidiary has outstanding any Equity Equivalents nor does any such Person have outstanding any rights to subscribe for or to purchase or any options for the purchase of, or any agreements providing for the issuance (contingent or otherwise) of, or any calls, commitments or claims of any character relating to, its Equity Interests.</w:t>
      </w:r>
    </w:p>
    <w:p>
      <w:pPr>
        <w:spacing w:after="0" w:line="132"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5.13</w:t>
      </w:r>
      <w:r>
        <w:rPr>
          <w:sz w:val="20"/>
          <w:szCs w:val="20"/>
          <w:color w:val="auto"/>
        </w:rPr>
        <w:tab/>
      </w:r>
      <w:r>
        <w:rPr>
          <w:rFonts w:ascii="Arial" w:cs="Arial" w:eastAsia="Arial" w:hAnsi="Arial"/>
          <w:sz w:val="18"/>
          <w:szCs w:val="18"/>
          <w:u w:val="single" w:color="auto"/>
          <w:color w:val="auto"/>
        </w:rPr>
        <w:t>Margin Regulations; Investment Company Act</w:t>
      </w:r>
      <w:r>
        <w:rPr>
          <w:rFonts w:ascii="Arial" w:cs="Arial" w:eastAsia="Arial" w:hAnsi="Arial"/>
          <w:sz w:val="18"/>
          <w:szCs w:val="18"/>
          <w:color w:val="auto"/>
        </w:rPr>
        <w:t>.</w:t>
      </w:r>
    </w:p>
    <w:p>
      <w:pPr>
        <w:spacing w:after="0" w:line="127" w:lineRule="exact"/>
        <w:rPr>
          <w:sz w:val="20"/>
          <w:szCs w:val="20"/>
          <w:color w:val="auto"/>
        </w:rPr>
      </w:pPr>
    </w:p>
    <w:p>
      <w:pPr>
        <w:ind w:right="60" w:firstLine="1305"/>
        <w:spacing w:after="0" w:line="273" w:lineRule="auto"/>
        <w:tabs>
          <w:tab w:leader="none" w:pos="2164" w:val="left"/>
        </w:tabs>
        <w:numPr>
          <w:ilvl w:val="0"/>
          <w:numId w:val="277"/>
        </w:numPr>
        <w:rPr>
          <w:rFonts w:ascii="Arial" w:cs="Arial" w:eastAsia="Arial" w:hAnsi="Arial"/>
          <w:sz w:val="20"/>
          <w:szCs w:val="20"/>
          <w:color w:val="auto"/>
        </w:rPr>
      </w:pPr>
      <w:r>
        <w:rPr>
          <w:rFonts w:ascii="Arial" w:cs="Arial" w:eastAsia="Arial" w:hAnsi="Arial"/>
          <w:sz w:val="20"/>
          <w:szCs w:val="20"/>
          <w:color w:val="auto"/>
        </w:rPr>
        <w:t>Neither Parent nor any of its Restricted Subsidiaries is engaged principally, or as one of its important activities, in the business of extending credit for the purpose of purchasing or carrying Margin Stock. No part of the Letters of Credit or proceeds of the Loans will be used, directly or indirectly, for the purpose of purchasing or carrying any Margin Stock in violation of Regulation U. None of the transactions contemplated by this Agreement (including the direct or indirect use of the proceeds of the Loans) will violate or result in a violation of the Securities Act, the Exchange Act or Regulation T, U or X.</w:t>
      </w:r>
    </w:p>
    <w:p>
      <w:pPr>
        <w:spacing w:after="0" w:line="83" w:lineRule="exact"/>
        <w:rPr>
          <w:rFonts w:ascii="Arial" w:cs="Arial" w:eastAsia="Arial" w:hAnsi="Arial"/>
          <w:sz w:val="20"/>
          <w:szCs w:val="20"/>
          <w:color w:val="auto"/>
        </w:rPr>
      </w:pPr>
    </w:p>
    <w:p>
      <w:pPr>
        <w:ind w:right="620" w:firstLine="1305"/>
        <w:spacing w:after="0" w:line="289" w:lineRule="auto"/>
        <w:tabs>
          <w:tab w:leader="none" w:pos="2175" w:val="left"/>
        </w:tabs>
        <w:numPr>
          <w:ilvl w:val="0"/>
          <w:numId w:val="277"/>
        </w:numPr>
        <w:rPr>
          <w:rFonts w:ascii="Arial" w:cs="Arial" w:eastAsia="Arial" w:hAnsi="Arial"/>
          <w:sz w:val="20"/>
          <w:szCs w:val="20"/>
          <w:color w:val="auto"/>
        </w:rPr>
      </w:pPr>
      <w:r>
        <w:rPr>
          <w:rFonts w:ascii="Arial" w:cs="Arial" w:eastAsia="Arial" w:hAnsi="Arial"/>
          <w:sz w:val="20"/>
          <w:szCs w:val="20"/>
          <w:color w:val="auto"/>
        </w:rPr>
        <w:t>Neither Parent nor any of its Restricted Subsidiaries is an “investment company” registered or required to be registered under the Investment Company Act of 1940, as amended.</w:t>
      </w:r>
    </w:p>
    <w:p>
      <w:pPr>
        <w:spacing w:after="0" w:line="102" w:lineRule="exact"/>
        <w:rPr>
          <w:sz w:val="20"/>
          <w:szCs w:val="20"/>
          <w:color w:val="auto"/>
        </w:rPr>
      </w:pPr>
    </w:p>
    <w:p>
      <w:pPr>
        <w:ind w:right="20" w:firstLine="1297"/>
        <w:spacing w:after="0" w:line="270" w:lineRule="auto"/>
        <w:rPr>
          <w:sz w:val="20"/>
          <w:szCs w:val="20"/>
          <w:color w:val="auto"/>
        </w:rPr>
      </w:pPr>
      <w:r>
        <w:rPr>
          <w:rFonts w:ascii="Arial" w:cs="Arial" w:eastAsia="Arial" w:hAnsi="Arial"/>
          <w:sz w:val="18"/>
          <w:szCs w:val="18"/>
          <w:b w:val="1"/>
          <w:bCs w:val="1"/>
          <w:color w:val="auto"/>
        </w:rPr>
        <w:t xml:space="preserve">Section 5.14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No written report, financial statement, certificate or other information including the Pre-Commitment Information (other than projections, budgets, estimates and other forward looking information or information of a general or industry specific nature), furnished concerning or affecting Parent or any of its Restricted Subsidiaries by or on behalf of any Loan Party to the Administrative Agent or any Lender in connection with the transactions contemplated hereby or delivered hereunder or under any other Loan Document (in each case, as modified or supplemented by other information so furnished), when taken as a whole together with all other written information provided by or on behalf of Parent and any reports filed by Parent with the SEC, contains any material misstatement of a material fact or omits to state any material fact necessary to make the statements therein, in the light of the circumstances under which they were made, not materially misleading. With respect to projections, budgets, estimates and other forward-looking information, Parent and the Borrower represent that such information was prepared in good faith on a basis consistent with the financial statements referred to in </w:t>
      </w:r>
      <w:r>
        <w:rPr>
          <w:rFonts w:ascii="Arial" w:cs="Arial" w:eastAsia="Arial" w:hAnsi="Arial"/>
          <w:sz w:val="18"/>
          <w:szCs w:val="18"/>
          <w:u w:val="single" w:color="auto"/>
          <w:color w:val="auto"/>
        </w:rPr>
        <w:t>Section 5.05(a)</w:t>
      </w:r>
      <w:r>
        <w:rPr>
          <w:rFonts w:ascii="Arial" w:cs="Arial" w:eastAsia="Arial" w:hAnsi="Arial"/>
          <w:sz w:val="18"/>
          <w:szCs w:val="18"/>
          <w:color w:val="auto"/>
        </w:rPr>
        <w:t xml:space="preserve"> and based upon assumptions believed to be reasonable by the preparer thereof at the time made (it being understood and agreed that projections as to future events are not to be viewed as facts or guaranties of future performance, that actual results during the period or periods covered by such projections may differ from the projected results and that such differences may be material and that the Loan Parties make no representation that such projections will in fact be realized).</w:t>
      </w:r>
    </w:p>
    <w:p>
      <w:pPr>
        <w:spacing w:after="0" w:line="120" w:lineRule="exact"/>
        <w:rPr>
          <w:sz w:val="20"/>
          <w:szCs w:val="20"/>
          <w:color w:val="auto"/>
        </w:rPr>
      </w:pPr>
    </w:p>
    <w:p>
      <w:pPr>
        <w:ind w:firstLine="1297"/>
        <w:spacing w:after="0" w:line="256" w:lineRule="auto"/>
        <w:rPr>
          <w:sz w:val="20"/>
          <w:szCs w:val="20"/>
          <w:color w:val="auto"/>
        </w:rPr>
      </w:pPr>
      <w:r>
        <w:rPr>
          <w:rFonts w:ascii="Arial" w:cs="Arial" w:eastAsia="Arial" w:hAnsi="Arial"/>
          <w:sz w:val="19"/>
          <w:szCs w:val="19"/>
          <w:b w:val="1"/>
          <w:bCs w:val="1"/>
          <w:color w:val="auto"/>
        </w:rPr>
        <w:t xml:space="preserve">Section 5.15 </w:t>
      </w:r>
      <w:r>
        <w:rPr>
          <w:rFonts w:ascii="Arial" w:cs="Arial" w:eastAsia="Arial" w:hAnsi="Arial"/>
          <w:sz w:val="19"/>
          <w:szCs w:val="19"/>
          <w:u w:val="single" w:color="auto"/>
          <w:color w:val="auto"/>
        </w:rPr>
        <w:t>Compliance with Law</w:t>
      </w:r>
      <w:r>
        <w:rPr>
          <w:rFonts w:ascii="Arial" w:cs="Arial" w:eastAsia="Arial" w:hAnsi="Arial"/>
          <w:sz w:val="19"/>
          <w:szCs w:val="19"/>
          <w:color w:val="auto"/>
        </w:rPr>
        <w:t>. Each of Parent and each of its Restricted Subsidiaries is in compliance with 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requirements of Law (including Environmental Laws) applicable to it or to its properties, except for any such failure to comply which could not reasonably be expected to cause a Material Adverse Effect. To the knowledge of the Loan Parties, neither Parent nor any of its Restricted Subsidiaries nor any of their respective material properties or assets is in default with respect to any judgment, writ, injunction, decree or order of any court or other Governmental Authority which, individually or in the aggregate, could reasonably be expected to result in a Material Adverse Effect except as disclosed in </w:t>
      </w:r>
      <w:r>
        <w:rPr>
          <w:rFonts w:ascii="Arial" w:cs="Arial" w:eastAsia="Arial" w:hAnsi="Arial"/>
          <w:sz w:val="19"/>
          <w:szCs w:val="19"/>
          <w:u w:val="single" w:color="auto"/>
          <w:color w:val="auto"/>
        </w:rPr>
        <w:t>Schedule 5.15</w:t>
      </w:r>
      <w:r>
        <w:rPr>
          <w:rFonts w:ascii="Arial" w:cs="Arial" w:eastAsia="Arial" w:hAnsi="Arial"/>
          <w:sz w:val="19"/>
          <w:szCs w:val="19"/>
          <w:color w:val="auto"/>
        </w:rPr>
        <w:t xml:space="preserve">. As of the Closing Date, except as disclosed in </w:t>
      </w:r>
      <w:r>
        <w:rPr>
          <w:rFonts w:ascii="Arial" w:cs="Arial" w:eastAsia="Arial" w:hAnsi="Arial"/>
          <w:sz w:val="19"/>
          <w:szCs w:val="19"/>
          <w:u w:val="single" w:color="auto"/>
          <w:color w:val="auto"/>
        </w:rPr>
        <w:t>Schedule 5.15</w:t>
      </w:r>
      <w:r>
        <w:rPr>
          <w:rFonts w:ascii="Arial" w:cs="Arial" w:eastAsia="Arial" w:hAnsi="Arial"/>
          <w:sz w:val="19"/>
          <w:szCs w:val="19"/>
          <w:color w:val="auto"/>
        </w:rPr>
        <w:t>, neither Parent nor any of its Restricted Subsidiaries has received any written communication from any Governmental Authority that alleges that any of Parent or any of its Restricted Subsidiaries is not in compliance in any material respect with any Law, except for allegations that have been satisfactorily resolved and are no longer outstanding or which, individually or in the aggregate, could not reasonably be expected to result in a Material Adverse Effect.</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8" w:name="page319"/>
    <w:bookmarkEnd w:id="318"/>
    <w:p>
      <w:pPr>
        <w:jc w:val="both"/>
        <w:ind w:firstLine="1297"/>
        <w:spacing w:after="0" w:line="266" w:lineRule="auto"/>
        <w:rPr>
          <w:sz w:val="20"/>
          <w:szCs w:val="20"/>
          <w:color w:val="auto"/>
        </w:rPr>
      </w:pPr>
      <w:r>
        <w:rPr>
          <w:rFonts w:ascii="Arial" w:cs="Arial" w:eastAsia="Arial" w:hAnsi="Arial"/>
          <w:sz w:val="19"/>
          <w:szCs w:val="19"/>
          <w:b w:val="1"/>
          <w:bCs w:val="1"/>
          <w:color w:val="auto"/>
        </w:rPr>
        <w:t xml:space="preserve">Section 5.16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Except as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5.16</w:t>
      </w:r>
      <w:r>
        <w:rPr>
          <w:rFonts w:ascii="Arial" w:cs="Arial" w:eastAsia="Arial" w:hAnsi="Arial"/>
          <w:sz w:val="19"/>
          <w:szCs w:val="19"/>
          <w:color w:val="auto"/>
        </w:rPr>
        <w:t>, each of Parent and each of its Restricted Subsidiaries</w:t>
      </w:r>
      <w:r>
        <w:rPr>
          <w:rFonts w:ascii="Arial" w:cs="Arial" w:eastAsia="Arial" w:hAnsi="Arial"/>
          <w:sz w:val="19"/>
          <w:szCs w:val="19"/>
          <w:b w:val="1"/>
          <w:bCs w:val="1"/>
          <w:color w:val="auto"/>
        </w:rPr>
        <w:t xml:space="preserve"> </w:t>
      </w:r>
      <w:r>
        <w:rPr>
          <w:rFonts w:ascii="Arial" w:cs="Arial" w:eastAsia="Arial" w:hAnsi="Arial"/>
          <w:sz w:val="19"/>
          <w:szCs w:val="19"/>
          <w:color w:val="auto"/>
        </w:rPr>
        <w:t>owns, or possesses the right to use, all of the trademarks, service marks, trade names, copyrights, patents, patent rights, franchises, licenses and other rights that are reasonably necessary for the operation of its respective business, without conflict with the rights of any other Person except for those conflicts which could not reasonably be expected to have a Material Adverse Effect.</w:t>
      </w:r>
    </w:p>
    <w:p>
      <w:pPr>
        <w:spacing w:after="0" w:line="179" w:lineRule="exact"/>
        <w:rPr>
          <w:sz w:val="20"/>
          <w:szCs w:val="20"/>
          <w:color w:val="auto"/>
        </w:rPr>
      </w:pPr>
    </w:p>
    <w:p>
      <w:pPr>
        <w:ind w:right="60" w:firstLine="1297"/>
        <w:spacing w:after="0" w:line="273" w:lineRule="auto"/>
        <w:rPr>
          <w:sz w:val="20"/>
          <w:szCs w:val="20"/>
          <w:color w:val="auto"/>
        </w:rPr>
      </w:pPr>
      <w:r>
        <w:rPr>
          <w:rFonts w:ascii="Arial" w:cs="Arial" w:eastAsia="Arial" w:hAnsi="Arial"/>
          <w:sz w:val="18"/>
          <w:szCs w:val="18"/>
          <w:b w:val="1"/>
          <w:bCs w:val="1"/>
          <w:color w:val="auto"/>
        </w:rPr>
        <w:t xml:space="preserve">Section 5.17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(a) the Term Loans and Revolving Loans funded on the Closing Date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used by Parent or its Subsidiaries on the Closing Date to consummate the Transactions and to pay related costs and expenses, (b) the Revolving Loans and the Swing Line Loans will be used by the applicable Borrower after the Closing Date to provide for ongoing working capital requirements of Parent and its Subsidiaries and for general corporate purposes (including without limitation to effect Permitted Acquisitions and to finance Consolidated Capital Expenditures) and (c) the Letters of Credit will be used by Parent and its Subsidiaries for general corporate purposes. Notwithstanding the foregoing, no Irish Borrower shall use proceeds of Revolving Loans to subscribe for Equity Interests of any Person where such subscription would result in an Irish Borrower or a Subsidiary Guarantor organized under the laws of Ireland providing unlawful financial assistance within the meaning of Section </w:t>
      </w:r>
      <w:r>
        <w:rPr>
          <w:rFonts w:ascii="Arial" w:cs="Arial" w:eastAsia="Arial" w:hAnsi="Arial"/>
          <w:sz w:val="18"/>
          <w:szCs w:val="18"/>
          <w:color w:val="FF0000"/>
          <w:strike w:val="1"/>
        </w:rPr>
        <w:t>60</w:t>
      </w:r>
      <w:r>
        <w:rPr>
          <w:rFonts w:ascii="Arial" w:cs="Arial" w:eastAsia="Arial" w:hAnsi="Arial"/>
          <w:sz w:val="18"/>
          <w:szCs w:val="18"/>
          <w:u w:val="single" w:color="auto"/>
          <w:color w:val="0000FF"/>
        </w:rPr>
        <w:t>82</w:t>
      </w:r>
      <w:r>
        <w:rPr>
          <w:rFonts w:ascii="Arial" w:cs="Arial" w:eastAsia="Arial" w:hAnsi="Arial"/>
          <w:sz w:val="18"/>
          <w:szCs w:val="18"/>
          <w:color w:val="auto"/>
        </w:rPr>
        <w:t xml:space="preserve"> of the Irish Companies Act, </w:t>
      </w:r>
      <w:r>
        <w:rPr>
          <w:rFonts w:ascii="Arial" w:cs="Arial" w:eastAsia="Arial" w:hAnsi="Arial"/>
          <w:sz w:val="18"/>
          <w:szCs w:val="18"/>
          <w:color w:val="FF0000"/>
          <w:strike w:val="1"/>
        </w:rPr>
        <w:t>1963</w:t>
      </w:r>
      <w:r>
        <w:rPr>
          <w:rFonts w:ascii="Arial" w:cs="Arial" w:eastAsia="Arial" w:hAnsi="Arial"/>
          <w:sz w:val="18"/>
          <w:szCs w:val="18"/>
          <w:u w:val="single" w:color="auto"/>
          <w:color w:val="0000FF"/>
        </w:rPr>
        <w:t>2014</w:t>
      </w:r>
      <w:r>
        <w:rPr>
          <w:rFonts w:ascii="Arial" w:cs="Arial" w:eastAsia="Arial" w:hAnsi="Arial"/>
          <w:sz w:val="18"/>
          <w:szCs w:val="18"/>
          <w:color w:val="auto"/>
        </w:rPr>
        <w:t xml:space="preserve"> unless the procedure set out in Section </w:t>
      </w:r>
      <w:r>
        <w:rPr>
          <w:rFonts w:ascii="Arial" w:cs="Arial" w:eastAsia="Arial" w:hAnsi="Arial"/>
          <w:sz w:val="18"/>
          <w:szCs w:val="18"/>
          <w:color w:val="FF0000"/>
          <w:strike w:val="1"/>
        </w:rPr>
        <w:t>60(2)</w:t>
      </w:r>
      <w:r>
        <w:rPr>
          <w:rFonts w:ascii="Arial" w:cs="Arial" w:eastAsia="Arial" w:hAnsi="Arial"/>
          <w:sz w:val="18"/>
          <w:szCs w:val="18"/>
          <w:u w:val="single" w:color="auto"/>
          <w:color w:val="0000FF"/>
        </w:rPr>
        <w:t>203</w:t>
      </w:r>
      <w:r>
        <w:rPr>
          <w:rFonts w:ascii="Arial" w:cs="Arial" w:eastAsia="Arial" w:hAnsi="Arial"/>
          <w:sz w:val="18"/>
          <w:szCs w:val="18"/>
          <w:color w:val="FF0000"/>
        </w:rPr>
        <w:t xml:space="preserve"> </w:t>
      </w:r>
      <w:r>
        <w:rPr>
          <w:rFonts w:ascii="Arial" w:cs="Arial" w:eastAsia="Arial" w:hAnsi="Arial"/>
          <w:sz w:val="18"/>
          <w:szCs w:val="18"/>
          <w:color w:val="000000"/>
        </w:rPr>
        <w:t>of the Irish Companies Act,</w:t>
      </w:r>
      <w:r>
        <w:rPr>
          <w:rFonts w:ascii="Arial" w:cs="Arial" w:eastAsia="Arial" w:hAnsi="Arial"/>
          <w:sz w:val="18"/>
          <w:szCs w:val="18"/>
          <w:color w:val="FF0000"/>
        </w:rPr>
        <w:t xml:space="preserve"> </w:t>
      </w:r>
      <w:r>
        <w:rPr>
          <w:rFonts w:ascii="Arial" w:cs="Arial" w:eastAsia="Arial" w:hAnsi="Arial"/>
          <w:sz w:val="18"/>
          <w:szCs w:val="18"/>
          <w:color w:val="FF0000"/>
          <w:strike w:val="1"/>
        </w:rPr>
        <w:t>1963</w:t>
      </w:r>
      <w:r>
        <w:rPr>
          <w:rFonts w:ascii="Arial" w:cs="Arial" w:eastAsia="Arial" w:hAnsi="Arial"/>
          <w:sz w:val="18"/>
          <w:szCs w:val="18"/>
          <w:u w:val="single" w:color="auto"/>
          <w:color w:val="0000FF"/>
        </w:rPr>
        <w:t>2014</w:t>
      </w:r>
      <w:r>
        <w:rPr>
          <w:rFonts w:ascii="Arial" w:cs="Arial" w:eastAsia="Arial" w:hAnsi="Arial"/>
          <w:sz w:val="18"/>
          <w:szCs w:val="18"/>
          <w:color w:val="FF0000"/>
        </w:rPr>
        <w:t xml:space="preserve"> </w:t>
      </w:r>
      <w:r>
        <w:rPr>
          <w:rFonts w:ascii="Arial" w:cs="Arial" w:eastAsia="Arial" w:hAnsi="Arial"/>
          <w:sz w:val="18"/>
          <w:szCs w:val="18"/>
          <w:color w:val="000000"/>
        </w:rPr>
        <w:t>has been complied with prior to such subscription.</w:t>
      </w:r>
    </w:p>
    <w:p>
      <w:pPr>
        <w:spacing w:after="0" w:line="177" w:lineRule="exact"/>
        <w:rPr>
          <w:sz w:val="20"/>
          <w:szCs w:val="20"/>
          <w:color w:val="auto"/>
        </w:rPr>
      </w:pPr>
    </w:p>
    <w:p>
      <w:pPr>
        <w:ind w:right="1160" w:firstLine="1297"/>
        <w:spacing w:after="0" w:line="267" w:lineRule="auto"/>
        <w:rPr>
          <w:sz w:val="20"/>
          <w:szCs w:val="20"/>
          <w:color w:val="auto"/>
        </w:rPr>
      </w:pPr>
      <w:r>
        <w:rPr>
          <w:rFonts w:ascii="Arial" w:cs="Arial" w:eastAsia="Arial" w:hAnsi="Arial"/>
          <w:sz w:val="20"/>
          <w:szCs w:val="20"/>
          <w:b w:val="1"/>
          <w:bCs w:val="1"/>
          <w:color w:val="auto"/>
        </w:rPr>
        <w:t xml:space="preserve">Section 5.18 </w:t>
      </w:r>
      <w:r>
        <w:rPr>
          <w:rFonts w:ascii="Arial" w:cs="Arial" w:eastAsia="Arial" w:hAnsi="Arial"/>
          <w:sz w:val="20"/>
          <w:szCs w:val="20"/>
          <w:u w:val="single" w:color="auto"/>
          <w:color w:val="auto"/>
        </w:rPr>
        <w:t>Solvency</w:t>
      </w:r>
      <w:r>
        <w:rPr>
          <w:rFonts w:ascii="Arial" w:cs="Arial" w:eastAsia="Arial" w:hAnsi="Arial"/>
          <w:sz w:val="20"/>
          <w:szCs w:val="20"/>
          <w:color w:val="auto"/>
        </w:rPr>
        <w:t>. On the Closing Date, Parent and its Subsidiaries (on a consolidated basis) are and, after</w:t>
      </w:r>
      <w:r>
        <w:rPr>
          <w:rFonts w:ascii="Arial" w:cs="Arial" w:eastAsia="Arial" w:hAnsi="Arial"/>
          <w:sz w:val="20"/>
          <w:szCs w:val="20"/>
          <w:b w:val="1"/>
          <w:bCs w:val="1"/>
          <w:color w:val="auto"/>
        </w:rPr>
        <w:t xml:space="preserve"> </w:t>
      </w:r>
      <w:r>
        <w:rPr>
          <w:rFonts w:ascii="Arial" w:cs="Arial" w:eastAsia="Arial" w:hAnsi="Arial"/>
          <w:sz w:val="20"/>
          <w:szCs w:val="20"/>
          <w:color w:val="auto"/>
        </w:rPr>
        <w:t>consummation of the Transactions and the financings related thereto, will be Solvent.</w:t>
      </w:r>
    </w:p>
    <w:p>
      <w:pPr>
        <w:spacing w:after="0" w:line="177"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5.19</w:t>
      </w:r>
      <w:r>
        <w:rPr>
          <w:sz w:val="20"/>
          <w:szCs w:val="20"/>
          <w:color w:val="auto"/>
        </w:rPr>
        <w:tab/>
      </w:r>
      <w:r>
        <w:rPr>
          <w:rFonts w:ascii="Arial" w:cs="Arial" w:eastAsia="Arial" w:hAnsi="Arial"/>
          <w:sz w:val="18"/>
          <w:szCs w:val="18"/>
          <w:u w:val="single" w:color="auto"/>
          <w:color w:val="auto"/>
        </w:rPr>
        <w:t>Collateral Documents</w:t>
      </w:r>
      <w:r>
        <w:rPr>
          <w:rFonts w:ascii="Arial" w:cs="Arial" w:eastAsia="Arial" w:hAnsi="Arial"/>
          <w:sz w:val="18"/>
          <w:szCs w:val="18"/>
          <w:color w:val="auto"/>
        </w:rPr>
        <w:t>.</w:t>
      </w:r>
    </w:p>
    <w:p>
      <w:pPr>
        <w:spacing w:after="0" w:line="127" w:lineRule="exact"/>
        <w:rPr>
          <w:sz w:val="20"/>
          <w:szCs w:val="20"/>
          <w:color w:val="auto"/>
        </w:rPr>
      </w:pPr>
    </w:p>
    <w:p>
      <w:pPr>
        <w:ind w:right="60" w:firstLine="1305"/>
        <w:spacing w:after="0" w:line="285" w:lineRule="auto"/>
        <w:tabs>
          <w:tab w:leader="none" w:pos="2164" w:val="left"/>
        </w:tabs>
        <w:numPr>
          <w:ilvl w:val="0"/>
          <w:numId w:val="278"/>
        </w:numPr>
        <w:rPr>
          <w:rFonts w:ascii="Arial" w:cs="Arial" w:eastAsia="Arial" w:hAnsi="Arial"/>
          <w:sz w:val="19"/>
          <w:szCs w:val="19"/>
          <w:color w:val="auto"/>
        </w:rPr>
      </w:pPr>
      <w:r>
        <w:rPr>
          <w:rFonts w:ascii="Arial" w:cs="Arial" w:eastAsia="Arial" w:hAnsi="Arial"/>
          <w:sz w:val="19"/>
          <w:szCs w:val="19"/>
          <w:i w:val="1"/>
          <w:iCs w:val="1"/>
          <w:u w:val="single" w:color="auto"/>
          <w:color w:val="auto"/>
        </w:rPr>
        <w:t>Article 9 Collateral</w:t>
      </w:r>
      <w:r>
        <w:rPr>
          <w:rFonts w:ascii="Arial" w:cs="Arial" w:eastAsia="Arial" w:hAnsi="Arial"/>
          <w:sz w:val="19"/>
          <w:szCs w:val="19"/>
          <w:color w:val="auto"/>
        </w:rPr>
        <w:t>. The U.S. Security Agreement, when executed and delivered, is effective to create in favor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Collateral Agent, for the benefit of the Finance Parties, a legal, valid and enforceable security interest in the Collateral described therein and, when financing statements in appropriate form are filed in the offices specified on </w:t>
      </w:r>
      <w:r>
        <w:rPr>
          <w:rFonts w:ascii="Arial" w:cs="Arial" w:eastAsia="Arial" w:hAnsi="Arial"/>
          <w:sz w:val="19"/>
          <w:szCs w:val="19"/>
          <w:u w:val="single" w:color="auto"/>
          <w:color w:val="auto"/>
        </w:rPr>
        <w:t>Schedule 6</w:t>
      </w:r>
      <w:r>
        <w:rPr>
          <w:rFonts w:ascii="Arial" w:cs="Arial" w:eastAsia="Arial" w:hAnsi="Arial"/>
          <w:sz w:val="19"/>
          <w:szCs w:val="19"/>
          <w:color w:val="auto"/>
        </w:rPr>
        <w:t xml:space="preserve"> to the Perfection Certificate and the Pledged Collateral is delivered to the Collateral Agent, the U.S. Security Agreement shall constitute a fully perfected Lien on all right, title and interest of the grantors thereunder in such of the Collateral in which a security interest can be perfected under Article 9 of the UCC by filing or by possession thereof, in each case prior and superior in right to any other Person, other than with respect to Permitted Liens, and except for (i) certain items of Collateral with respect to which such Lien may be perfected only by possession thereof where the failure of the Collateral Agent to have possession thereof is expressly permitted pursuant to the U.S. Security Agreement and (ii) certain items of Collateral located in or otherwise subject to foreign law where the grant of a Lien or priority and perfection thereof in accordance with the UCC may not be recognized or enforceable.</w:t>
      </w:r>
    </w:p>
    <w:p>
      <w:pPr>
        <w:spacing w:after="0" w:line="79" w:lineRule="exact"/>
        <w:rPr>
          <w:rFonts w:ascii="Arial" w:cs="Arial" w:eastAsia="Arial" w:hAnsi="Arial"/>
          <w:sz w:val="19"/>
          <w:szCs w:val="19"/>
          <w:color w:val="auto"/>
        </w:rPr>
      </w:pPr>
    </w:p>
    <w:p>
      <w:pPr>
        <w:ind w:right="100" w:firstLine="1305"/>
        <w:spacing w:after="0" w:line="347" w:lineRule="auto"/>
        <w:tabs>
          <w:tab w:leader="none" w:pos="2175" w:val="left"/>
        </w:tabs>
        <w:numPr>
          <w:ilvl w:val="0"/>
          <w:numId w:val="278"/>
        </w:numPr>
        <w:rPr>
          <w:rFonts w:ascii="Arial" w:cs="Arial" w:eastAsia="Arial" w:hAnsi="Arial"/>
          <w:sz w:val="16"/>
          <w:szCs w:val="16"/>
          <w:color w:val="auto"/>
        </w:rPr>
      </w:pPr>
      <w:r>
        <w:rPr>
          <w:rFonts w:ascii="Arial" w:cs="Arial" w:eastAsia="Arial" w:hAnsi="Arial"/>
          <w:sz w:val="16"/>
          <w:szCs w:val="16"/>
          <w:i w:val="1"/>
          <w:iCs w:val="1"/>
          <w:u w:val="single" w:color="auto"/>
          <w:color w:val="auto"/>
        </w:rPr>
        <w:t>Intellectual Property</w:t>
      </w:r>
      <w:r>
        <w:rPr>
          <w:rFonts w:ascii="Arial" w:cs="Arial" w:eastAsia="Arial" w:hAnsi="Arial"/>
          <w:sz w:val="16"/>
          <w:szCs w:val="16"/>
          <w:color w:val="auto"/>
        </w:rPr>
        <w:t>. When financing statements in the appropriate form are filed in the offices specified on</w:t>
      </w:r>
      <w:r>
        <w:rPr>
          <w:rFonts w:ascii="Arial" w:cs="Arial" w:eastAsia="Arial" w:hAnsi="Arial"/>
          <w:sz w:val="16"/>
          <w:szCs w:val="16"/>
          <w:i w:val="1"/>
          <w:iCs w:val="1"/>
          <w:color w:val="auto"/>
        </w:rPr>
        <w:t xml:space="preserve"> </w:t>
      </w:r>
      <w:r>
        <w:rPr>
          <w:rFonts w:ascii="Arial" w:cs="Arial" w:eastAsia="Arial" w:hAnsi="Arial"/>
          <w:sz w:val="16"/>
          <w:szCs w:val="16"/>
          <w:color w:val="auto"/>
        </w:rPr>
        <w:t>Schedule 6 to the Perfection Certificate, the Patent Security Agreement, substantially in the form of Exhibit II to the U.S. Security Agreement, and the Trademark Security Agreement, substantially in the form of Exhibit III to the U.S. Security Agreement, is filed in the United States Patent and Trademark Office and the Copyright Security Agreement, substantially in the form of Exhibit IV to the U.S. Security Agreement, is filed in the United States Copyright Office, then, to the extent that Liens may be perfected by such filings, the U.S. Security Agreement shall constitute a fully perfected Lien on all right, title and interest of the grantors thereunder in the United States patents, trademarks, copyrights, licenses and other intellectual property rights covered in such agreements, in each case prior and superior in right to any other Person (it being understood that subsequent recordings in the United States Patent and Trademark Office and the United States Copyright Office may be</w:t>
      </w:r>
    </w:p>
    <w:p>
      <w:pPr>
        <w:spacing w:after="0" w:line="200" w:lineRule="exact"/>
        <w:rPr>
          <w:rFonts w:ascii="Arial" w:cs="Arial" w:eastAsia="Arial" w:hAnsi="Arial"/>
          <w:sz w:val="16"/>
          <w:szCs w:val="16"/>
          <w:color w:val="auto"/>
        </w:rPr>
      </w:pPr>
    </w:p>
    <w:p>
      <w:pPr>
        <w:spacing w:after="0" w:line="278" w:lineRule="exact"/>
        <w:rPr>
          <w:rFonts w:ascii="Arial" w:cs="Arial" w:eastAsia="Arial" w:hAnsi="Arial"/>
          <w:sz w:val="16"/>
          <w:szCs w:val="16"/>
          <w:color w:val="auto"/>
        </w:rPr>
      </w:pPr>
    </w:p>
    <w:p>
      <w:pPr>
        <w:ind w:left="5560" w:hanging="110"/>
        <w:spacing w:after="0"/>
        <w:tabs>
          <w:tab w:leader="none" w:pos="5560" w:val="left"/>
        </w:tabs>
        <w:numPr>
          <w:ilvl w:val="1"/>
          <w:numId w:val="278"/>
        </w:numPr>
        <w:rPr>
          <w:rFonts w:ascii="Arial" w:cs="Arial" w:eastAsia="Arial" w:hAnsi="Arial"/>
          <w:sz w:val="20"/>
          <w:szCs w:val="20"/>
          <w:color w:val="auto"/>
        </w:rPr>
      </w:pPr>
      <w:r>
        <w:rPr>
          <w:rFonts w:ascii="Arial" w:cs="Arial" w:eastAsia="Arial" w:hAnsi="Arial"/>
          <w:sz w:val="20"/>
          <w:szCs w:val="20"/>
          <w:color w:val="auto"/>
        </w:rPr>
        <w:t>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319" w:name="page320"/>
    <w:bookmarkEnd w:id="319"/>
    <w:p>
      <w:pPr>
        <w:ind w:right="20"/>
        <w:spacing w:after="0" w:line="260" w:lineRule="auto"/>
        <w:rPr>
          <w:sz w:val="20"/>
          <w:szCs w:val="20"/>
          <w:color w:val="auto"/>
        </w:rPr>
      </w:pPr>
      <w:r>
        <w:rPr>
          <w:rFonts w:ascii="Arial" w:cs="Arial" w:eastAsia="Arial" w:hAnsi="Arial"/>
          <w:sz w:val="20"/>
          <w:szCs w:val="20"/>
          <w:color w:val="auto"/>
        </w:rPr>
        <w:t>necessary to perfect a lien on U.S. issued patents, patent applications, registered trademarks, trademark applications and copyrights acquired by the Loan Parties after the Closing Date).</w:t>
      </w:r>
    </w:p>
    <w:p>
      <w:pPr>
        <w:spacing w:after="0" w:line="82" w:lineRule="exact"/>
        <w:rPr>
          <w:sz w:val="20"/>
          <w:szCs w:val="20"/>
          <w:color w:val="auto"/>
        </w:rPr>
      </w:pPr>
    </w:p>
    <w:p>
      <w:pPr>
        <w:ind w:firstLine="1305"/>
        <w:spacing w:after="0" w:line="304" w:lineRule="auto"/>
        <w:tabs>
          <w:tab w:leader="none" w:pos="2164" w:val="left"/>
        </w:tabs>
        <w:numPr>
          <w:ilvl w:val="0"/>
          <w:numId w:val="279"/>
        </w:numPr>
        <w:rPr>
          <w:rFonts w:ascii="Arial" w:cs="Arial" w:eastAsia="Arial" w:hAnsi="Arial"/>
          <w:sz w:val="18"/>
          <w:szCs w:val="18"/>
          <w:color w:val="auto"/>
        </w:rPr>
      </w:pPr>
      <w:r>
        <w:rPr>
          <w:rFonts w:ascii="Arial" w:cs="Arial" w:eastAsia="Arial" w:hAnsi="Arial"/>
          <w:sz w:val="18"/>
          <w:szCs w:val="18"/>
          <w:i w:val="1"/>
          <w:iCs w:val="1"/>
          <w:u w:val="single" w:color="auto"/>
          <w:color w:val="auto"/>
        </w:rPr>
        <w:t>Status of Liens</w:t>
      </w:r>
      <w:r>
        <w:rPr>
          <w:rFonts w:ascii="Arial" w:cs="Arial" w:eastAsia="Arial" w:hAnsi="Arial"/>
          <w:sz w:val="18"/>
          <w:szCs w:val="18"/>
          <w:color w:val="auto"/>
        </w:rPr>
        <w:t>. Subject to the filing by the Collateral Agent of continuation statements to the extent required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UCC, maintaining of possession of Pledged Collateral to the extent required by the Collateral Documents and to the qualifications and limitations set forth in clauses (a) and (b) above and such other qualifications and limitations as are expressly set forth in the Loan Documents (including without limitation pursuant to the Agreed Security Principles), the Collateral Documents are sufficient to create valid and continuing liens of record and first priority perfected security interests in all the Collateral referred to therein, except (i) as priority may be affected by Permitted Liens or as a result of the Collateral Agent’s failure to maintain possession of any stock certificates, promissory notes or other instruments delivered to it under the Collateral Documents and (ii) for certain items of Collateral located in or otherwise subject to foreign law where the grant of a Lien or priority and perfection thereof in accordance with the UCC may not be recognized or enforceable.</w:t>
      </w:r>
    </w:p>
    <w:p>
      <w:pPr>
        <w:spacing w:after="0" w:line="63" w:lineRule="exact"/>
        <w:rPr>
          <w:rFonts w:ascii="Arial" w:cs="Arial" w:eastAsia="Arial" w:hAnsi="Arial"/>
          <w:sz w:val="18"/>
          <w:szCs w:val="18"/>
          <w:color w:val="auto"/>
        </w:rPr>
      </w:pPr>
    </w:p>
    <w:p>
      <w:pPr>
        <w:ind w:right="20" w:firstLine="1305"/>
        <w:spacing w:after="0" w:line="307" w:lineRule="auto"/>
        <w:tabs>
          <w:tab w:leader="none" w:pos="2175" w:val="left"/>
        </w:tabs>
        <w:numPr>
          <w:ilvl w:val="0"/>
          <w:numId w:val="279"/>
        </w:numPr>
        <w:rPr>
          <w:rFonts w:ascii="Arial" w:cs="Arial" w:eastAsia="Arial" w:hAnsi="Arial"/>
          <w:sz w:val="18"/>
          <w:szCs w:val="18"/>
          <w:color w:val="auto"/>
        </w:rPr>
      </w:pPr>
      <w:r>
        <w:rPr>
          <w:rFonts w:ascii="Arial" w:cs="Arial" w:eastAsia="Arial" w:hAnsi="Arial"/>
          <w:sz w:val="18"/>
          <w:szCs w:val="18"/>
          <w:i w:val="1"/>
          <w:iCs w:val="1"/>
          <w:u w:val="single" w:color="auto"/>
          <w:color w:val="auto"/>
        </w:rPr>
        <w:t>Mortgages</w:t>
      </w:r>
      <w:r>
        <w:rPr>
          <w:rFonts w:ascii="Arial" w:cs="Arial" w:eastAsia="Arial" w:hAnsi="Arial"/>
          <w:sz w:val="18"/>
          <w:szCs w:val="18"/>
          <w:color w:val="auto"/>
        </w:rPr>
        <w:t>. Each Mortgage, when executed and delivered, is effective to create, in favor of the Collateral Agent,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its benefit and the benefit of the Finance Parties, legal, valid and enforceable first priority Liens on all of the Loan Parties’ right, title and interest in and to the Mortgaged Properties thereunder and the proceeds thereof, subject only to Permitted Liens, and when the Mortgages are filed in the offices specified in the local counsel opinion delivered with respect thereto in accordance with the provisions of </w:t>
      </w:r>
      <w:r>
        <w:rPr>
          <w:rFonts w:ascii="Arial" w:cs="Arial" w:eastAsia="Arial" w:hAnsi="Arial"/>
          <w:sz w:val="18"/>
          <w:szCs w:val="18"/>
          <w:u w:val="single" w:color="auto"/>
          <w:color w:val="auto"/>
        </w:rPr>
        <w:t>Section 6.09</w:t>
      </w:r>
      <w:r>
        <w:rPr>
          <w:rFonts w:ascii="Arial" w:cs="Arial" w:eastAsia="Arial" w:hAnsi="Arial"/>
          <w:sz w:val="18"/>
          <w:szCs w:val="18"/>
          <w:color w:val="auto"/>
        </w:rPr>
        <w:t>, the Mortgages shall constitute fully perfected Liens on all right, title and interest of the Loan Parties in the Mortgaged Properties and the proceeds thereof, in each case prior and superior in right to any other Person, other than Permitted Liens.</w:t>
      </w:r>
    </w:p>
    <w:p>
      <w:pPr>
        <w:spacing w:after="0" w:line="59" w:lineRule="exact"/>
        <w:rPr>
          <w:rFonts w:ascii="Arial" w:cs="Arial" w:eastAsia="Arial" w:hAnsi="Arial"/>
          <w:sz w:val="18"/>
          <w:szCs w:val="18"/>
          <w:color w:val="auto"/>
        </w:rPr>
      </w:pPr>
    </w:p>
    <w:p>
      <w:pPr>
        <w:ind w:left="2180" w:hanging="875"/>
        <w:spacing w:after="0"/>
        <w:tabs>
          <w:tab w:leader="none" w:pos="2180" w:val="left"/>
        </w:tabs>
        <w:numPr>
          <w:ilvl w:val="0"/>
          <w:numId w:val="279"/>
        </w:numPr>
        <w:rPr>
          <w:rFonts w:ascii="Arial" w:cs="Arial" w:eastAsia="Arial" w:hAnsi="Arial"/>
          <w:sz w:val="20"/>
          <w:szCs w:val="20"/>
          <w:color w:val="auto"/>
        </w:rPr>
      </w:pPr>
      <w:r>
        <w:rPr>
          <w:rFonts w:ascii="Arial" w:cs="Arial" w:eastAsia="Arial" w:hAnsi="Arial"/>
          <w:sz w:val="20"/>
          <w:szCs w:val="20"/>
          <w:i w:val="1"/>
          <w:iCs w:val="1"/>
          <w:u w:val="single" w:color="auto"/>
          <w:color w:val="auto"/>
        </w:rPr>
        <w:t>Foreign Collateral Documents</w:t>
      </w:r>
      <w:r>
        <w:rPr>
          <w:rFonts w:ascii="Arial" w:cs="Arial" w:eastAsia="Arial" w:hAnsi="Arial"/>
          <w:sz w:val="20"/>
          <w:szCs w:val="20"/>
          <w:color w:val="auto"/>
        </w:rPr>
        <w:t>.</w:t>
      </w:r>
    </w:p>
    <w:p>
      <w:pPr>
        <w:spacing w:after="0" w:line="134" w:lineRule="exact"/>
        <w:rPr>
          <w:rFonts w:ascii="Arial" w:cs="Arial" w:eastAsia="Arial" w:hAnsi="Arial"/>
          <w:sz w:val="20"/>
          <w:szCs w:val="20"/>
          <w:color w:val="auto"/>
        </w:rPr>
      </w:pPr>
    </w:p>
    <w:p>
      <w:pPr>
        <w:ind w:left="660" w:right="180" w:firstLine="807"/>
        <w:spacing w:after="0" w:line="349" w:lineRule="auto"/>
        <w:tabs>
          <w:tab w:leader="none" w:pos="2143" w:val="left"/>
        </w:tabs>
        <w:numPr>
          <w:ilvl w:val="1"/>
          <w:numId w:val="279"/>
        </w:numPr>
        <w:rPr>
          <w:rFonts w:ascii="Arial" w:cs="Arial" w:eastAsia="Arial" w:hAnsi="Arial"/>
          <w:sz w:val="16"/>
          <w:szCs w:val="16"/>
          <w:color w:val="auto"/>
        </w:rPr>
      </w:pPr>
      <w:r>
        <w:rPr>
          <w:rFonts w:ascii="Arial" w:cs="Arial" w:eastAsia="Arial" w:hAnsi="Arial"/>
          <w:sz w:val="16"/>
          <w:szCs w:val="16"/>
          <w:color w:val="auto"/>
        </w:rPr>
        <w:t>The Irish Debenture, when executed and delivered, is effective to create in favor of the Collateral Agent, for the benefit of the Finance Parties, a legal, valid and enforceable (A) first priority security interest in the case of assets of each Loan Party incorporated in Ireland, located in Ireland which are charged by fixed charge (if any), including the shares held by Parent in the Lead Borrower; and (B) first priority security interest in the case of assets of each Loan Party incorporated in Ireland located in Ireland which are charged by floating charge (if any) subject only to any claims which may rank ahead pursuant to Section 554 of the Companies Act 2014, Section 621 of the Companies Act 2014 and, subject to the filing of details of the Irish Debenture in the Irish Companies Office in accordance with Section 409 of the Companies Act 2014, a fully perfected security interest in those assets.</w:t>
      </w:r>
    </w:p>
    <w:p>
      <w:pPr>
        <w:spacing w:after="0" w:line="31" w:lineRule="exact"/>
        <w:rPr>
          <w:rFonts w:ascii="Arial" w:cs="Arial" w:eastAsia="Arial" w:hAnsi="Arial"/>
          <w:sz w:val="16"/>
          <w:szCs w:val="16"/>
          <w:color w:val="auto"/>
        </w:rPr>
      </w:pPr>
    </w:p>
    <w:p>
      <w:pPr>
        <w:ind w:left="660" w:right="20" w:firstLine="807"/>
        <w:spacing w:after="0" w:line="285" w:lineRule="auto"/>
        <w:tabs>
          <w:tab w:leader="none" w:pos="2198" w:val="left"/>
        </w:tabs>
        <w:numPr>
          <w:ilvl w:val="1"/>
          <w:numId w:val="279"/>
        </w:numPr>
        <w:rPr>
          <w:rFonts w:ascii="Arial" w:cs="Arial" w:eastAsia="Arial" w:hAnsi="Arial"/>
          <w:sz w:val="19"/>
          <w:szCs w:val="19"/>
          <w:color w:val="auto"/>
        </w:rPr>
      </w:pPr>
      <w:r>
        <w:rPr>
          <w:rFonts w:ascii="Arial" w:cs="Arial" w:eastAsia="Arial" w:hAnsi="Arial"/>
          <w:sz w:val="19"/>
          <w:szCs w:val="19"/>
          <w:color w:val="auto"/>
        </w:rPr>
        <w:t>The Irish Security Documents (other than the Irish Debenture), when executed and delivered, are each effective to create in favour of the Collateral Agent, for the benefit of the Finance Parties, a legal, valid and enforceable (A) first priority security interest in the case of the shares held by Jazz Financing S.à r.l. in Jazz Financing II which are charged by fixed charge; (B) first priority security interest in the case of the shares held by Jazz Financing S.à r.l. in Jazz Financing II and which are charged by floating charge subject only to any claims which may rank ahead pursuant to Section 554 of the Companies Act 2014, Section 621 of the Companies Act 2014 a fully perfected security interest in those assets, (C) first priority security interest in the case of the shares held by Jazz Investments II Limited in each of Jazz Financing I Limited and Jazz Capital Limited which are charged by fixed charge; (D) first priority security interest in the case of the shares held by Parent in the Lead Borrower and which are charged by floating charge subject only to any claims which may rank ahead pursuant to Section 554 of the Companies Act 2014, Section 621 of the Companies Act 2014 a fully perfected security interest in those assets; (E) first priority security interest in the case of the shares held by Parent in Jazz Ireland which</w:t>
      </w:r>
    </w:p>
    <w:p>
      <w:pPr>
        <w:spacing w:after="0" w:line="200" w:lineRule="exact"/>
        <w:rPr>
          <w:rFonts w:ascii="Arial" w:cs="Arial" w:eastAsia="Arial" w:hAnsi="Arial"/>
          <w:sz w:val="19"/>
          <w:szCs w:val="19"/>
          <w:color w:val="auto"/>
        </w:rPr>
      </w:pPr>
    </w:p>
    <w:p>
      <w:pPr>
        <w:spacing w:after="0" w:line="322" w:lineRule="exact"/>
        <w:rPr>
          <w:rFonts w:ascii="Arial" w:cs="Arial" w:eastAsia="Arial" w:hAnsi="Arial"/>
          <w:sz w:val="19"/>
          <w:szCs w:val="19"/>
          <w:color w:val="auto"/>
        </w:rPr>
      </w:pPr>
    </w:p>
    <w:p>
      <w:pPr>
        <w:ind w:left="5560" w:hanging="110"/>
        <w:spacing w:after="0"/>
        <w:tabs>
          <w:tab w:leader="none" w:pos="5560" w:val="left"/>
        </w:tabs>
        <w:numPr>
          <w:ilvl w:val="2"/>
          <w:numId w:val="279"/>
        </w:numPr>
        <w:rPr>
          <w:rFonts w:ascii="Arial" w:cs="Arial" w:eastAsia="Arial" w:hAnsi="Arial"/>
          <w:sz w:val="20"/>
          <w:szCs w:val="20"/>
          <w:color w:val="auto"/>
        </w:rPr>
      </w:pPr>
      <w:r>
        <w:rPr>
          <w:rFonts w:ascii="Arial" w:cs="Arial" w:eastAsia="Arial" w:hAnsi="Arial"/>
          <w:sz w:val="20"/>
          <w:szCs w:val="20"/>
          <w:color w:val="auto"/>
        </w:rPr>
        <w:t>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6" w:right="279" w:bottom="1440" w:gutter="0" w:footer="0" w:header="0"/>
        </w:sectPr>
      </w:pPr>
    </w:p>
    <w:bookmarkStart w:id="320" w:name="page321"/>
    <w:bookmarkEnd w:id="320"/>
    <w:p>
      <w:pPr>
        <w:ind w:left="660" w:right="20"/>
        <w:spacing w:after="0" w:line="250" w:lineRule="auto"/>
        <w:rPr>
          <w:sz w:val="20"/>
          <w:szCs w:val="20"/>
          <w:color w:val="auto"/>
        </w:rPr>
      </w:pPr>
      <w:r>
        <w:rPr>
          <w:rFonts w:ascii="Arial" w:cs="Arial" w:eastAsia="Arial" w:hAnsi="Arial"/>
          <w:sz w:val="20"/>
          <w:szCs w:val="20"/>
          <w:color w:val="auto"/>
        </w:rPr>
        <w:t>are charged by fixed charge; and (D) first priority security interest in the case of the shares held by Parent in Jazz Ireland and which are charged by floating charge subject only to any claims which may rank ahead pursuant to Section 554 of the Companies Act 2014, Section 621 of the Companies Act 2014 a fully perfected security interest in those assets.</w:t>
      </w:r>
    </w:p>
    <w:p>
      <w:pPr>
        <w:spacing w:after="0" w:line="159" w:lineRule="exact"/>
        <w:rPr>
          <w:sz w:val="20"/>
          <w:szCs w:val="20"/>
          <w:color w:val="auto"/>
        </w:rPr>
      </w:pPr>
    </w:p>
    <w:p>
      <w:pPr>
        <w:ind w:left="660" w:right="20" w:firstLine="807"/>
        <w:spacing w:after="0" w:line="310" w:lineRule="auto"/>
        <w:tabs>
          <w:tab w:leader="none" w:pos="225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Bermuda Share Charges when executed by Parent and Jazz Ireland, as applicable, are effective to create in favor of the Collateral Agent, for the benefit of the Finance Parties, a valid, legal and enforceable security interest in the shares of the relevant Foreign Subsidiaries covered thereby and upon filing of the Bermuda Share Charge in the office of the Registrar of Companies in Bermuda will ensure that the registered security interests will have priority in Bermuda over any unregistered charges and over any subsequently registered charges, in respect of the assets which are the subject of the Bermuda Share Charges.</w:t>
      </w:r>
    </w:p>
    <w:p>
      <w:pPr>
        <w:spacing w:after="0" w:line="121" w:lineRule="exact"/>
        <w:rPr>
          <w:rFonts w:ascii="Arial" w:cs="Arial" w:eastAsia="Arial" w:hAnsi="Arial"/>
          <w:sz w:val="18"/>
          <w:szCs w:val="18"/>
          <w:color w:val="auto"/>
        </w:rPr>
      </w:pPr>
    </w:p>
    <w:p>
      <w:pPr>
        <w:ind w:left="660" w:right="120" w:firstLine="807"/>
        <w:spacing w:after="0" w:line="274" w:lineRule="auto"/>
        <w:tabs>
          <w:tab w:leader="none" w:pos="2242" w:val="left"/>
        </w:tabs>
        <w:numPr>
          <w:ilvl w:val="0"/>
          <w:numId w:val="280"/>
        </w:numPr>
        <w:rPr>
          <w:rFonts w:ascii="Arial" w:cs="Arial" w:eastAsia="Arial" w:hAnsi="Arial"/>
          <w:sz w:val="20"/>
          <w:szCs w:val="20"/>
          <w:color w:val="auto"/>
        </w:rPr>
      </w:pPr>
      <w:r>
        <w:rPr>
          <w:rFonts w:ascii="Arial" w:cs="Arial" w:eastAsia="Arial" w:hAnsi="Arial"/>
          <w:sz w:val="20"/>
          <w:szCs w:val="20"/>
          <w:color w:val="auto"/>
        </w:rPr>
        <w:t>The Gibraltar Share Charge when executed and presented to the Gibraltar Registrar of Companies, for registration against EUSA Pharma International Limited, by Parent and Jazz Pharmaceuticals Holdings Inc. is effective to create in favor of the Collateral Agent, for the benefit of the Finance Parties, a valid, legal and enforceable security interest in the shares of EUSA Pharma International Limited.</w:t>
      </w:r>
    </w:p>
    <w:p>
      <w:pPr>
        <w:spacing w:after="0" w:line="151" w:lineRule="exact"/>
        <w:rPr>
          <w:rFonts w:ascii="Arial" w:cs="Arial" w:eastAsia="Arial" w:hAnsi="Arial"/>
          <w:sz w:val="20"/>
          <w:szCs w:val="20"/>
          <w:color w:val="auto"/>
        </w:rPr>
      </w:pPr>
    </w:p>
    <w:p>
      <w:pPr>
        <w:ind w:left="660" w:firstLine="807"/>
        <w:spacing w:after="0" w:line="310" w:lineRule="auto"/>
        <w:tabs>
          <w:tab w:leader="none" w:pos="218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Luxembourg Share Pledge Agreements are each effective to create in favour of the Collateral Agent, for the benefit of the Finance Parties, a legally valid and enforceable first ranking security interest (gage de premier rang) when executed and delivered by the parties thereto, including in the case of (i) the Jazz Financing Lux Share Pledge Agreement, Jazz Financing Lux S.à r.l. and (ii) the EUSA Pharma (Luxembourg) Share Pledge Agreement, EUSA Pharma (Luxembourg) S.à r.l., and when duly registered in the register of shareholders of Jazz Financing Lux S.à r.l. and EUSA Pharma (Luxembourg) S.à r.l., as the case may be.</w:t>
      </w:r>
    </w:p>
    <w:p>
      <w:pPr>
        <w:spacing w:after="0" w:line="121" w:lineRule="exact"/>
        <w:rPr>
          <w:rFonts w:ascii="Arial" w:cs="Arial" w:eastAsia="Arial" w:hAnsi="Arial"/>
          <w:sz w:val="18"/>
          <w:szCs w:val="18"/>
          <w:color w:val="auto"/>
        </w:rPr>
      </w:pPr>
    </w:p>
    <w:p>
      <w:pPr>
        <w:ind w:left="660" w:right="40" w:firstLine="807"/>
        <w:spacing w:after="0" w:line="310" w:lineRule="auto"/>
        <w:tabs>
          <w:tab w:leader="none" w:pos="224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Luxembourg Account Pledge Agreements are each effective to create in favour of the Collateral Agent, for the benefit of the Finance Parties, a legally valid and enforceable first ranking security interest (gage de premier rang) when executed and delivered by the parties thereto and, in order to be binding against the Account Bank (as defined in the relevant Luxembourg Account Pledge Agreement), when the relevant Luxembourg Account Pledge Agreement is notified to, and accepted by, the Account Bank in accordance with article 5.(4) of the Luxembourg act dated August 5, 2005 on financial collateral arrangements, as amended.</w:t>
      </w:r>
    </w:p>
    <w:p>
      <w:pPr>
        <w:spacing w:after="0" w:line="121" w:lineRule="exact"/>
        <w:rPr>
          <w:rFonts w:ascii="Arial" w:cs="Arial" w:eastAsia="Arial" w:hAnsi="Arial"/>
          <w:sz w:val="18"/>
          <w:szCs w:val="18"/>
          <w:color w:val="auto"/>
        </w:rPr>
      </w:pPr>
    </w:p>
    <w:p>
      <w:pPr>
        <w:ind w:left="660" w:right="100" w:firstLine="807"/>
        <w:spacing w:after="0" w:line="278" w:lineRule="auto"/>
        <w:tabs>
          <w:tab w:leader="none" w:pos="2297" w:val="left"/>
        </w:tabs>
        <w:numPr>
          <w:ilvl w:val="0"/>
          <w:numId w:val="280"/>
        </w:numPr>
        <w:rPr>
          <w:rFonts w:ascii="Arial" w:cs="Arial" w:eastAsia="Arial" w:hAnsi="Arial"/>
          <w:sz w:val="20"/>
          <w:szCs w:val="20"/>
          <w:color w:val="auto"/>
        </w:rPr>
      </w:pPr>
      <w:r>
        <w:rPr>
          <w:rFonts w:ascii="Arial" w:cs="Arial" w:eastAsia="Arial" w:hAnsi="Arial"/>
          <w:sz w:val="20"/>
          <w:szCs w:val="20"/>
          <w:color w:val="auto"/>
        </w:rPr>
        <w:t>The French Share Charge when executed by EUSA Pharma (Luxembourg) S.à r.l. is effective to create in favor of the Collateral Agent, for the benefit of the Finance Parties, a valid, legal and enforceable security interest in the shares of EUSA Pharma Holdings SAS covered thereby.</w:t>
      </w:r>
    </w:p>
    <w:p>
      <w:pPr>
        <w:spacing w:after="0" w:line="127" w:lineRule="exact"/>
        <w:rPr>
          <w:sz w:val="20"/>
          <w:szCs w:val="20"/>
          <w:color w:val="auto"/>
        </w:rPr>
      </w:pPr>
    </w:p>
    <w:p>
      <w:pPr>
        <w:ind w:right="80" w:firstLine="1297"/>
        <w:spacing w:after="0" w:line="267" w:lineRule="auto"/>
        <w:rPr>
          <w:sz w:val="20"/>
          <w:szCs w:val="20"/>
          <w:color w:val="auto"/>
        </w:rPr>
      </w:pPr>
      <w:r>
        <w:rPr>
          <w:rFonts w:ascii="Arial" w:cs="Arial" w:eastAsia="Arial" w:hAnsi="Arial"/>
          <w:sz w:val="20"/>
          <w:szCs w:val="20"/>
          <w:b w:val="1"/>
          <w:bCs w:val="1"/>
          <w:color w:val="auto"/>
        </w:rPr>
        <w:t xml:space="preserve">Section 5.20 </w:t>
      </w:r>
      <w:r>
        <w:rPr>
          <w:rFonts w:ascii="Arial" w:cs="Arial" w:eastAsia="Arial" w:hAnsi="Arial"/>
          <w:sz w:val="20"/>
          <w:szCs w:val="20"/>
          <w:u w:val="single" w:color="auto"/>
          <w:color w:val="auto"/>
        </w:rPr>
        <w:t>Senior Indebtedness</w:t>
      </w:r>
      <w:r>
        <w:rPr>
          <w:rFonts w:ascii="Arial" w:cs="Arial" w:eastAsia="Arial" w:hAnsi="Arial"/>
          <w:sz w:val="20"/>
          <w:szCs w:val="20"/>
          <w:color w:val="auto"/>
        </w:rPr>
        <w:t>. The Senior Credit Obligations constitute “Senior Indebtedness” (or any comparable term)</w:t>
      </w:r>
      <w:r>
        <w:rPr>
          <w:rFonts w:ascii="Arial" w:cs="Arial" w:eastAsia="Arial" w:hAnsi="Arial"/>
          <w:sz w:val="20"/>
          <w:szCs w:val="20"/>
          <w:b w:val="1"/>
          <w:bCs w:val="1"/>
          <w:color w:val="auto"/>
        </w:rPr>
        <w:t xml:space="preserve"> </w:t>
      </w:r>
      <w:r>
        <w:rPr>
          <w:rFonts w:ascii="Arial" w:cs="Arial" w:eastAsia="Arial" w:hAnsi="Arial"/>
          <w:sz w:val="20"/>
          <w:szCs w:val="20"/>
          <w:color w:val="auto"/>
        </w:rPr>
        <w:t>under and as defined in the documentation governing any Subordinated Indebtedness.</w:t>
      </w:r>
    </w:p>
    <w:p>
      <w:pPr>
        <w:spacing w:after="0" w:line="123"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5.21</w:t>
      </w:r>
      <w:r>
        <w:rPr>
          <w:sz w:val="20"/>
          <w:szCs w:val="20"/>
          <w:color w:val="auto"/>
        </w:rPr>
        <w:tab/>
      </w:r>
      <w:r>
        <w:rPr>
          <w:rFonts w:ascii="Arial" w:cs="Arial" w:eastAsia="Arial" w:hAnsi="Arial"/>
          <w:sz w:val="18"/>
          <w:szCs w:val="18"/>
          <w:u w:val="single" w:color="auto"/>
          <w:color w:val="auto"/>
        </w:rPr>
        <w:t>Anti-Money Laundering and Economic Sanctions Laws</w:t>
      </w:r>
      <w:r>
        <w:rPr>
          <w:rFonts w:ascii="Arial" w:cs="Arial" w:eastAsia="Arial" w:hAnsi="Arial"/>
          <w:sz w:val="18"/>
          <w:szCs w:val="18"/>
          <w:color w:val="auto"/>
        </w:rPr>
        <w:t>.</w:t>
      </w:r>
    </w:p>
    <w:p>
      <w:pPr>
        <w:spacing w:after="0" w:line="195" w:lineRule="exact"/>
        <w:rPr>
          <w:sz w:val="20"/>
          <w:szCs w:val="20"/>
          <w:color w:val="auto"/>
        </w:rPr>
      </w:pPr>
    </w:p>
    <w:p>
      <w:pPr>
        <w:ind w:right="100" w:firstLine="1305"/>
        <w:spacing w:after="0" w:line="322" w:lineRule="auto"/>
        <w:tabs>
          <w:tab w:leader="none" w:pos="216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Except as could not reasonably be expected to have a Material Adverse Effect, no Loan Party nor any of its Subsidiaries and, to the knowledge of Parent, none of the respective officers, directors or agents of such Loan Party or Subsidiary, with respect to the business of such Loan Party or its Subsidiary, has violated or is in violation of any applicable Anti-Money Laundering Laws.</w:t>
      </w:r>
    </w:p>
    <w:p>
      <w:pPr>
        <w:spacing w:after="0" w:line="200" w:lineRule="exact"/>
        <w:rPr>
          <w:rFonts w:ascii="Arial" w:cs="Arial" w:eastAsia="Arial" w:hAnsi="Arial"/>
          <w:sz w:val="18"/>
          <w:szCs w:val="18"/>
          <w:color w:val="auto"/>
        </w:rPr>
      </w:pPr>
    </w:p>
    <w:p>
      <w:pPr>
        <w:spacing w:after="0" w:line="357" w:lineRule="exact"/>
        <w:rPr>
          <w:rFonts w:ascii="Arial" w:cs="Arial" w:eastAsia="Arial" w:hAnsi="Arial"/>
          <w:sz w:val="18"/>
          <w:szCs w:val="18"/>
          <w:color w:val="auto"/>
        </w:rPr>
      </w:pPr>
    </w:p>
    <w:p>
      <w:pPr>
        <w:ind w:left="5560" w:hanging="110"/>
        <w:spacing w:after="0"/>
        <w:tabs>
          <w:tab w:leader="none" w:pos="5560" w:val="left"/>
        </w:tabs>
        <w:numPr>
          <w:ilvl w:val="1"/>
          <w:numId w:val="281"/>
        </w:numPr>
        <w:rPr>
          <w:rFonts w:ascii="Arial" w:cs="Arial" w:eastAsia="Arial" w:hAnsi="Arial"/>
          <w:sz w:val="20"/>
          <w:szCs w:val="20"/>
          <w:color w:val="auto"/>
        </w:rPr>
      </w:pPr>
      <w:r>
        <w:rPr>
          <w:rFonts w:ascii="Arial" w:cs="Arial" w:eastAsia="Arial" w:hAnsi="Arial"/>
          <w:sz w:val="20"/>
          <w:szCs w:val="20"/>
          <w:color w:val="auto"/>
        </w:rPr>
        <w:t>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321" w:name="page322"/>
    <w:bookmarkEnd w:id="321"/>
    <w:p>
      <w:pPr>
        <w:ind w:right="60" w:firstLine="1305"/>
        <w:spacing w:after="0" w:line="273" w:lineRule="auto"/>
        <w:tabs>
          <w:tab w:leader="none" w:pos="2175" w:val="left"/>
        </w:tabs>
        <w:numPr>
          <w:ilvl w:val="0"/>
          <w:numId w:val="282"/>
        </w:numPr>
        <w:rPr>
          <w:rFonts w:ascii="Arial" w:cs="Arial" w:eastAsia="Arial" w:hAnsi="Arial"/>
          <w:sz w:val="20"/>
          <w:szCs w:val="20"/>
          <w:color w:val="auto"/>
        </w:rPr>
      </w:pPr>
      <w:r>
        <w:rPr>
          <w:rFonts w:ascii="Arial" w:cs="Arial" w:eastAsia="Arial" w:hAnsi="Arial"/>
          <w:sz w:val="20"/>
          <w:szCs w:val="20"/>
          <w:color w:val="auto"/>
        </w:rPr>
        <w:t>No Loan Party nor any of its Subsidiaries nor any director, officer, employee, agent, Affiliate or representative of such Loan Party or Subsidiary is a Person that is, or is owned or controlled by any Person that is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 (an “</w:t>
      </w:r>
      <w:r>
        <w:rPr>
          <w:rFonts w:ascii="Arial" w:cs="Arial" w:eastAsia="Arial" w:hAnsi="Arial"/>
          <w:sz w:val="20"/>
          <w:szCs w:val="20"/>
          <w:u w:val="single" w:color="auto"/>
          <w:color w:val="auto"/>
        </w:rPr>
        <w:t>Embargoed Person</w:t>
      </w:r>
      <w:r>
        <w:rPr>
          <w:rFonts w:ascii="Arial" w:cs="Arial" w:eastAsia="Arial" w:hAnsi="Arial"/>
          <w:sz w:val="20"/>
          <w:szCs w:val="20"/>
          <w:color w:val="auto"/>
        </w:rPr>
        <w:t>”).</w:t>
      </w:r>
    </w:p>
    <w:p>
      <w:pPr>
        <w:spacing w:after="0" w:line="150" w:lineRule="exact"/>
        <w:rPr>
          <w:rFonts w:ascii="Arial" w:cs="Arial" w:eastAsia="Arial" w:hAnsi="Arial"/>
          <w:sz w:val="20"/>
          <w:szCs w:val="20"/>
          <w:color w:val="auto"/>
        </w:rPr>
      </w:pPr>
    </w:p>
    <w:p>
      <w:pPr>
        <w:ind w:right="80" w:firstLine="1305"/>
        <w:spacing w:after="0" w:line="363" w:lineRule="auto"/>
        <w:tabs>
          <w:tab w:leader="none" w:pos="2164"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Borrowers will not, directly or indirectly, use the proceeds of the Loans or any Letter of Credit, or lend, contribute or otherwise make available proceeds of the Loans or any Letter of Credit to any subsidiary, joint venture partner or other Person, to fund any unlicensed or unauthorized activities of or business with any Person, or in a Designated Jurisdiction, or in any other manner that will result in a violation of Sanctions by Parent, any of Parent’s Subsidiaries, any Agent, any Lender, the Lead Arranger or the Joint Bookrunners.</w:t>
      </w:r>
    </w:p>
    <w:p>
      <w:pPr>
        <w:spacing w:after="0" w:line="88" w:lineRule="exact"/>
        <w:rPr>
          <w:rFonts w:ascii="Arial" w:cs="Arial" w:eastAsia="Arial" w:hAnsi="Arial"/>
          <w:sz w:val="16"/>
          <w:szCs w:val="16"/>
          <w:color w:val="auto"/>
        </w:rPr>
      </w:pPr>
    </w:p>
    <w:p>
      <w:pPr>
        <w:ind w:right="20" w:firstLine="1305"/>
        <w:spacing w:after="0" w:line="307" w:lineRule="auto"/>
        <w:tabs>
          <w:tab w:leader="none" w:pos="217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Except to the extent conducted in accordance with applicable Law, no Loan Party, nor any of its Subsidiaries and, to the knowledge of Parent, none of the respective officers, directors, brokers or agents of such Loan Party or Subsidiary acting or benefiting in any capacity in connection with the Loans (i) conducts any business or engages in making or receiving any contribution of funds, goods or services to or for the benefit of any Embargoed Person, (ii) deals in, or otherwise engages in any transaction related to, any property or interests in property blocked pursuant to any Sanctions or (iii) engages in or conspires to engage in any transaction that evades or avoids, or has the purpose of evading or avoiding, or attempts to violate, any of the applicable prohibitions set forth in any Economic Sanctions Laws.</w:t>
      </w:r>
    </w:p>
    <w:p>
      <w:pPr>
        <w:spacing w:after="0" w:line="126" w:lineRule="exact"/>
        <w:rPr>
          <w:rFonts w:ascii="Arial" w:cs="Arial" w:eastAsia="Arial" w:hAnsi="Arial"/>
          <w:sz w:val="18"/>
          <w:szCs w:val="18"/>
          <w:color w:val="auto"/>
        </w:rPr>
      </w:pPr>
    </w:p>
    <w:p>
      <w:pPr>
        <w:ind w:firstLine="1305"/>
        <w:spacing w:after="0" w:line="285" w:lineRule="auto"/>
        <w:tabs>
          <w:tab w:leader="none" w:pos="2164" w:val="left"/>
        </w:tabs>
        <w:numPr>
          <w:ilvl w:val="0"/>
          <w:numId w:val="282"/>
        </w:numPr>
        <w:rPr>
          <w:rFonts w:ascii="Arial" w:cs="Arial" w:eastAsia="Arial" w:hAnsi="Arial"/>
          <w:sz w:val="19"/>
          <w:szCs w:val="19"/>
          <w:color w:val="auto"/>
        </w:rPr>
      </w:pPr>
      <w:r>
        <w:rPr>
          <w:rFonts w:ascii="Arial" w:cs="Arial" w:eastAsia="Arial" w:hAnsi="Arial"/>
          <w:sz w:val="19"/>
          <w:szCs w:val="19"/>
          <w:color w:val="auto"/>
        </w:rPr>
        <w:t>To each Borrower’s knowledge, within the past five years, each of the Loan Parties and its Subsidiaries is in compliance in all material respects with and has not committed any material violation of applicable law or regulation, permit, order or other decision or requirement having the force or effect of law or regulation of any governmental entity concerning the importation of products, the exportation or re-exportation of products (including technology and services), the terms and conduct of international transactions and the making or receiving of international payments, including, as applicable, the Tariff Act of 1930, as amended, and other laws, regulations and programs administered or enforced by U.S. Customs and Border Protection and U.S. Immigration and Customs Enforcement, and their predecessor agencies, the Export Administration Act of 1979, as amended, the Export Administration Regulations, the International Emergency Economic Powers Act, as amended, the Trading With the Enemy Act, as amended, the Arms Export Control Act, as amended, the International Traffic in Arms Regulations, Executive Orders of the President regarding embargoes and restrictions on transactions with designated entities, the embargoes and restrictions administered by OFAC, the anti-boycott laws administered by the U.S. Department of Commerce and the anti-boycott laws administered by the U.S. Department of the Treasury.</w:t>
      </w:r>
    </w:p>
    <w:p>
      <w:pPr>
        <w:spacing w:after="0" w:line="125" w:lineRule="exact"/>
        <w:rPr>
          <w:sz w:val="20"/>
          <w:szCs w:val="20"/>
          <w:color w:val="auto"/>
        </w:rPr>
      </w:pPr>
    </w:p>
    <w:p>
      <w:pPr>
        <w:ind w:right="20" w:firstLine="1297"/>
        <w:spacing w:after="0" w:line="274" w:lineRule="auto"/>
        <w:rPr>
          <w:sz w:val="20"/>
          <w:szCs w:val="20"/>
          <w:color w:val="auto"/>
        </w:rPr>
      </w:pPr>
      <w:r>
        <w:rPr>
          <w:rFonts w:ascii="Arial" w:cs="Arial" w:eastAsia="Arial" w:hAnsi="Arial"/>
          <w:sz w:val="18"/>
          <w:szCs w:val="18"/>
          <w:b w:val="1"/>
          <w:bCs w:val="1"/>
          <w:color w:val="auto"/>
        </w:rPr>
        <w:t xml:space="preserve">Section 5.22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None of Parent, any Borrower and their Subsidiaries or, to the knowledge of Parent, any</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or any Subsidiary, any director, officer, agent, employee or Affiliate of such Loan Party or Subsidiary, is aware of or has taken any action, directly or indirectly, that could result in a violation by such persons of the Foreign Corrupt Practices Act of 1977, as amended, and the rules and regulations thereunder (the “</w:t>
      </w:r>
      <w:r>
        <w:rPr>
          <w:rFonts w:ascii="Arial" w:cs="Arial" w:eastAsia="Arial" w:hAnsi="Arial"/>
          <w:sz w:val="18"/>
          <w:szCs w:val="18"/>
          <w:u w:val="single" w:color="auto"/>
          <w:color w:val="auto"/>
        </w:rPr>
        <w:t>FCPA</w:t>
      </w:r>
      <w:r>
        <w:rPr>
          <w:rFonts w:ascii="Arial" w:cs="Arial" w:eastAsia="Arial" w:hAnsi="Arial"/>
          <w:sz w:val="18"/>
          <w:szCs w:val="18"/>
          <w:color w:val="auto"/>
        </w:rPr>
        <w:t>”), the UK Bribery Act 2010 (to the extent applicable) or any other applicable anti-corruption laws, including, without limitation, making use of the mails or any means or instrumentality of interstate commerce corruptly in furtherance of an offer, payment, promise to pay or authorization or approval of the payment of any money, or other property, gift, promise to give or authorization of the giving of anything of value, directly or indirectly, to any “foreign official” (as such term is defined in the FCPA) or any foreign political party or official thereof or any candidate for foreign political office in violation of the FCPA or any other applicable</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79" w:right="259" w:bottom="1440" w:gutter="0" w:footer="0" w:header="0"/>
        </w:sectPr>
      </w:pPr>
    </w:p>
    <w:bookmarkStart w:id="322" w:name="page323"/>
    <w:bookmarkEnd w:id="322"/>
    <w:p>
      <w:pPr>
        <w:ind w:right="60"/>
        <w:spacing w:after="0" w:line="274" w:lineRule="auto"/>
        <w:rPr>
          <w:sz w:val="20"/>
          <w:szCs w:val="20"/>
          <w:color w:val="auto"/>
        </w:rPr>
      </w:pPr>
      <w:r>
        <w:rPr>
          <w:rFonts w:ascii="Arial" w:cs="Arial" w:eastAsia="Arial" w:hAnsi="Arial"/>
          <w:sz w:val="18"/>
          <w:szCs w:val="18"/>
          <w:color w:val="auto"/>
        </w:rPr>
        <w:t>anti-corruption laws. Parent, each Borrower, and its Subsidiaries and to the knowledge of Parent, each Borrower and its Subsidiaries, their respective Affiliates, have conducted their businesses in compliance, in all material respects, with the FCPA, the UK Bribery Act 2010 (to the extent applicable), and other applicable similar anti-corruption laws (collectively, the “Anti-Corruption Laws”) and have instituted and maintained and will maintain policies and procedures reasonably designed to promote and achieve compliance with such laws and with the representation and warranty contained herein. The Borrowers will not, directly or indirectly, use the proceeds of the Loans or any Letter of Credit, or lend, contribute or otherwise make available proceeds of the Loans or any Letter of Credit in any manner that will result in a violation of Anti-Corruption Laws by Parent, any of Parent’s Subsidiaries, any Agent, any Lender, the Lead Arranger or the Joint Bookrunners.</w:t>
      </w:r>
    </w:p>
    <w:p>
      <w:pPr>
        <w:spacing w:after="0" w:line="123" w:lineRule="exact"/>
        <w:rPr>
          <w:sz w:val="20"/>
          <w:szCs w:val="20"/>
          <w:color w:val="auto"/>
        </w:rPr>
      </w:pPr>
    </w:p>
    <w:p>
      <w:pPr>
        <w:ind w:right="660" w:firstLine="1297"/>
        <w:spacing w:after="0" w:line="323" w:lineRule="auto"/>
        <w:rPr>
          <w:sz w:val="20"/>
          <w:szCs w:val="20"/>
          <w:color w:val="auto"/>
        </w:rPr>
      </w:pPr>
      <w:r>
        <w:rPr>
          <w:rFonts w:ascii="Arial" w:cs="Arial" w:eastAsia="Arial" w:hAnsi="Arial"/>
          <w:sz w:val="18"/>
          <w:szCs w:val="18"/>
          <w:b w:val="1"/>
          <w:bCs w:val="1"/>
          <w:color w:val="auto"/>
        </w:rPr>
        <w:t xml:space="preserve">Section 5.23 </w:t>
      </w:r>
      <w:r>
        <w:rPr>
          <w:rFonts w:ascii="Arial" w:cs="Arial" w:eastAsia="Arial" w:hAnsi="Arial"/>
          <w:sz w:val="18"/>
          <w:szCs w:val="18"/>
          <w:u w:val="single" w:color="auto"/>
          <w:color w:val="auto"/>
        </w:rPr>
        <w:t>No Default</w:t>
      </w:r>
      <w:r>
        <w:rPr>
          <w:rFonts w:ascii="Arial" w:cs="Arial" w:eastAsia="Arial" w:hAnsi="Arial"/>
          <w:sz w:val="18"/>
          <w:szCs w:val="18"/>
          <w:color w:val="auto"/>
        </w:rPr>
        <w:t>. Neither Parent nor any Subsidiary thereof is in default under or with respect to any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 that, either individually or in the aggregate, would reasonably be expected to have a Material Adverse Effect.</w:t>
      </w:r>
    </w:p>
    <w:p>
      <w:pPr>
        <w:spacing w:after="0" w:line="78" w:lineRule="exact"/>
        <w:rPr>
          <w:sz w:val="20"/>
          <w:szCs w:val="20"/>
          <w:color w:val="auto"/>
        </w:rPr>
      </w:pPr>
    </w:p>
    <w:p>
      <w:pPr>
        <w:ind w:right="20" w:firstLine="1297"/>
        <w:spacing w:after="0" w:line="294" w:lineRule="auto"/>
        <w:rPr>
          <w:sz w:val="20"/>
          <w:szCs w:val="20"/>
          <w:color w:val="auto"/>
        </w:rPr>
      </w:pPr>
      <w:r>
        <w:rPr>
          <w:rFonts w:ascii="Arial" w:cs="Arial" w:eastAsia="Arial" w:hAnsi="Arial"/>
          <w:sz w:val="18"/>
          <w:szCs w:val="18"/>
          <w:b w:val="1"/>
          <w:bCs w:val="1"/>
          <w:color w:val="auto"/>
        </w:rPr>
        <w:t xml:space="preserve">Section 5.24 </w:t>
      </w:r>
      <w:r>
        <w:rPr>
          <w:rFonts w:ascii="Arial" w:cs="Arial" w:eastAsia="Arial" w:hAnsi="Arial"/>
          <w:sz w:val="18"/>
          <w:szCs w:val="18"/>
          <w:u w:val="single" w:color="auto"/>
          <w:color w:val="auto"/>
        </w:rPr>
        <w:t>Labor Relations</w:t>
      </w:r>
      <w:r>
        <w:rPr>
          <w:rFonts w:ascii="Arial" w:cs="Arial" w:eastAsia="Arial" w:hAnsi="Arial"/>
          <w:sz w:val="18"/>
          <w:szCs w:val="18"/>
          <w:color w:val="auto"/>
        </w:rPr>
        <w:t>. There are no grievances, disputes or controversies with any union or other organization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Parent’s or any Subsidiary’s employees, or, to Parent’s knowledge, any threatened strikes, work stoppages or demands for collective bargaining, except, in each case, as would not reasonably be expected to have, individually or in the aggregate, a Material Adverse Effect.</w:t>
      </w:r>
    </w:p>
    <w:p>
      <w:pPr>
        <w:spacing w:after="0" w:line="104"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u w:val="single" w:color="auto"/>
          <w:color w:val="0000FF"/>
        </w:rPr>
        <w:t>Section 5.25</w:t>
      </w:r>
      <w:r>
        <w:rPr>
          <w:sz w:val="20"/>
          <w:szCs w:val="20"/>
          <w:color w:val="auto"/>
        </w:rPr>
        <w:tab/>
      </w:r>
      <w:r>
        <w:rPr>
          <w:rFonts w:ascii="Arial" w:cs="Arial" w:eastAsia="Arial" w:hAnsi="Arial"/>
          <w:sz w:val="18"/>
          <w:szCs w:val="18"/>
          <w:u w:val="single" w:color="auto"/>
          <w:color w:val="0000FF"/>
        </w:rPr>
        <w:t>EEA Financial Institutions. No Loan Party is an EEA Financial Institution.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AFFIRMATIVE COVENANTS</w:t>
      </w:r>
    </w:p>
    <w:p>
      <w:pPr>
        <w:spacing w:after="0" w:line="235" w:lineRule="exact"/>
        <w:rPr>
          <w:sz w:val="20"/>
          <w:szCs w:val="20"/>
          <w:color w:val="auto"/>
        </w:rPr>
      </w:pPr>
    </w:p>
    <w:p>
      <w:pPr>
        <w:ind w:right="360" w:firstLine="1297"/>
        <w:spacing w:after="0" w:line="291"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Letters of Credit shall have expired, terminated or been Cash Collateralized and all LC Disbursements shall have been reimbursed, each of Parent and each Borrower covenant and agree with the Lenders that:</w:t>
      </w:r>
    </w:p>
    <w:p>
      <w:pPr>
        <w:spacing w:after="0" w:line="146"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6.01</w:t>
      </w:r>
      <w:r>
        <w:rPr>
          <w:sz w:val="20"/>
          <w:szCs w:val="20"/>
          <w:color w:val="auto"/>
        </w:rPr>
        <w:tab/>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Parent will furnish to the Administrative Agent, on behalf of each</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Lender:</w:t>
      </w:r>
    </w:p>
    <w:p>
      <w:pPr>
        <w:spacing w:after="0" w:line="173" w:lineRule="exact"/>
        <w:rPr>
          <w:sz w:val="20"/>
          <w:szCs w:val="20"/>
          <w:color w:val="auto"/>
        </w:rPr>
      </w:pPr>
    </w:p>
    <w:p>
      <w:pPr>
        <w:ind w:left="660" w:firstLine="645"/>
        <w:spacing w:after="0" w:line="305" w:lineRule="auto"/>
        <w:tabs>
          <w:tab w:leader="none" w:pos="2176"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within ninety (90) days after the end of each fiscal year of Parent, an audited consolidated balance sheet and related statements of operations, stockholders’ equity and cash flows for Parent and its Consolidated Subsidiaries as of the end of and for such year, setting forth in each case in comparative form the figures for the previous fiscal year, with such audited balance sheet and related consolidated financial statements reported on by KPMG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Parent and its Consolidated Subsidiaries on a consolidated basis in accordance with GAAP consistently applied;</w:t>
      </w:r>
    </w:p>
    <w:p>
      <w:pPr>
        <w:spacing w:after="0" w:line="130" w:lineRule="exact"/>
        <w:rPr>
          <w:rFonts w:ascii="Arial" w:cs="Arial" w:eastAsia="Arial" w:hAnsi="Arial"/>
          <w:sz w:val="18"/>
          <w:szCs w:val="18"/>
          <w:color w:val="auto"/>
        </w:rPr>
      </w:pPr>
    </w:p>
    <w:p>
      <w:pPr>
        <w:ind w:left="660" w:right="600" w:firstLine="645"/>
        <w:spacing w:after="0" w:line="378" w:lineRule="auto"/>
        <w:tabs>
          <w:tab w:leader="none" w:pos="2187" w:val="left"/>
        </w:tabs>
        <w:numPr>
          <w:ilvl w:val="0"/>
          <w:numId w:val="283"/>
        </w:numPr>
        <w:rPr>
          <w:rFonts w:ascii="Arial" w:cs="Arial" w:eastAsia="Arial" w:hAnsi="Arial"/>
          <w:sz w:val="16"/>
          <w:szCs w:val="16"/>
          <w:color w:val="auto"/>
        </w:rPr>
      </w:pPr>
      <w:r>
        <w:rPr>
          <w:rFonts w:ascii="Arial" w:cs="Arial" w:eastAsia="Arial" w:hAnsi="Arial"/>
          <w:sz w:val="16"/>
          <w:szCs w:val="16"/>
          <w:color w:val="auto"/>
        </w:rPr>
        <w:t>within forty-five (45) days after the end of each of the first three fiscal quarters of each fiscal year of Parent, commencing with the quarter ending June 30, 2015, a condensed consolidated balance sheet and related statements of income or operations and cash flows for Parent and its Consolidated Subsidiaries as of the end of and for such fiscal quarter and the then</w:t>
      </w:r>
    </w:p>
    <w:p>
      <w:pPr>
        <w:spacing w:after="0" w:line="200" w:lineRule="exact"/>
        <w:rPr>
          <w:rFonts w:ascii="Arial" w:cs="Arial" w:eastAsia="Arial" w:hAnsi="Arial"/>
          <w:sz w:val="16"/>
          <w:szCs w:val="16"/>
          <w:color w:val="auto"/>
        </w:rPr>
      </w:pPr>
    </w:p>
    <w:p>
      <w:pPr>
        <w:spacing w:after="0" w:line="321" w:lineRule="exact"/>
        <w:rPr>
          <w:rFonts w:ascii="Arial" w:cs="Arial" w:eastAsia="Arial" w:hAnsi="Arial"/>
          <w:sz w:val="16"/>
          <w:szCs w:val="16"/>
          <w:color w:val="auto"/>
        </w:rPr>
      </w:pPr>
    </w:p>
    <w:p>
      <w:pPr>
        <w:ind w:left="5560" w:hanging="110"/>
        <w:spacing w:after="0"/>
        <w:tabs>
          <w:tab w:leader="none" w:pos="5560" w:val="left"/>
        </w:tabs>
        <w:numPr>
          <w:ilvl w:val="1"/>
          <w:numId w:val="283"/>
        </w:numPr>
        <w:rPr>
          <w:rFonts w:ascii="Arial" w:cs="Arial" w:eastAsia="Arial" w:hAnsi="Arial"/>
          <w:sz w:val="20"/>
          <w:szCs w:val="20"/>
          <w:color w:val="auto"/>
        </w:rPr>
      </w:pPr>
      <w:r>
        <w:rPr>
          <w:rFonts w:ascii="Arial" w:cs="Arial" w:eastAsia="Arial" w:hAnsi="Arial"/>
          <w:sz w:val="20"/>
          <w:szCs w:val="20"/>
          <w:color w:val="auto"/>
        </w:rPr>
        <w:t>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323" w:name="page324"/>
    <w:bookmarkEnd w:id="323"/>
    <w:p>
      <w:pPr>
        <w:spacing w:after="0" w:line="243" w:lineRule="auto"/>
        <w:rPr>
          <w:sz w:val="20"/>
          <w:szCs w:val="20"/>
          <w:color w:val="auto"/>
        </w:rPr>
      </w:pPr>
      <w:r>
        <w:rPr>
          <w:rFonts w:ascii="Arial" w:cs="Arial" w:eastAsia="Arial" w:hAnsi="Arial"/>
          <w:sz w:val="20"/>
          <w:szCs w:val="20"/>
          <w:color w:val="auto"/>
        </w:rPr>
        <w:t>elapsed portion of the fiscal year, setting forth in each case in comparative form the figures for the corresponding period or periods of (or, in the case of the balance sheet, as of the end of) the previous fiscal year, setting forth in each case in comparative form the figures for the corresponding period or periods of (or, in the case of the balance sheet, as of the end of) the previous fiscal year, certified by one of its Financial Officers as presenting fairly in all material respects the financial condition and results of operations of Parent and its Consolidated Subsidiaries on a consolidated basis in accordance with GAAP consistently applied, subject to normal year-end audit adjustments and the absence of footnotes;</w:t>
      </w:r>
    </w:p>
    <w:p>
      <w:pPr>
        <w:spacing w:after="0" w:line="169" w:lineRule="exact"/>
        <w:rPr>
          <w:sz w:val="20"/>
          <w:szCs w:val="20"/>
          <w:color w:val="auto"/>
        </w:rPr>
      </w:pPr>
    </w:p>
    <w:p>
      <w:pPr>
        <w:ind w:right="120" w:firstLine="645"/>
        <w:spacing w:after="0" w:line="273" w:lineRule="auto"/>
        <w:tabs>
          <w:tab w:leader="none" w:pos="1516" w:val="left"/>
        </w:tabs>
        <w:numPr>
          <w:ilvl w:val="0"/>
          <w:numId w:val="284"/>
        </w:numPr>
        <w:rPr>
          <w:rFonts w:ascii="Arial" w:cs="Arial" w:eastAsia="Arial" w:hAnsi="Arial"/>
          <w:sz w:val="20"/>
          <w:szCs w:val="20"/>
          <w:color w:val="auto"/>
        </w:rPr>
      </w:pPr>
      <w:r>
        <w:rPr>
          <w:rFonts w:ascii="Arial" w:cs="Arial" w:eastAsia="Arial" w:hAnsi="Arial"/>
          <w:sz w:val="20"/>
          <w:szCs w:val="20"/>
          <w:color w:val="auto"/>
        </w:rPr>
        <w:t xml:space="preserve">concurrently with any delivery of financial statements under clause (a) or (b) above, a Compliance Certificate of a Financial Officer of Parent (i) certifying as to whether a Default has occurred and, if a Default has occurred, specifying the details thereof and any action taken or proposed to be taken with respect thereto, (ii) solely with respect to the Compliance Certificate delivered with the financial statements delivered under clause (a) above, setting forth reasonably detailed calculations of the Available Amount and (iii) demonstrating compliance with </w:t>
      </w:r>
      <w:r>
        <w:rPr>
          <w:rFonts w:ascii="Arial" w:cs="Arial" w:eastAsia="Arial" w:hAnsi="Arial"/>
          <w:sz w:val="20"/>
          <w:szCs w:val="20"/>
          <w:u w:val="single" w:color="auto"/>
          <w:color w:val="auto"/>
        </w:rPr>
        <w:t>Section 7.10</w:t>
      </w:r>
      <w:r>
        <w:rPr>
          <w:rFonts w:ascii="Arial" w:cs="Arial" w:eastAsia="Arial" w:hAnsi="Arial"/>
          <w:sz w:val="20"/>
          <w:szCs w:val="20"/>
          <w:color w:val="auto"/>
        </w:rPr>
        <w:t>;</w:t>
      </w:r>
    </w:p>
    <w:p>
      <w:pPr>
        <w:spacing w:after="0" w:line="150" w:lineRule="exact"/>
        <w:rPr>
          <w:rFonts w:ascii="Arial" w:cs="Arial" w:eastAsia="Arial" w:hAnsi="Arial"/>
          <w:sz w:val="20"/>
          <w:szCs w:val="20"/>
          <w:color w:val="auto"/>
        </w:rPr>
      </w:pPr>
    </w:p>
    <w:p>
      <w:pPr>
        <w:ind w:right="280" w:firstLine="645"/>
        <w:spacing w:after="0" w:line="278" w:lineRule="auto"/>
        <w:tabs>
          <w:tab w:leader="none" w:pos="1527" w:val="left"/>
        </w:tabs>
        <w:numPr>
          <w:ilvl w:val="0"/>
          <w:numId w:val="284"/>
        </w:numPr>
        <w:rPr>
          <w:rFonts w:ascii="Arial" w:cs="Arial" w:eastAsia="Arial" w:hAnsi="Arial"/>
          <w:sz w:val="20"/>
          <w:szCs w:val="20"/>
          <w:color w:val="auto"/>
        </w:rPr>
      </w:pPr>
      <w:r>
        <w:rPr>
          <w:rFonts w:ascii="Arial" w:cs="Arial" w:eastAsia="Arial" w:hAnsi="Arial"/>
          <w:sz w:val="20"/>
          <w:szCs w:val="20"/>
          <w:color w:val="auto"/>
        </w:rPr>
        <w:t xml:space="preserve">concurrently with the delivery of each set of consolidated financial statements referred to in </w:t>
      </w:r>
      <w:r>
        <w:rPr>
          <w:rFonts w:ascii="Arial" w:cs="Arial" w:eastAsia="Arial" w:hAnsi="Arial"/>
          <w:sz w:val="20"/>
          <w:szCs w:val="20"/>
          <w:u w:val="single" w:color="auto"/>
          <w:color w:val="auto"/>
        </w:rPr>
        <w:t>Sections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6.01(b)</w:t>
      </w:r>
      <w:r>
        <w:rPr>
          <w:rFonts w:ascii="Arial" w:cs="Arial" w:eastAsia="Arial" w:hAnsi="Arial"/>
          <w:sz w:val="20"/>
          <w:szCs w:val="20"/>
          <w:color w:val="auto"/>
        </w:rPr>
        <w:t xml:space="preserve"> above, the related consolidating financial statements reflecting the adjustments necessary to eliminate the accounts of Unrestricted Subsidiaries (if any) from such consolidated financial statements;</w:t>
      </w:r>
    </w:p>
    <w:p>
      <w:pPr>
        <w:spacing w:after="0" w:line="146" w:lineRule="exact"/>
        <w:rPr>
          <w:rFonts w:ascii="Arial" w:cs="Arial" w:eastAsia="Arial" w:hAnsi="Arial"/>
          <w:sz w:val="20"/>
          <w:szCs w:val="20"/>
          <w:color w:val="auto"/>
        </w:rPr>
      </w:pPr>
    </w:p>
    <w:p>
      <w:pPr>
        <w:ind w:firstLine="645"/>
        <w:spacing w:after="0" w:line="274" w:lineRule="auto"/>
        <w:tabs>
          <w:tab w:leader="none" w:pos="1516" w:val="left"/>
        </w:tabs>
        <w:numPr>
          <w:ilvl w:val="0"/>
          <w:numId w:val="284"/>
        </w:numPr>
        <w:rPr>
          <w:rFonts w:ascii="Arial" w:cs="Arial" w:eastAsia="Arial" w:hAnsi="Arial"/>
          <w:sz w:val="20"/>
          <w:szCs w:val="20"/>
          <w:color w:val="auto"/>
        </w:rPr>
      </w:pPr>
      <w:r>
        <w:rPr>
          <w:rFonts w:ascii="Arial" w:cs="Arial" w:eastAsia="Arial" w:hAnsi="Arial"/>
          <w:sz w:val="20"/>
          <w:szCs w:val="20"/>
          <w:color w:val="auto"/>
        </w:rPr>
        <w:t>concurrently with the delivery of the certificate of a Financial Officer of Parent under clause (c) above, supplements to the exhibits to the Perfection Certificate specifying any changes to such exhibits since the previous updating required hereby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there have been no changes to any such exhibits since the previous updating required thereby, Parent shall indicate that there has been “no change” to the applicable exhibits);</w:t>
      </w:r>
    </w:p>
    <w:p>
      <w:pPr>
        <w:spacing w:after="0" w:line="151" w:lineRule="exact"/>
        <w:rPr>
          <w:rFonts w:ascii="Arial" w:cs="Arial" w:eastAsia="Arial" w:hAnsi="Arial"/>
          <w:sz w:val="20"/>
          <w:szCs w:val="20"/>
          <w:color w:val="auto"/>
        </w:rPr>
      </w:pPr>
    </w:p>
    <w:p>
      <w:pPr>
        <w:ind w:right="20" w:firstLine="645"/>
        <w:spacing w:after="0" w:line="299" w:lineRule="auto"/>
        <w:tabs>
          <w:tab w:leader="none" w:pos="1494" w:val="left"/>
        </w:tabs>
        <w:numPr>
          <w:ilvl w:val="0"/>
          <w:numId w:val="284"/>
        </w:numPr>
        <w:rPr>
          <w:rFonts w:ascii="Arial" w:cs="Arial" w:eastAsia="Arial" w:hAnsi="Arial"/>
          <w:sz w:val="19"/>
          <w:szCs w:val="19"/>
          <w:color w:val="auto"/>
        </w:rPr>
      </w:pPr>
      <w:r>
        <w:rPr>
          <w:rFonts w:ascii="Arial" w:cs="Arial" w:eastAsia="Arial" w:hAnsi="Arial"/>
          <w:sz w:val="19"/>
          <w:szCs w:val="19"/>
          <w:color w:val="auto"/>
        </w:rPr>
        <w:t>within sixty (60) days after the end of each fiscal year of Parent, a copy of the plan and forecast (including a projected consolidated balance sheet, income statement (or statement of operations) and cash flow statement) of Parent for each quarter of the fiscal year then in progress as customarily prepared by management of Parent for its internal use;</w:t>
      </w:r>
    </w:p>
    <w:p>
      <w:pPr>
        <w:spacing w:after="0" w:line="128" w:lineRule="exact"/>
        <w:rPr>
          <w:rFonts w:ascii="Arial" w:cs="Arial" w:eastAsia="Arial" w:hAnsi="Arial"/>
          <w:sz w:val="19"/>
          <w:szCs w:val="19"/>
          <w:color w:val="auto"/>
        </w:rPr>
      </w:pPr>
    </w:p>
    <w:p>
      <w:pPr>
        <w:jc w:val="both"/>
        <w:ind w:right="180" w:firstLine="645"/>
        <w:spacing w:after="0" w:line="274" w:lineRule="auto"/>
        <w:tabs>
          <w:tab w:leader="none" w:pos="1527" w:val="left"/>
        </w:tabs>
        <w:numPr>
          <w:ilvl w:val="0"/>
          <w:numId w:val="284"/>
        </w:numPr>
        <w:rPr>
          <w:rFonts w:ascii="Arial" w:cs="Arial" w:eastAsia="Arial" w:hAnsi="Arial"/>
          <w:sz w:val="20"/>
          <w:szCs w:val="20"/>
          <w:color w:val="auto"/>
        </w:rPr>
      </w:pPr>
      <w:r>
        <w:rPr>
          <w:rFonts w:ascii="Arial" w:cs="Arial" w:eastAsia="Arial" w:hAnsi="Arial"/>
          <w:sz w:val="20"/>
          <w:szCs w:val="20"/>
          <w:color w:val="auto"/>
        </w:rPr>
        <w:t>upon the request by the Administrative Agent, within 120 days after the end of each fiscal year of Parent, attend a conference call arranged by the Administrative Agent with all Lenders who choose to attend such call, during which call Parent shall review the financial results of the previous fiscal year, the financial condition of Parent and its Subsidiaries and the budgets presented for the current fiscal year of Parent and its Subsidiaries;</w:t>
      </w:r>
    </w:p>
    <w:p>
      <w:pPr>
        <w:spacing w:after="0" w:line="151" w:lineRule="exact"/>
        <w:rPr>
          <w:rFonts w:ascii="Arial" w:cs="Arial" w:eastAsia="Arial" w:hAnsi="Arial"/>
          <w:sz w:val="20"/>
          <w:szCs w:val="20"/>
          <w:color w:val="auto"/>
        </w:rPr>
      </w:pPr>
    </w:p>
    <w:p>
      <w:pPr>
        <w:ind w:right="40" w:firstLine="645"/>
        <w:spacing w:after="0" w:line="278" w:lineRule="auto"/>
        <w:tabs>
          <w:tab w:leader="none" w:pos="1527" w:val="left"/>
        </w:tabs>
        <w:numPr>
          <w:ilvl w:val="0"/>
          <w:numId w:val="284"/>
        </w:numPr>
        <w:rPr>
          <w:rFonts w:ascii="Arial" w:cs="Arial" w:eastAsia="Arial" w:hAnsi="Arial"/>
          <w:sz w:val="20"/>
          <w:szCs w:val="20"/>
          <w:color w:val="auto"/>
        </w:rPr>
      </w:pPr>
      <w:r>
        <w:rPr>
          <w:rFonts w:ascii="Arial" w:cs="Arial" w:eastAsia="Arial" w:hAnsi="Arial"/>
          <w:sz w:val="20"/>
          <w:szCs w:val="20"/>
          <w:color w:val="auto"/>
        </w:rPr>
        <w:t>promptly after any request therefor, such other information regarding the operations, business affairs and financial condition of Parent or any Restricted Subsidiary, or compliance with the terms of any Loan Document, as may be reasonably requested by the Administrative Agent or by any Lender through the Administrative Agent; and</w:t>
      </w:r>
    </w:p>
    <w:p>
      <w:pPr>
        <w:spacing w:after="0" w:line="146" w:lineRule="exact"/>
        <w:rPr>
          <w:rFonts w:ascii="Arial" w:cs="Arial" w:eastAsia="Arial" w:hAnsi="Arial"/>
          <w:sz w:val="20"/>
          <w:szCs w:val="20"/>
          <w:color w:val="auto"/>
        </w:rPr>
      </w:pPr>
    </w:p>
    <w:p>
      <w:pPr>
        <w:ind w:right="160" w:firstLine="645"/>
        <w:spacing w:after="0" w:line="356" w:lineRule="auto"/>
        <w:tabs>
          <w:tab w:leader="none" w:pos="1483" w:val="left"/>
        </w:tabs>
        <w:numPr>
          <w:ilvl w:val="0"/>
          <w:numId w:val="284"/>
        </w:numPr>
        <w:rPr>
          <w:rFonts w:ascii="Arial" w:cs="Arial" w:eastAsia="Arial" w:hAnsi="Arial"/>
          <w:sz w:val="16"/>
          <w:szCs w:val="16"/>
          <w:color w:val="auto"/>
        </w:rPr>
      </w:pPr>
      <w:r>
        <w:rPr>
          <w:rFonts w:ascii="Arial" w:cs="Arial" w:eastAsia="Arial" w:hAnsi="Arial"/>
          <w:sz w:val="16"/>
          <w:szCs w:val="16"/>
          <w:color w:val="auto"/>
        </w:rPr>
        <w:t>promptly upon an ERISA Event or upon request by the Administrative Agent, the most recently prepared actuarial reports in relation to the Employee Benefit Arrangements for the time being operated by Parent or any of its Restricted Subsidiaries which are prepared in order to comply with the then current statutory or auditing requirements within the relevant jurisdiction. Promptly upon request by the Administrative Agent, the Lead Borrower shall also furnish the Administrative Agent and the Lenders with such additional information concerning any Plan, Foreign Pension Plan or Employee Benefit Arrangement as may be reasonably</w:t>
      </w:r>
    </w:p>
    <w:p>
      <w:pPr>
        <w:spacing w:after="0" w:line="200" w:lineRule="exact"/>
        <w:rPr>
          <w:rFonts w:ascii="Arial" w:cs="Arial" w:eastAsia="Arial" w:hAnsi="Arial"/>
          <w:sz w:val="16"/>
          <w:szCs w:val="16"/>
          <w:color w:val="auto"/>
        </w:rPr>
      </w:pPr>
    </w:p>
    <w:p>
      <w:pPr>
        <w:spacing w:after="0" w:line="339" w:lineRule="exact"/>
        <w:rPr>
          <w:rFonts w:ascii="Arial" w:cs="Arial" w:eastAsia="Arial" w:hAnsi="Arial"/>
          <w:sz w:val="16"/>
          <w:szCs w:val="16"/>
          <w:color w:val="auto"/>
        </w:rPr>
      </w:pPr>
    </w:p>
    <w:p>
      <w:pPr>
        <w:ind w:left="4900" w:hanging="110"/>
        <w:spacing w:after="0"/>
        <w:tabs>
          <w:tab w:leader="none" w:pos="4900" w:val="left"/>
        </w:tabs>
        <w:numPr>
          <w:ilvl w:val="1"/>
          <w:numId w:val="284"/>
        </w:numPr>
        <w:rPr>
          <w:rFonts w:ascii="Arial" w:cs="Arial" w:eastAsia="Arial" w:hAnsi="Arial"/>
          <w:sz w:val="20"/>
          <w:szCs w:val="20"/>
          <w:color w:val="auto"/>
        </w:rPr>
      </w:pPr>
      <w:r>
        <w:rPr>
          <w:rFonts w:ascii="Arial" w:cs="Arial" w:eastAsia="Arial" w:hAnsi="Arial"/>
          <w:sz w:val="20"/>
          <w:szCs w:val="20"/>
          <w:color w:val="auto"/>
        </w:rPr>
        <w:t>128 -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48895</wp:posOffset>
            </wp:positionV>
            <wp:extent cx="72720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40"/>
          </w:cols>
          <w:pgMar w:left="900" w:top="366" w:right="259" w:bottom="1440" w:gutter="0" w:footer="0" w:header="0"/>
        </w:sectPr>
      </w:pPr>
    </w:p>
    <w:bookmarkStart w:id="324" w:name="page325"/>
    <w:bookmarkEnd w:id="324"/>
    <w:p>
      <w:pPr>
        <w:ind w:left="660" w:right="60"/>
        <w:spacing w:after="0" w:line="269" w:lineRule="auto"/>
        <w:rPr>
          <w:sz w:val="20"/>
          <w:szCs w:val="20"/>
          <w:color w:val="auto"/>
        </w:rPr>
      </w:pPr>
      <w:r>
        <w:rPr>
          <w:rFonts w:ascii="Arial" w:cs="Arial" w:eastAsia="Arial" w:hAnsi="Arial"/>
          <w:sz w:val="19"/>
          <w:szCs w:val="19"/>
          <w:color w:val="auto"/>
        </w:rPr>
        <w:t>requested, including, but not limited to, with respect to any Plans, copies of each annual report/return (Form 5500 series), as well as all schedules and attachments thereto required to be filed with the Department of Labor and/or the Internal Revenue Service pursuant to ERISA and the Code, respectively, for each “plan year” (within the meaning of Section 3(39) of ERISA).</w:t>
      </w:r>
    </w:p>
    <w:p>
      <w:pPr>
        <w:spacing w:after="0" w:line="124"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6.02</w:t>
      </w:r>
      <w:r>
        <w:rPr>
          <w:sz w:val="20"/>
          <w:szCs w:val="20"/>
          <w:color w:val="auto"/>
        </w:rPr>
        <w:tab/>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Parent will, upon knowledge thereof by a Responsible Officer, furnish to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prompt written notice of the following:</w:t>
      </w:r>
    </w:p>
    <w:p>
      <w:pPr>
        <w:spacing w:after="0" w:line="173" w:lineRule="exact"/>
        <w:rPr>
          <w:sz w:val="20"/>
          <w:szCs w:val="20"/>
          <w:color w:val="auto"/>
        </w:rPr>
      </w:pPr>
    </w:p>
    <w:p>
      <w:pPr>
        <w:ind w:left="2180" w:hanging="875"/>
        <w:spacing w:after="0"/>
        <w:tabs>
          <w:tab w:leader="none" w:pos="218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the occurrence of any Default;</w:t>
      </w:r>
    </w:p>
    <w:p>
      <w:pPr>
        <w:spacing w:after="0" w:line="202" w:lineRule="exact"/>
        <w:rPr>
          <w:rFonts w:ascii="Arial" w:cs="Arial" w:eastAsia="Arial" w:hAnsi="Arial"/>
          <w:sz w:val="20"/>
          <w:szCs w:val="20"/>
          <w:color w:val="auto"/>
        </w:rPr>
      </w:pPr>
    </w:p>
    <w:p>
      <w:pPr>
        <w:ind w:left="660" w:right="20" w:firstLine="645"/>
        <w:spacing w:after="0" w:line="347" w:lineRule="auto"/>
        <w:tabs>
          <w:tab w:leader="none" w:pos="218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affecting Parent or any Affiliate thereof that would reasonably be expected to result in a Material Adverse Effect;</w:t>
      </w:r>
    </w:p>
    <w:p>
      <w:pPr>
        <w:spacing w:after="0" w:line="90" w:lineRule="exact"/>
        <w:rPr>
          <w:rFonts w:ascii="Arial" w:cs="Arial" w:eastAsia="Arial" w:hAnsi="Arial"/>
          <w:sz w:val="18"/>
          <w:szCs w:val="18"/>
          <w:color w:val="auto"/>
        </w:rPr>
      </w:pPr>
    </w:p>
    <w:p>
      <w:pPr>
        <w:ind w:left="660" w:right="40" w:firstLine="645"/>
        <w:spacing w:after="0" w:line="278" w:lineRule="auto"/>
        <w:tabs>
          <w:tab w:leader="none" w:pos="2176" w:val="left"/>
        </w:tabs>
        <w:numPr>
          <w:ilvl w:val="0"/>
          <w:numId w:val="285"/>
        </w:numPr>
        <w:rPr>
          <w:rFonts w:ascii="Arial" w:cs="Arial" w:eastAsia="Arial" w:hAnsi="Arial"/>
          <w:sz w:val="20"/>
          <w:szCs w:val="20"/>
          <w:color w:val="auto"/>
        </w:rPr>
      </w:pPr>
      <w:r>
        <w:rPr>
          <w:rFonts w:ascii="Arial" w:cs="Arial" w:eastAsia="Arial" w:hAnsi="Arial"/>
          <w:sz w:val="20"/>
          <w:szCs w:val="20"/>
          <w:color w:val="auto"/>
        </w:rPr>
        <w:t>the occurrence of any ERISA Event or similar event with respect to a Foreign Pension Plan that, alone or together with any other ERISA Events or similar events with respect to Foreign Pension Plans that have occurred, could reasonably be expected to result in a Material Adverse Effect; and</w:t>
      </w:r>
    </w:p>
    <w:p>
      <w:pPr>
        <w:spacing w:after="0" w:line="146" w:lineRule="exact"/>
        <w:rPr>
          <w:rFonts w:ascii="Arial" w:cs="Arial" w:eastAsia="Arial" w:hAnsi="Arial"/>
          <w:sz w:val="20"/>
          <w:szCs w:val="20"/>
          <w:color w:val="auto"/>
        </w:rPr>
      </w:pPr>
    </w:p>
    <w:p>
      <w:pPr>
        <w:ind w:left="2180" w:hanging="875"/>
        <w:spacing w:after="0"/>
        <w:tabs>
          <w:tab w:leader="none" w:pos="218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any other development that results in, or could reasonably be expected to result in, a Material Adverse Effect.</w:t>
      </w:r>
    </w:p>
    <w:p>
      <w:pPr>
        <w:spacing w:after="0" w:line="194" w:lineRule="exact"/>
        <w:rPr>
          <w:sz w:val="20"/>
          <w:szCs w:val="20"/>
          <w:color w:val="auto"/>
        </w:rPr>
      </w:pPr>
    </w:p>
    <w:p>
      <w:pPr>
        <w:ind w:firstLine="1297"/>
        <w:spacing w:after="0" w:line="244" w:lineRule="auto"/>
        <w:rPr>
          <w:sz w:val="20"/>
          <w:szCs w:val="20"/>
          <w:color w:val="auto"/>
        </w:rPr>
      </w:pPr>
      <w:r>
        <w:rPr>
          <w:rFonts w:ascii="Arial" w:cs="Arial" w:eastAsia="Arial" w:hAnsi="Arial"/>
          <w:sz w:val="20"/>
          <w:szCs w:val="20"/>
          <w:b w:val="1"/>
          <w:bCs w:val="1"/>
          <w:color w:val="auto"/>
        </w:rPr>
        <w:t xml:space="preserve">Section 6.03 </w:t>
      </w:r>
      <w:r>
        <w:rPr>
          <w:rFonts w:ascii="Arial" w:cs="Arial" w:eastAsia="Arial" w:hAnsi="Arial"/>
          <w:sz w:val="20"/>
          <w:szCs w:val="20"/>
          <w:u w:val="single" w:color="auto"/>
          <w:color w:val="auto"/>
        </w:rPr>
        <w:t>Existence; Conduct of Business</w:t>
      </w:r>
      <w:r>
        <w:rPr>
          <w:rFonts w:ascii="Arial" w:cs="Arial" w:eastAsia="Arial" w:hAnsi="Arial"/>
          <w:sz w:val="20"/>
          <w:szCs w:val="20"/>
          <w:color w:val="auto"/>
        </w:rPr>
        <w:t>. Parent will, and will cause each of its Restricted Subsidiaries to, do or cause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 done all things necessary to preserve, renew and keep in full force and effect its legal existence and the rights, qualifications, licenses, permits, privileges, franchises, governmental authorizations and intellectual property rights material to the conduct of its business, and maintain all requisite authority to conduct its business in each jurisdiction in which its business is conducted; except in each case to the extent (other than with respect to the preservation of the existence of Parent and each Borrower) that failure to do so would not reasonably be expected to have, individually or in the aggregate, a Material Adverse Effect or pursuant to any merger, consolidation, liquidation, dissolution or Disposition permitted by </w:t>
      </w:r>
      <w:r>
        <w:rPr>
          <w:rFonts w:ascii="Arial" w:cs="Arial" w:eastAsia="Arial" w:hAnsi="Arial"/>
          <w:sz w:val="20"/>
          <w:szCs w:val="20"/>
          <w:u w:val="single" w:color="auto"/>
          <w:color w:val="auto"/>
        </w:rPr>
        <w:t>Article VII</w:t>
      </w:r>
      <w:r>
        <w:rPr>
          <w:rFonts w:ascii="Arial" w:cs="Arial" w:eastAsia="Arial" w:hAnsi="Arial"/>
          <w:sz w:val="20"/>
          <w:szCs w:val="20"/>
          <w:color w:val="auto"/>
        </w:rPr>
        <w:t>.</w:t>
      </w:r>
    </w:p>
    <w:p>
      <w:pPr>
        <w:spacing w:after="0" w:line="187" w:lineRule="exact"/>
        <w:rPr>
          <w:sz w:val="20"/>
          <w:szCs w:val="20"/>
          <w:color w:val="auto"/>
        </w:rPr>
      </w:pPr>
    </w:p>
    <w:p>
      <w:pPr>
        <w:ind w:right="100" w:firstLine="1297"/>
        <w:spacing w:after="0" w:line="323" w:lineRule="auto"/>
        <w:rPr>
          <w:sz w:val="20"/>
          <w:szCs w:val="20"/>
          <w:color w:val="auto"/>
        </w:rPr>
      </w:pPr>
      <w:r>
        <w:rPr>
          <w:rFonts w:ascii="Arial" w:cs="Arial" w:eastAsia="Arial" w:hAnsi="Arial"/>
          <w:sz w:val="16"/>
          <w:szCs w:val="16"/>
          <w:b w:val="1"/>
          <w:bCs w:val="1"/>
          <w:color w:val="auto"/>
        </w:rPr>
        <w:t xml:space="preserve">Section 6.04 </w:t>
      </w:r>
      <w:r>
        <w:rPr>
          <w:rFonts w:ascii="Arial" w:cs="Arial" w:eastAsia="Arial" w:hAnsi="Arial"/>
          <w:sz w:val="16"/>
          <w:szCs w:val="16"/>
          <w:u w:val="single" w:color="auto"/>
          <w:color w:val="auto"/>
        </w:rPr>
        <w:t>Payment of Obligations</w:t>
      </w:r>
      <w:r>
        <w:rPr>
          <w:rFonts w:ascii="Arial" w:cs="Arial" w:eastAsia="Arial" w:hAnsi="Arial"/>
          <w:sz w:val="16"/>
          <w:szCs w:val="16"/>
          <w:color w:val="auto"/>
        </w:rPr>
        <w:t>. Parent will, and will cause each of its Restricted Subsidiaries to, pay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Tax liabilities, that, if not paid, could reasonably be expected to result in a Material Adverse Effect before the same shall become delinquent or in default, except where (a) the validity or amount thereof is being contested in good faith by appropriate proceedings, (b) Parent or such Restricted Subsidiary has set aside on its books adequate reserves with respect thereto in accordance with GAAP and (c) the failure to make payment pending such contest could not, individually or in the aggregate, reasonably be expected to result in a Material Adverse Effect.</w:t>
      </w:r>
    </w:p>
    <w:p>
      <w:pPr>
        <w:spacing w:after="0" w:line="18" w:lineRule="exact"/>
        <w:rPr>
          <w:sz w:val="20"/>
          <w:szCs w:val="20"/>
          <w:color w:val="auto"/>
        </w:rPr>
      </w:pPr>
    </w:p>
    <w:p>
      <w:pPr>
        <w:ind w:right="60" w:firstLine="1297"/>
        <w:spacing w:after="0" w:line="274" w:lineRule="auto"/>
        <w:rPr>
          <w:sz w:val="20"/>
          <w:szCs w:val="20"/>
          <w:color w:val="auto"/>
        </w:rPr>
      </w:pPr>
      <w:r>
        <w:rPr>
          <w:rFonts w:ascii="Arial" w:cs="Arial" w:eastAsia="Arial" w:hAnsi="Arial"/>
          <w:sz w:val="18"/>
          <w:szCs w:val="18"/>
          <w:b w:val="1"/>
          <w:bCs w:val="1"/>
          <w:color w:val="auto"/>
        </w:rPr>
        <w:t xml:space="preserve">Section 6.05 </w:t>
      </w:r>
      <w:r>
        <w:rPr>
          <w:rFonts w:ascii="Arial" w:cs="Arial" w:eastAsia="Arial" w:hAnsi="Arial"/>
          <w:sz w:val="18"/>
          <w:szCs w:val="18"/>
          <w:u w:val="single" w:color="auto"/>
          <w:color w:val="auto"/>
        </w:rPr>
        <w:t>Maintenance of Properties; Insurance</w:t>
      </w:r>
      <w:r>
        <w:rPr>
          <w:rFonts w:ascii="Arial" w:cs="Arial" w:eastAsia="Arial" w:hAnsi="Arial"/>
          <w:sz w:val="18"/>
          <w:szCs w:val="18"/>
          <w:color w:val="auto"/>
        </w:rPr>
        <w:t>. Parent will, and will cause each of its Restricted Subsidiaries to, (a) keep</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maintain all property material to the conduct of its business, including the Mortgaged Property, in good working order and condition, ordinary wear and tear excepted, except if the failure to so keep and maintain would not reasonably be expected to have a Material Adverse Effect and (b) maintain with carriers that Parent believes are financially sound and reputable (i) insurance in such amounts (after giving effect to any self-insurance compatible with the following standards), with such deductibles and covering such risks as are prudent in the reasonable business judgment of Parent’s officers and (ii) all insurance required pursuant to the Mortgages,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in no event shall the Parent or any Restricted Subsidiary be required to obtain or maintain insurance that is more restrictive than its normal course of practice (it being understood that if any Mortgaged Property is in a flood hazard area, such evidence of flood insurance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325" w:name="page326"/>
    <w:bookmarkEnd w:id="325"/>
    <w:p>
      <w:pPr>
        <w:ind w:right="40"/>
        <w:spacing w:after="0" w:line="246" w:lineRule="auto"/>
        <w:rPr>
          <w:sz w:val="20"/>
          <w:szCs w:val="20"/>
          <w:color w:val="auto"/>
        </w:rPr>
      </w:pPr>
      <w:r>
        <w:rPr>
          <w:rFonts w:ascii="Arial" w:cs="Arial" w:eastAsia="Arial" w:hAnsi="Arial"/>
          <w:sz w:val="20"/>
          <w:szCs w:val="20"/>
          <w:color w:val="auto"/>
        </w:rPr>
        <w:t>shall be in such amounts and in such form as reasonably acceptable to the Administrative Agent and otherwise comply with applicable Flood Laws). Each such policy of insurance shall as appropriate, (i) name the Collateral Agent as an additional insured thereunder as its interests may appear and/or (ii) in the case of each casualty insurance policy, contain a mortgagee/loss payable clause or endorsement that names the Collateral Agent as the mortgagee/loss payee thereunder.</w:t>
      </w:r>
    </w:p>
    <w:p>
      <w:pPr>
        <w:spacing w:after="0" w:line="77" w:lineRule="exact"/>
        <w:rPr>
          <w:sz w:val="20"/>
          <w:szCs w:val="20"/>
          <w:color w:val="auto"/>
        </w:rPr>
      </w:pPr>
    </w:p>
    <w:p>
      <w:pPr>
        <w:ind w:firstLine="1297"/>
        <w:spacing w:after="0" w:line="256" w:lineRule="auto"/>
        <w:rPr>
          <w:sz w:val="20"/>
          <w:szCs w:val="20"/>
          <w:color w:val="auto"/>
        </w:rPr>
      </w:pPr>
      <w:r>
        <w:rPr>
          <w:rFonts w:ascii="Arial" w:cs="Arial" w:eastAsia="Arial" w:hAnsi="Arial"/>
          <w:sz w:val="19"/>
          <w:szCs w:val="19"/>
          <w:b w:val="1"/>
          <w:bCs w:val="1"/>
          <w:color w:val="auto"/>
        </w:rPr>
        <w:t xml:space="preserve">Section 6.06 </w:t>
      </w:r>
      <w:r>
        <w:rPr>
          <w:rFonts w:ascii="Arial" w:cs="Arial" w:eastAsia="Arial" w:hAnsi="Arial"/>
          <w:sz w:val="19"/>
          <w:szCs w:val="19"/>
          <w:u w:val="single" w:color="auto"/>
          <w:color w:val="auto"/>
        </w:rPr>
        <w:t>Books and Records; Inspection Rights</w:t>
      </w:r>
      <w:r>
        <w:rPr>
          <w:rFonts w:ascii="Arial" w:cs="Arial" w:eastAsia="Arial" w:hAnsi="Arial"/>
          <w:sz w:val="19"/>
          <w:szCs w:val="19"/>
          <w:color w:val="auto"/>
        </w:rPr>
        <w:t>. Parent will, and will cause each of its Restricted Subsidiaries to, keep</w:t>
      </w:r>
      <w:r>
        <w:rPr>
          <w:rFonts w:ascii="Arial" w:cs="Arial" w:eastAsia="Arial" w:hAnsi="Arial"/>
          <w:sz w:val="19"/>
          <w:szCs w:val="19"/>
          <w:b w:val="1"/>
          <w:bCs w:val="1"/>
          <w:color w:val="auto"/>
        </w:rPr>
        <w:t xml:space="preserve"> </w:t>
      </w:r>
      <w:r>
        <w:rPr>
          <w:rFonts w:ascii="Arial" w:cs="Arial" w:eastAsia="Arial" w:hAnsi="Arial"/>
          <w:sz w:val="19"/>
          <w:szCs w:val="19"/>
          <w:color w:val="auto"/>
        </w:rPr>
        <w:t>proper books of record and account in which full, true and correct entries in conformity with GAAP and applicable law are made of all material financial dealings and transactions in relation to its business and activities. Parent will, and will cause each of its Restricted Subsidiaries to, permit any representatives designated by the Administrative Agent or any Lender (pursuant to a request made through the Administrative Agent), at reasonable times upon reasonable prior notice (but not more than once annually if no Event of Default shall exist), to visit and inspect its properties, to examine and make extracts from its books and records, including examination of its environmental assessment reports and Phase I or Phase II studies, and to discuss its affairs, finances and condition with its officers and to consent to such discussions with its independent accountants, all at such reasonable times and as often as reasonably requested. Parent acknowledges that the Administrative Agent, after exercising its rights of inspection, may prepare and distribute to the Lenders certain reports pertaining to Parent and its Restricted Subsidiaries’ assets for internal use by the Administrative Agent and the Lenders.</w:t>
      </w:r>
    </w:p>
    <w:p>
      <w:pPr>
        <w:spacing w:after="0" w:line="73" w:lineRule="exact"/>
        <w:rPr>
          <w:sz w:val="20"/>
          <w:szCs w:val="20"/>
          <w:color w:val="auto"/>
        </w:rPr>
      </w:pPr>
    </w:p>
    <w:p>
      <w:pPr>
        <w:ind w:right="540" w:firstLine="1297"/>
        <w:spacing w:after="0" w:line="273" w:lineRule="auto"/>
        <w:rPr>
          <w:sz w:val="20"/>
          <w:szCs w:val="20"/>
          <w:color w:val="auto"/>
        </w:rPr>
      </w:pPr>
      <w:r>
        <w:rPr>
          <w:rFonts w:ascii="Arial" w:cs="Arial" w:eastAsia="Arial" w:hAnsi="Arial"/>
          <w:sz w:val="19"/>
          <w:szCs w:val="19"/>
          <w:b w:val="1"/>
          <w:bCs w:val="1"/>
          <w:color w:val="auto"/>
        </w:rPr>
        <w:t xml:space="preserve">Section 6.07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Parent will, and will cause each of its Subsidiaries to comply with all laws, rules,</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and orders of any Governmental Authority applicable to it or its property, in each case except where the failure to do so, individually or in the aggregate, would not reasonably be expected to result in a Material Adverse Effect.</w:t>
      </w:r>
    </w:p>
    <w:p>
      <w:pPr>
        <w:spacing w:after="0" w:line="51" w:lineRule="exact"/>
        <w:rPr>
          <w:sz w:val="20"/>
          <w:szCs w:val="20"/>
          <w:color w:val="auto"/>
        </w:rPr>
      </w:pPr>
    </w:p>
    <w:p>
      <w:pPr>
        <w:ind w:right="180" w:firstLine="1297"/>
        <w:spacing w:after="0" w:line="294" w:lineRule="auto"/>
        <w:rPr>
          <w:sz w:val="20"/>
          <w:szCs w:val="20"/>
          <w:color w:val="auto"/>
        </w:rPr>
      </w:pPr>
      <w:r>
        <w:rPr>
          <w:rFonts w:ascii="Arial" w:cs="Arial" w:eastAsia="Arial" w:hAnsi="Arial"/>
          <w:sz w:val="18"/>
          <w:szCs w:val="18"/>
          <w:b w:val="1"/>
          <w:bCs w:val="1"/>
          <w:color w:val="auto"/>
        </w:rPr>
        <w:t xml:space="preserve">Section 6.08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Borrower will use the proceeds of the Loans and will use the Letters of Credit solely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purposes set forth in </w:t>
      </w:r>
      <w:r>
        <w:rPr>
          <w:rFonts w:ascii="Arial" w:cs="Arial" w:eastAsia="Arial" w:hAnsi="Arial"/>
          <w:sz w:val="18"/>
          <w:szCs w:val="18"/>
          <w:u w:val="single" w:color="auto"/>
          <w:color w:val="auto"/>
        </w:rPr>
        <w:t>Section 5.17</w:t>
      </w:r>
      <w:r>
        <w:rPr>
          <w:rFonts w:ascii="Arial" w:cs="Arial" w:eastAsia="Arial" w:hAnsi="Arial"/>
          <w:sz w:val="18"/>
          <w:szCs w:val="18"/>
          <w:color w:val="auto"/>
        </w:rPr>
        <w:t>. No part of the proceeds of any Loan will be used, whether directly or indirectly, for any purpose that entails a violation of any of the Regulations of the Board of Governors of the Federal Reserve System, including Regulations T, U and X.</w:t>
      </w:r>
    </w:p>
    <w:p>
      <w:pPr>
        <w:spacing w:after="0" w:line="36"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6.09</w:t>
      </w:r>
      <w:r>
        <w:rPr>
          <w:sz w:val="20"/>
          <w:szCs w:val="20"/>
          <w:color w:val="auto"/>
        </w:rPr>
        <w:tab/>
      </w:r>
      <w:r>
        <w:rPr>
          <w:rFonts w:ascii="Arial" w:cs="Arial" w:eastAsia="Arial" w:hAnsi="Arial"/>
          <w:sz w:val="16"/>
          <w:szCs w:val="16"/>
          <w:u w:val="single" w:color="auto"/>
          <w:color w:val="auto"/>
        </w:rPr>
        <w:t>Subsidiary Guarantors; Pledges; Additional Collateral; Further Assurances</w:t>
      </w:r>
      <w:r>
        <w:rPr>
          <w:rFonts w:ascii="Arial" w:cs="Arial" w:eastAsia="Arial" w:hAnsi="Arial"/>
          <w:sz w:val="16"/>
          <w:szCs w:val="16"/>
          <w:color w:val="auto"/>
        </w:rPr>
        <w:t>.</w:t>
      </w:r>
    </w:p>
    <w:p>
      <w:pPr>
        <w:spacing w:after="0" w:line="127" w:lineRule="exact"/>
        <w:rPr>
          <w:sz w:val="20"/>
          <w:szCs w:val="20"/>
          <w:color w:val="auto"/>
        </w:rPr>
      </w:pPr>
    </w:p>
    <w:p>
      <w:pPr>
        <w:ind w:firstLine="1305"/>
        <w:spacing w:after="0" w:line="301" w:lineRule="auto"/>
        <w:tabs>
          <w:tab w:leader="none" w:pos="216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Within the time periods specified in the last paragraph of this </w:t>
      </w:r>
      <w:r>
        <w:rPr>
          <w:rFonts w:ascii="Arial" w:cs="Arial" w:eastAsia="Arial" w:hAnsi="Arial"/>
          <w:sz w:val="18"/>
          <w:szCs w:val="18"/>
          <w:u w:val="single" w:color="auto"/>
          <w:color w:val="auto"/>
        </w:rPr>
        <w:t>Section 6.09</w:t>
      </w:r>
      <w:r>
        <w:rPr>
          <w:rFonts w:ascii="Arial" w:cs="Arial" w:eastAsia="Arial" w:hAnsi="Arial"/>
          <w:sz w:val="18"/>
          <w:szCs w:val="18"/>
          <w:color w:val="auto"/>
        </w:rPr>
        <w:t>, after (i) any Person becomes a Restricted Subsidiary that is not an Excluded Subsidiary or (ii) any Excluded Subsidiary that is not an Unrestricted Subsidiary ceases to be an Excluded Subsidiary (each, a “</w:t>
      </w:r>
      <w:r>
        <w:rPr>
          <w:rFonts w:ascii="Arial" w:cs="Arial" w:eastAsia="Arial" w:hAnsi="Arial"/>
          <w:sz w:val="18"/>
          <w:szCs w:val="18"/>
          <w:u w:val="single" w:color="auto"/>
          <w:color w:val="auto"/>
        </w:rPr>
        <w:t>New Loan Party</w:t>
      </w:r>
      <w:r>
        <w:rPr>
          <w:rFonts w:ascii="Arial" w:cs="Arial" w:eastAsia="Arial" w:hAnsi="Arial"/>
          <w:sz w:val="18"/>
          <w:szCs w:val="18"/>
          <w:color w:val="auto"/>
        </w:rPr>
        <w:t>”) (including, in each case, for the avoidance of doubt, a Restricted Subsidiary that is no longer an Excluded Subsidiary, including as a result of any Permitted Reorganization), in each case, Parent shall provide the Administrative Agent with written notice thereof setting forth information in reasonable detail describing the material assets of such New Loan Party and shall cause each such New Loan Party to deliver to the Administrative Agent (x) a guaranty or a joinder to the Guaranty Agreement in form and substance satisfactory to the Administrative Agent, guaranteeing the Finance Parties’ obligations under the Finance Documents and (y) a joinder to all applicable Collateral Documents then in existence or, in the case of a Foreign Subsidiary organized in a jurisdiction with respect to which no Collateral Documents have been delivered prior to such time, new Collateral Documents substantially comparable to the Collateral Documents for other Foreign Subsidiaries (and consistent with customary collateral documents in such jurisdiction but, for the avoidance of doubt, with terms no more restrictive, when taken as a whole, than the other Collateral Documents applicable to Guarantors and without additional commercial obligations, representations, undertakings or indemnities materially broader than those contained in the Loan Documents entered into on the Closing Date unless required for the creation,</w:t>
      </w: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ind w:left="5560" w:hanging="110"/>
        <w:spacing w:after="0"/>
        <w:tabs>
          <w:tab w:leader="none" w:pos="5560" w:val="left"/>
        </w:tabs>
        <w:numPr>
          <w:ilvl w:val="1"/>
          <w:numId w:val="286"/>
        </w:numPr>
        <w:rPr>
          <w:rFonts w:ascii="Arial" w:cs="Arial" w:eastAsia="Arial" w:hAnsi="Arial"/>
          <w:sz w:val="20"/>
          <w:szCs w:val="20"/>
          <w:color w:val="auto"/>
        </w:rPr>
      </w:pPr>
      <w:r>
        <w:rPr>
          <w:rFonts w:ascii="Arial" w:cs="Arial" w:eastAsia="Arial" w:hAnsi="Arial"/>
          <w:sz w:val="20"/>
          <w:szCs w:val="20"/>
          <w:color w:val="auto"/>
        </w:rPr>
        <w:t>130 -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326" w:name="page327"/>
    <w:bookmarkEnd w:id="326"/>
    <w:p>
      <w:pPr>
        <w:spacing w:after="0" w:line="278" w:lineRule="auto"/>
        <w:rPr>
          <w:sz w:val="20"/>
          <w:szCs w:val="20"/>
          <w:color w:val="auto"/>
        </w:rPr>
      </w:pPr>
      <w:r>
        <w:rPr>
          <w:rFonts w:ascii="Arial" w:cs="Arial" w:eastAsia="Arial" w:hAnsi="Arial"/>
          <w:sz w:val="18"/>
          <w:szCs w:val="18"/>
          <w:color w:val="auto"/>
        </w:rPr>
        <w:t>perfection or effective enforcement of security), in each case as specified by, and in form and substance reasonably satisfactory to, the Administrative Agent, securing payment of all the Finance Obligations of such Subsidiary under the Finance Documents to be accompanied by appropriate corporate resolutions, other corporate documentation and customary legal opinions as may be reasonably requested by, and in form and substance reasonably satisfactory to, the Administrative Agent and its counsel; provided, however, that any such foreign guarantees and foreign security will be limited or not required as, and to the extent, set forth in the Agreed Security Principles.</w:t>
      </w:r>
    </w:p>
    <w:p>
      <w:pPr>
        <w:spacing w:after="0" w:line="138" w:lineRule="exact"/>
        <w:rPr>
          <w:sz w:val="20"/>
          <w:szCs w:val="20"/>
          <w:color w:val="auto"/>
        </w:rPr>
      </w:pPr>
    </w:p>
    <w:p>
      <w:pPr>
        <w:ind w:right="40" w:firstLine="1305"/>
        <w:spacing w:after="0" w:line="301" w:lineRule="auto"/>
        <w:tabs>
          <w:tab w:leader="none" w:pos="217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6.09(e)</w:t>
      </w:r>
      <w:r>
        <w:rPr>
          <w:rFonts w:ascii="Arial" w:cs="Arial" w:eastAsia="Arial" w:hAnsi="Arial"/>
          <w:sz w:val="18"/>
          <w:szCs w:val="18"/>
          <w:color w:val="auto"/>
        </w:rPr>
        <w:t xml:space="preserve"> and the Agreed Security Principles, Parent will cause, and will cause each other Loan Party to cause, all of its owned property (whether real, personal, tangible, intangible, or mixed but excluding Excluded Assets) to be subject at all times to perfected Liens in favor of the Collateral Agent for the benefit of the Finance Parties to secure the Finance Obligations in accordance with the terms and conditions of the Collateral Documents on a first priority basis, subject to no other Liens other than Permitted Liens. Without limiting the generality of the foregoing, but subject to Section 6.09(e) and the Agreed Security Principles, Parent (i) will cause 100% of the issued and outstanding Equity Interests of each Subsidiary directly owned by Parent or any other Loan Party (other than Excluded Assets) to be subject at all times to a perfected Lien on a first priority basis, subject to Permitted Liens, in favor of the Administrative Agent to secure the Finance Obligations in accordance with the terms and conditions of the Collateral Documents or such other pledge and security documents as the Administrative Agent shall reasonably request and (ii) will, and will cause each other Loan Party to, deliver Mortgages with respect to each Mortgaged Property, together with Mortgage Instruments;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jurisdictions that impose mortgage recording taxes, the applicable Mortgage and Mortgage Instruments and any other Collateral Documents shall not secure indebtedness in an amount exceeding 105% of the fair market value of the applicable Mortgaged Property, as reasonably determined in good faith by the Loan Parties and reasonably acceptable to the Administrative Agent.</w:t>
      </w:r>
    </w:p>
    <w:p>
      <w:pPr>
        <w:spacing w:after="0" w:line="136" w:lineRule="exact"/>
        <w:rPr>
          <w:rFonts w:ascii="Arial" w:cs="Arial" w:eastAsia="Arial" w:hAnsi="Arial"/>
          <w:sz w:val="18"/>
          <w:szCs w:val="18"/>
          <w:color w:val="auto"/>
        </w:rPr>
      </w:pPr>
    </w:p>
    <w:p>
      <w:pPr>
        <w:ind w:right="60" w:firstLine="1305"/>
        <w:spacing w:after="0" w:line="287" w:lineRule="auto"/>
        <w:tabs>
          <w:tab w:leader="none" w:pos="2164" w:val="left"/>
        </w:tabs>
        <w:numPr>
          <w:ilvl w:val="0"/>
          <w:numId w:val="287"/>
        </w:numPr>
        <w:rPr>
          <w:rFonts w:ascii="Arial" w:cs="Arial" w:eastAsia="Arial" w:hAnsi="Arial"/>
          <w:sz w:val="19"/>
          <w:szCs w:val="19"/>
          <w:color w:val="auto"/>
        </w:rPr>
      </w:pPr>
      <w:r>
        <w:rPr>
          <w:rFonts w:ascii="Arial" w:cs="Arial" w:eastAsia="Arial" w:hAnsi="Arial"/>
          <w:sz w:val="19"/>
          <w:szCs w:val="19"/>
          <w:color w:val="auto"/>
        </w:rPr>
        <w:t xml:space="preserve">Without limiting the foregoing, but in any event subject to the Agreed Security Principles, Parent will, and will cause each other Loan Party to, execute and deliver, or cause to be executed and delivered, to the Administrative Agent such documents, agreements and instruments, and will take or cause to be taken such further actions (including the filing and recording of financing statements, fixture filings, Mortgages, and other documents and such other actions or deliveries of the type required by </w:t>
      </w:r>
      <w:r>
        <w:rPr>
          <w:rFonts w:ascii="Arial" w:cs="Arial" w:eastAsia="Arial" w:hAnsi="Arial"/>
          <w:sz w:val="19"/>
          <w:szCs w:val="19"/>
          <w:u w:val="single" w:color="auto"/>
          <w:color w:val="auto"/>
        </w:rPr>
        <w:t>Section 4.01</w:t>
      </w:r>
      <w:r>
        <w:rPr>
          <w:rFonts w:ascii="Arial" w:cs="Arial" w:eastAsia="Arial" w:hAnsi="Arial"/>
          <w:sz w:val="19"/>
          <w:szCs w:val="19"/>
          <w:color w:val="auto"/>
        </w:rPr>
        <w:t>, as applicable), which may be required by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at the expense of Parent.</w:t>
      </w:r>
    </w:p>
    <w:p>
      <w:pPr>
        <w:spacing w:after="0" w:line="142" w:lineRule="exact"/>
        <w:rPr>
          <w:rFonts w:ascii="Arial" w:cs="Arial" w:eastAsia="Arial" w:hAnsi="Arial"/>
          <w:sz w:val="19"/>
          <w:szCs w:val="19"/>
          <w:color w:val="auto"/>
        </w:rPr>
      </w:pPr>
    </w:p>
    <w:p>
      <w:pPr>
        <w:ind w:right="20" w:firstLine="1305"/>
        <w:spacing w:after="0" w:line="304" w:lineRule="auto"/>
        <w:tabs>
          <w:tab w:leader="none" w:pos="217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If any assets (including any real property or improvements thereto or any interest therein) with an aggregate fair market value greater than or equal to $10,000,000 are acquired by a Loan Party after the Closing Date (other than Excluded Assets and assets constituting Collateral under the Collateral Documents that become subject to the Lien in favor of the Collateral Agent upon acquisition thereof), Parent will notify the Administrative Agent thereof, and, if requested by the Administrative Agent, Parent will cause such assets to be subjected to a Lien securing the Finance Obligations and will take, and cause the other Loan Parties to take, such actions as shall be necessary or reasonably requested by the Administrative Agent to grant and perfect such Liens, including actions described in paragraph (c) of this Section, all at the expense of Parent and in each case, subject to the Agreed Security Principles;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real property and Equity Interests, such actions will be limited to those specified in paragraph (b) of this Section.</w:t>
      </w:r>
    </w:p>
    <w:p>
      <w:pPr>
        <w:spacing w:after="0" w:line="130" w:lineRule="exact"/>
        <w:rPr>
          <w:rFonts w:ascii="Arial" w:cs="Arial" w:eastAsia="Arial" w:hAnsi="Arial"/>
          <w:sz w:val="18"/>
          <w:szCs w:val="18"/>
          <w:color w:val="auto"/>
        </w:rPr>
      </w:pPr>
    </w:p>
    <w:p>
      <w:pPr>
        <w:ind w:firstLine="1305"/>
        <w:spacing w:after="0" w:line="278" w:lineRule="auto"/>
        <w:tabs>
          <w:tab w:leader="none" w:pos="2164" w:val="left"/>
        </w:tabs>
        <w:numPr>
          <w:ilvl w:val="0"/>
          <w:numId w:val="287"/>
        </w:numPr>
        <w:rPr>
          <w:rFonts w:ascii="Arial" w:cs="Arial" w:eastAsia="Arial" w:hAnsi="Arial"/>
          <w:sz w:val="20"/>
          <w:szCs w:val="20"/>
          <w:color w:val="auto"/>
        </w:rPr>
      </w:pPr>
      <w:r>
        <w:rPr>
          <w:rFonts w:ascii="Arial" w:cs="Arial" w:eastAsia="Arial" w:hAnsi="Arial"/>
          <w:sz w:val="20"/>
          <w:szCs w:val="20"/>
          <w:color w:val="auto"/>
        </w:rPr>
        <w:t>Notwithstanding anything to the contrary set forth herein, (i) no action shall be required to perfect a security interest in letter of credit rights, other than the filing of a UCC financing statement, (ii) control agreements and perfection by “control” (other than in respect of certificated</w:t>
      </w:r>
    </w:p>
    <w:p>
      <w:pPr>
        <w:spacing w:after="0" w:line="200" w:lineRule="exact"/>
        <w:rPr>
          <w:rFonts w:ascii="Arial" w:cs="Arial" w:eastAsia="Arial" w:hAnsi="Arial"/>
          <w:sz w:val="20"/>
          <w:szCs w:val="20"/>
          <w:color w:val="auto"/>
        </w:rPr>
      </w:pPr>
    </w:p>
    <w:p>
      <w:pPr>
        <w:spacing w:after="0" w:line="391" w:lineRule="exact"/>
        <w:rPr>
          <w:rFonts w:ascii="Arial" w:cs="Arial" w:eastAsia="Arial" w:hAnsi="Arial"/>
          <w:sz w:val="20"/>
          <w:szCs w:val="20"/>
          <w:color w:val="auto"/>
        </w:rPr>
      </w:pPr>
    </w:p>
    <w:p>
      <w:pPr>
        <w:ind w:left="5560" w:hanging="110"/>
        <w:spacing w:after="0"/>
        <w:tabs>
          <w:tab w:leader="none" w:pos="5560" w:val="left"/>
        </w:tabs>
        <w:numPr>
          <w:ilvl w:val="1"/>
          <w:numId w:val="287"/>
        </w:numPr>
        <w:rPr>
          <w:rFonts w:ascii="Arial" w:cs="Arial" w:eastAsia="Arial" w:hAnsi="Arial"/>
          <w:sz w:val="20"/>
          <w:szCs w:val="20"/>
          <w:color w:val="auto"/>
        </w:rPr>
      </w:pPr>
      <w:r>
        <w:rPr>
          <w:rFonts w:ascii="Arial" w:cs="Arial" w:eastAsia="Arial" w:hAnsi="Arial"/>
          <w:sz w:val="20"/>
          <w:szCs w:val="20"/>
          <w:color w:val="auto"/>
        </w:rPr>
        <w:t>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66" w:right="299" w:bottom="1440" w:gutter="0" w:footer="0" w:header="0"/>
        </w:sectPr>
      </w:pPr>
    </w:p>
    <w:bookmarkStart w:id="327" w:name="page328"/>
    <w:bookmarkEnd w:id="327"/>
    <w:p>
      <w:pPr>
        <w:spacing w:after="0" w:line="301" w:lineRule="auto"/>
        <w:rPr>
          <w:sz w:val="20"/>
          <w:szCs w:val="20"/>
          <w:color w:val="auto"/>
        </w:rPr>
      </w:pPr>
      <w:r>
        <w:rPr>
          <w:rFonts w:ascii="Arial" w:cs="Arial" w:eastAsia="Arial" w:hAnsi="Arial"/>
          <w:sz w:val="18"/>
          <w:szCs w:val="18"/>
          <w:color w:val="auto"/>
        </w:rPr>
        <w:t xml:space="preserve">Collateral) shall not be required with respect to any Collateral, (iii) there shall be no requirement to obtain any landlord waivers, estoppels or collateral access letters, (iv) no actions outside any Covered Jurisdictions (or France, solely with respect to the Equity Interests of Material Restricted Subsidiaries organized in France) shall be required in order to create any security interests in assets located or titled outside of the Covered Jurisdictions (or France, solely with respect to the Equity Interests of Material Restricted Subsidiaries organized in France) or to perfect any security interests in such assets, including any intellectual property registered in any jurisdiction (other than the Covered Jurisdictions and, with respect to U.S. trademark registrations or application filed under 15 U.S.C. Section 1141, WIPO) (it being understood that there shall be no security agreements or pledge agreements governed under the laws of any jurisdiction other than a Covered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actions in any jurisdiction outside a Loan Party’s jurisdiction of organization shall be required in order to create or perfect any security interests in (x) the Equity Interests held by such Loan Party of any Person that is not a Material Restricted Subsidiary or (y) assets of such Loan Party with a fair market value less than $10,000,000 located outside such Person’s jurisdiction of organization; (v) except as specified in paragraph (b) above with respect to Mortgages, no filings in respect of any Lien shall be required in any jurisdiction that impose recording fees based on the aggregate principal amount of indebtedness secured or the value of the Collateral subject to such Liens and (vi) no actions in any jurisdiction outside the United States shall be required where the cost of obtaining or perfecting a security interest in such assets exceeds the practical benefit to the Lenders afforded thereby (taking into account any documentation in any Covered Jurisdiction related thereto) as reasonably determined by the Administrative Agent in writing (in consultation with the Lead Borrower).</w:t>
      </w:r>
    </w:p>
    <w:p>
      <w:pPr>
        <w:spacing w:after="0" w:line="117" w:lineRule="exact"/>
        <w:rPr>
          <w:sz w:val="20"/>
          <w:szCs w:val="20"/>
          <w:color w:val="auto"/>
        </w:rPr>
      </w:pPr>
    </w:p>
    <w:p>
      <w:pPr>
        <w:ind w:right="20" w:firstLine="1297"/>
        <w:spacing w:after="0" w:line="256" w:lineRule="auto"/>
        <w:rPr>
          <w:sz w:val="20"/>
          <w:szCs w:val="20"/>
          <w:color w:val="auto"/>
        </w:rPr>
      </w:pPr>
      <w:r>
        <w:rPr>
          <w:rFonts w:ascii="Arial" w:cs="Arial" w:eastAsia="Arial" w:hAnsi="Arial"/>
          <w:sz w:val="19"/>
          <w:szCs w:val="19"/>
          <w:color w:val="auto"/>
        </w:rPr>
        <w:t xml:space="preserve">Notwithstanding the foregoing, (i) any deliverables delivered pursuant to this </w:t>
      </w:r>
      <w:r>
        <w:rPr>
          <w:rFonts w:ascii="Arial" w:cs="Arial" w:eastAsia="Arial" w:hAnsi="Arial"/>
          <w:sz w:val="19"/>
          <w:szCs w:val="19"/>
          <w:u w:val="single" w:color="auto"/>
          <w:color w:val="auto"/>
        </w:rPr>
        <w:t>Section 6.09</w:t>
      </w:r>
      <w:r>
        <w:rPr>
          <w:rFonts w:ascii="Arial" w:cs="Arial" w:eastAsia="Arial" w:hAnsi="Arial"/>
          <w:sz w:val="19"/>
          <w:szCs w:val="19"/>
          <w:color w:val="auto"/>
        </w:rPr>
        <w:t xml:space="preserve"> as of the Closing Date shall be subject to the last paragraph of </w:t>
      </w:r>
      <w:r>
        <w:rPr>
          <w:rFonts w:ascii="Arial" w:cs="Arial" w:eastAsia="Arial" w:hAnsi="Arial"/>
          <w:sz w:val="19"/>
          <w:szCs w:val="19"/>
          <w:u w:val="single" w:color="auto"/>
          <w:color w:val="auto"/>
        </w:rPr>
        <w:t>Section 4.01</w:t>
      </w:r>
      <w:r>
        <w:rPr>
          <w:rFonts w:ascii="Arial" w:cs="Arial" w:eastAsia="Arial" w:hAnsi="Arial"/>
          <w:sz w:val="19"/>
          <w:szCs w:val="19"/>
          <w:color w:val="auto"/>
        </w:rPr>
        <w:t>, (ii) with respect to any real property acquired after the Closing Date, the Loan Parties shall have ninety (90) days after the delivery of a Perfection Certificate (or supplements to the exhibits thereto) disclosing the acquisition of the applicable real property (or such later date as may be agreed upon by the Administrative Agent in the exercise of its reasonable discretion with respect thereto) to take the actions required by this Section, and (iii) with respect to any other property or assets acquired after the Closing Date or with respect to any New Loan Party, the Loan Parties shall have forty-five (45) days, or ninety (90) days in the case of the Equity Interests, property or assets of, or actions required to be taken by, any Foreign Subsidiary, after the delivery of a Perfection Certificate (or supplements to the exhibits thereto) disclosing the acquisition thereof or reflecting that such Person has become a New Loan Party (or such later date as may be agreed upon by the Administrative Agent in the exercise of its reasonable discretion with respect thereto) to take the actions required by this Section.</w:t>
      </w:r>
    </w:p>
    <w:p>
      <w:pPr>
        <w:spacing w:after="0" w:line="175" w:lineRule="exact"/>
        <w:rPr>
          <w:sz w:val="20"/>
          <w:szCs w:val="20"/>
          <w:color w:val="auto"/>
        </w:rPr>
      </w:pPr>
    </w:p>
    <w:p>
      <w:pPr>
        <w:ind w:right="120" w:firstLine="1297"/>
        <w:spacing w:after="0" w:line="256" w:lineRule="auto"/>
        <w:rPr>
          <w:sz w:val="20"/>
          <w:szCs w:val="20"/>
          <w:color w:val="auto"/>
        </w:rPr>
      </w:pPr>
      <w:r>
        <w:rPr>
          <w:rFonts w:ascii="Arial" w:cs="Arial" w:eastAsia="Arial" w:hAnsi="Arial"/>
          <w:sz w:val="19"/>
          <w:szCs w:val="19"/>
          <w:b w:val="1"/>
          <w:bCs w:val="1"/>
          <w:color w:val="auto"/>
        </w:rPr>
        <w:t xml:space="preserve">Section 6.10 </w:t>
      </w:r>
      <w:r>
        <w:rPr>
          <w:rFonts w:ascii="Arial" w:cs="Arial" w:eastAsia="Arial" w:hAnsi="Arial"/>
          <w:sz w:val="19"/>
          <w:szCs w:val="19"/>
          <w:u w:val="single" w:color="auto"/>
          <w:color w:val="auto"/>
        </w:rPr>
        <w:t>Designation of Subsidiaries</w:t>
      </w:r>
      <w:r>
        <w:rPr>
          <w:rFonts w:ascii="Arial" w:cs="Arial" w:eastAsia="Arial" w:hAnsi="Arial"/>
          <w:sz w:val="19"/>
          <w:szCs w:val="19"/>
          <w:color w:val="auto"/>
        </w:rPr>
        <w:t>. Parent may, at any time from and after the Closing Date, designate any 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Subsidiary as an Unrestricted Subsidiary or any Unrestricted Subsidiary as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immediately before and after such designation, no Default or Event of Default shall have occurred and be continuing, (ii) immediately after giving effect to such designation, Parent shall be in compliance with the covenant set forth in </w:t>
      </w:r>
      <w:r>
        <w:rPr>
          <w:rFonts w:ascii="Arial" w:cs="Arial" w:eastAsia="Arial" w:hAnsi="Arial"/>
          <w:sz w:val="19"/>
          <w:szCs w:val="19"/>
          <w:u w:val="single" w:color="auto"/>
          <w:color w:val="auto"/>
        </w:rPr>
        <w:t>Section 7.10</w:t>
      </w:r>
      <w:r>
        <w:rPr>
          <w:rFonts w:ascii="Arial" w:cs="Arial" w:eastAsia="Arial" w:hAnsi="Arial"/>
          <w:sz w:val="19"/>
          <w:szCs w:val="19"/>
          <w:color w:val="auto"/>
        </w:rPr>
        <w:t xml:space="preserve"> on a pro forma basis in accordance with </w:t>
      </w:r>
      <w:r>
        <w:rPr>
          <w:rFonts w:ascii="Arial" w:cs="Arial" w:eastAsia="Arial" w:hAnsi="Arial"/>
          <w:sz w:val="19"/>
          <w:szCs w:val="19"/>
          <w:u w:val="single" w:color="auto"/>
          <w:color w:val="auto"/>
        </w:rPr>
        <w:t>Section 1.03(c)</w:t>
      </w:r>
      <w:r>
        <w:rPr>
          <w:rFonts w:ascii="Arial" w:cs="Arial" w:eastAsia="Arial" w:hAnsi="Arial"/>
          <w:sz w:val="19"/>
          <w:szCs w:val="19"/>
          <w:color w:val="auto"/>
        </w:rPr>
        <w:t xml:space="preserve"> (and as a condition precedent to the effectiveness of any such designation, Parent shall deliver to the Administrative Agent a certificate setting forth in reasonable detail the calculations demonstrating such compliance) and (iii) if a Restricted Subsidiary is being designated as an Unrestricted Subsidiary hereunder, such Restricted Subsidiary, together with all other Unrestricted Subsidiaries as of such date of designation, must not have contributed greater than 10% of Parent’s Consolidated EBITDA (calculated inclusive of all Unrestricted Subsidiaries) for the most recent Test Period then ended. The designation of any Restricted Subsidiary as an Unrestricted Subsidiary after the Closing Date shall constitute an Investment by the applicable Loan Party therein at the date of designation in an amount equal to the fair market value of the applicable Loan Party’s investment therein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- 132 -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79" w:right="259" w:bottom="1440" w:gutter="0" w:footer="0" w:header="0"/>
        </w:sectPr>
      </w:pPr>
    </w:p>
    <w:bookmarkStart w:id="328" w:name="page329"/>
    <w:bookmarkEnd w:id="328"/>
    <w:p>
      <w:pPr>
        <w:ind w:right="60"/>
        <w:spacing w:after="0" w:line="260" w:lineRule="auto"/>
        <w:rPr>
          <w:sz w:val="20"/>
          <w:szCs w:val="20"/>
          <w:color w:val="auto"/>
        </w:rPr>
      </w:pPr>
      <w:r>
        <w:rPr>
          <w:rFonts w:ascii="Arial" w:cs="Arial" w:eastAsia="Arial" w:hAnsi="Arial"/>
          <w:sz w:val="19"/>
          <w:szCs w:val="19"/>
          <w:color w:val="auto"/>
        </w:rPr>
        <w:t>(as determined in good faith by Parent). The designation of any Unrestricted Subsidiary as a Restricted Subsidiary shall constitute (i) the incurrence at the time of designation of any Investment, Indebtedness or Liens of such Subsidiary existing at such time and (ii) a return on any Investment by the applicable Loan Party in Unrestricted Subsidiaries pursuant to the preceding sentence in an amount equal to the fair market value at the date of such designation of such Loan Party’s Investment in such Subsidiary. Notwithstanding the foregoing, no Borrower nor any direct or indirect parent company of any Borrower shall be permitted to be an Unrestricted Subsidiary.</w:t>
      </w:r>
    </w:p>
    <w:p>
      <w:pPr>
        <w:spacing w:after="0" w:line="242"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0"/>
          <w:szCs w:val="20"/>
          <w:b w:val="1"/>
          <w:bCs w:val="1"/>
          <w:color w:val="auto"/>
        </w:rPr>
        <w:t>Section 6.11</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83" w:lineRule="exact"/>
        <w:rPr>
          <w:sz w:val="20"/>
          <w:szCs w:val="20"/>
          <w:color w:val="auto"/>
        </w:rPr>
      </w:pPr>
    </w:p>
    <w:p>
      <w:pPr>
        <w:ind w:right="20" w:firstLine="1297"/>
        <w:spacing w:after="0" w:line="243" w:lineRule="auto"/>
        <w:rPr>
          <w:sz w:val="20"/>
          <w:szCs w:val="20"/>
          <w:color w:val="auto"/>
        </w:rPr>
      </w:pPr>
      <w:r>
        <w:rPr>
          <w:rFonts w:ascii="Arial" w:cs="Arial" w:eastAsia="Arial" w:hAnsi="Arial"/>
          <w:sz w:val="20"/>
          <w:szCs w:val="20"/>
          <w:b w:val="1"/>
          <w:bCs w:val="1"/>
          <w:color w:val="auto"/>
        </w:rPr>
        <w:t xml:space="preserve">Section 6.12 </w:t>
      </w:r>
      <w:r>
        <w:rPr>
          <w:rFonts w:ascii="Arial" w:cs="Arial" w:eastAsia="Arial" w:hAnsi="Arial"/>
          <w:sz w:val="20"/>
          <w:szCs w:val="20"/>
          <w:u w:val="single" w:color="auto"/>
          <w:color w:val="auto"/>
        </w:rPr>
        <w:t>Compliance with Environmental Laws</w:t>
      </w:r>
      <w:r>
        <w:rPr>
          <w:rFonts w:ascii="Arial" w:cs="Arial" w:eastAsia="Arial" w:hAnsi="Arial"/>
          <w:sz w:val="20"/>
          <w:szCs w:val="20"/>
          <w:color w:val="auto"/>
        </w:rPr>
        <w:t>. Each of the Loan Parties and Restricted Subsidiaries will comply,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use commercially reasonable efforts to cause all lessees and other Persons occupying real property of any Loan Party to comply, with all Environmental Laws and Environmental Permits applicable to its operations, real property and facilities; obtain and renew all material Environmental Permits applicable to its operations, real property and facilities; and conduct all investigations, response and other corrective actions to address the Release or threat of Release of Hazardous Materials to the extent required by, and in accordance with, Environmental Laws, except in each case for any such failure which would not be reasonably expected to have a Material Adverse Effect;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Loan Party or Restricted Subsidiary shall be required to undertake any such action to the extent that its obligation to do so is being contested in good faith and by proper proceedings and appropriate reserves are being maintained with respect to such circumstances in accordance with GAAP.</w:t>
      </w:r>
    </w:p>
    <w:p>
      <w:pPr>
        <w:spacing w:after="0" w:line="254" w:lineRule="exact"/>
        <w:rPr>
          <w:sz w:val="20"/>
          <w:szCs w:val="20"/>
          <w:color w:val="auto"/>
        </w:rPr>
      </w:pPr>
    </w:p>
    <w:p>
      <w:pPr>
        <w:jc w:val="both"/>
        <w:ind w:right="180" w:firstLine="1297"/>
        <w:spacing w:after="0" w:line="253" w:lineRule="auto"/>
        <w:rPr>
          <w:sz w:val="20"/>
          <w:szCs w:val="20"/>
          <w:color w:val="auto"/>
        </w:rPr>
      </w:pPr>
      <w:r>
        <w:rPr>
          <w:rFonts w:ascii="Arial" w:cs="Arial" w:eastAsia="Arial" w:hAnsi="Arial"/>
          <w:sz w:val="20"/>
          <w:szCs w:val="20"/>
          <w:b w:val="1"/>
          <w:bCs w:val="1"/>
          <w:color w:val="auto"/>
        </w:rPr>
        <w:t xml:space="preserve">Section 6.13 </w:t>
      </w:r>
      <w:r>
        <w:rPr>
          <w:rFonts w:ascii="Arial" w:cs="Arial" w:eastAsia="Arial" w:hAnsi="Arial"/>
          <w:sz w:val="20"/>
          <w:szCs w:val="20"/>
          <w:u w:val="single" w:color="auto"/>
          <w:color w:val="auto"/>
        </w:rPr>
        <w:t>Post-Closing Collateral Matters</w:t>
      </w:r>
      <w:r>
        <w:rPr>
          <w:rFonts w:ascii="Arial" w:cs="Arial" w:eastAsia="Arial" w:hAnsi="Arial"/>
          <w:sz w:val="20"/>
          <w:szCs w:val="20"/>
          <w:color w:val="auto"/>
        </w:rPr>
        <w:t>. The Loan Parties shall execute and deliver the documents and complete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tasks set forth on </w:t>
      </w:r>
      <w:r>
        <w:rPr>
          <w:rFonts w:ascii="Arial" w:cs="Arial" w:eastAsia="Arial" w:hAnsi="Arial"/>
          <w:sz w:val="20"/>
          <w:szCs w:val="20"/>
          <w:u w:val="single" w:color="auto"/>
          <w:color w:val="auto"/>
        </w:rPr>
        <w:t>Schedule 6.13</w:t>
      </w:r>
      <w:r>
        <w:rPr>
          <w:rFonts w:ascii="Arial" w:cs="Arial" w:eastAsia="Arial" w:hAnsi="Arial"/>
          <w:sz w:val="20"/>
          <w:szCs w:val="20"/>
          <w:color w:val="auto"/>
        </w:rPr>
        <w:t>, in each case within the time limits specified on such schedule subject to the extension by the Administrative Agent in its sole discretion.</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VII.</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NEGATIVE COVENANTS</w:t>
      </w:r>
    </w:p>
    <w:p>
      <w:pPr>
        <w:spacing w:after="0" w:line="235" w:lineRule="exact"/>
        <w:rPr>
          <w:sz w:val="20"/>
          <w:szCs w:val="20"/>
          <w:color w:val="auto"/>
        </w:rPr>
      </w:pPr>
    </w:p>
    <w:p>
      <w:pPr>
        <w:ind w:right="20" w:firstLine="1297"/>
        <w:spacing w:after="0" w:line="250" w:lineRule="auto"/>
        <w:rPr>
          <w:sz w:val="20"/>
          <w:szCs w:val="20"/>
          <w:color w:val="auto"/>
        </w:rPr>
      </w:pPr>
      <w:r>
        <w:rPr>
          <w:rFonts w:ascii="Arial" w:cs="Arial" w:eastAsia="Arial" w:hAnsi="Arial"/>
          <w:sz w:val="20"/>
          <w:szCs w:val="20"/>
          <w:color w:val="auto"/>
        </w:rPr>
        <w:t>Until the Commitments have expired or terminated and the principal of and interest on each Loan and all fees payable hereunder have been paid in full and all Letters of Credit have expired, terminated or been Cash Collateralized and all L/C Disbursements shall have been reimbursed, Parent and each Borrower covenant and agree with the Lenders that:</w:t>
      </w:r>
    </w:p>
    <w:p>
      <w:pPr>
        <w:spacing w:after="0" w:line="288" w:lineRule="exact"/>
        <w:rPr>
          <w:sz w:val="20"/>
          <w:szCs w:val="20"/>
          <w:color w:val="auto"/>
        </w:rPr>
      </w:pPr>
    </w:p>
    <w:p>
      <w:pPr>
        <w:ind w:right="3760" w:firstLine="1297"/>
        <w:spacing w:after="0" w:line="323" w:lineRule="auto"/>
        <w:rPr>
          <w:sz w:val="20"/>
          <w:szCs w:val="20"/>
          <w:color w:val="auto"/>
        </w:rPr>
      </w:pPr>
      <w:r>
        <w:rPr>
          <w:rFonts w:ascii="Arial" w:cs="Arial" w:eastAsia="Arial" w:hAnsi="Arial"/>
          <w:sz w:val="18"/>
          <w:szCs w:val="18"/>
          <w:b w:val="1"/>
          <w:bCs w:val="1"/>
          <w:color w:val="auto"/>
        </w:rPr>
        <w:t xml:space="preserve">Section 7.01 </w:t>
      </w:r>
      <w:r>
        <w:rPr>
          <w:rFonts w:ascii="Arial" w:cs="Arial" w:eastAsia="Arial" w:hAnsi="Arial"/>
          <w:sz w:val="18"/>
          <w:szCs w:val="18"/>
          <w:u w:val="single" w:color="auto"/>
          <w:color w:val="auto"/>
        </w:rPr>
        <w:t>Indebtedness</w:t>
      </w:r>
      <w:r>
        <w:rPr>
          <w:rFonts w:ascii="Arial" w:cs="Arial" w:eastAsia="Arial" w:hAnsi="Arial"/>
          <w:sz w:val="18"/>
          <w:szCs w:val="18"/>
          <w:color w:val="auto"/>
        </w:rPr>
        <w:t>. Parent will not, and will not permit any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to, create, incur, assume or permit to exist any Indebtedness, except:</w:t>
      </w:r>
    </w:p>
    <w:p>
      <w:pPr>
        <w:spacing w:after="0" w:line="97" w:lineRule="exact"/>
        <w:rPr>
          <w:sz w:val="20"/>
          <w:szCs w:val="20"/>
          <w:color w:val="auto"/>
        </w:rPr>
      </w:pPr>
    </w:p>
    <w:p>
      <w:pPr>
        <w:ind w:left="2180" w:hanging="875"/>
        <w:spacing w:after="0"/>
        <w:tabs>
          <w:tab w:leader="none" w:pos="2180" w:val="left"/>
        </w:tabs>
        <w:numPr>
          <w:ilvl w:val="0"/>
          <w:numId w:val="288"/>
        </w:numPr>
        <w:rPr>
          <w:rFonts w:ascii="Arial" w:cs="Arial" w:eastAsia="Arial" w:hAnsi="Arial"/>
          <w:sz w:val="20"/>
          <w:szCs w:val="20"/>
          <w:color w:val="auto"/>
        </w:rPr>
      </w:pPr>
      <w:r>
        <w:rPr>
          <w:rFonts w:ascii="Arial" w:cs="Arial" w:eastAsia="Arial" w:hAnsi="Arial"/>
          <w:sz w:val="20"/>
          <w:szCs w:val="20"/>
          <w:color w:val="auto"/>
        </w:rPr>
        <w:t>the Finance Obligations;</w:t>
      </w:r>
    </w:p>
    <w:p>
      <w:pPr>
        <w:spacing w:after="0" w:line="202" w:lineRule="exact"/>
        <w:rPr>
          <w:rFonts w:ascii="Arial" w:cs="Arial" w:eastAsia="Arial" w:hAnsi="Arial"/>
          <w:sz w:val="20"/>
          <w:szCs w:val="20"/>
          <w:color w:val="auto"/>
        </w:rPr>
      </w:pPr>
    </w:p>
    <w:p>
      <w:pPr>
        <w:ind w:left="660" w:right="40" w:firstLine="645"/>
        <w:spacing w:after="0" w:line="289" w:lineRule="auto"/>
        <w:tabs>
          <w:tab w:leader="none" w:pos="2187" w:val="left"/>
        </w:tabs>
        <w:numPr>
          <w:ilvl w:val="0"/>
          <w:numId w:val="288"/>
        </w:numPr>
        <w:rPr>
          <w:rFonts w:ascii="Arial" w:cs="Arial" w:eastAsia="Arial" w:hAnsi="Arial"/>
          <w:sz w:val="20"/>
          <w:szCs w:val="20"/>
          <w:color w:val="auto"/>
        </w:rPr>
      </w:pPr>
      <w:r>
        <w:rPr>
          <w:rFonts w:ascii="Arial" w:cs="Arial" w:eastAsia="Arial" w:hAnsi="Arial"/>
          <w:sz w:val="20"/>
          <w:szCs w:val="20"/>
          <w:color w:val="auto"/>
        </w:rPr>
        <w:t xml:space="preserve">Indebtedness existing on the </w:t>
      </w:r>
      <w:r>
        <w:rPr>
          <w:rFonts w:ascii="Arial" w:cs="Arial" w:eastAsia="Arial" w:hAnsi="Arial"/>
          <w:sz w:val="20"/>
          <w:szCs w:val="20"/>
          <w:color w:val="FF0000"/>
          <w:strike w:val="1"/>
        </w:rPr>
        <w:t>date hereof</w:t>
      </w:r>
      <w:r>
        <w:rPr>
          <w:rFonts w:ascii="Arial" w:cs="Arial" w:eastAsia="Arial" w:hAnsi="Arial"/>
          <w:sz w:val="20"/>
          <w:szCs w:val="20"/>
          <w:u w:val="single" w:color="auto"/>
          <w:color w:val="0000FF"/>
        </w:rPr>
        <w:t>Closing Date</w:t>
      </w:r>
      <w:r>
        <w:rPr>
          <w:rFonts w:ascii="Arial" w:cs="Arial" w:eastAsia="Arial" w:hAnsi="Arial"/>
          <w:sz w:val="20"/>
          <w:szCs w:val="20"/>
          <w:color w:val="auto"/>
        </w:rPr>
        <w:t xml:space="preserve"> and set forth in </w:t>
      </w:r>
      <w:r>
        <w:rPr>
          <w:rFonts w:ascii="Arial" w:cs="Arial" w:eastAsia="Arial" w:hAnsi="Arial"/>
          <w:sz w:val="20"/>
          <w:szCs w:val="20"/>
          <w:u w:val="single" w:color="auto"/>
          <w:color w:val="auto"/>
        </w:rPr>
        <w:t>Schedule 7.01</w:t>
      </w:r>
      <w:r>
        <w:rPr>
          <w:rFonts w:ascii="Arial" w:cs="Arial" w:eastAsia="Arial" w:hAnsi="Arial"/>
          <w:sz w:val="20"/>
          <w:szCs w:val="20"/>
          <w:color w:val="auto"/>
        </w:rPr>
        <w:t xml:space="preserve"> and any Permitted Refinancing Indebtedness in respect thereof;</w:t>
      </w:r>
    </w:p>
    <w:p>
      <w:pPr>
        <w:spacing w:after="0" w:line="134" w:lineRule="exact"/>
        <w:rPr>
          <w:rFonts w:ascii="Arial" w:cs="Arial" w:eastAsia="Arial" w:hAnsi="Arial"/>
          <w:sz w:val="20"/>
          <w:szCs w:val="20"/>
          <w:color w:val="auto"/>
        </w:rPr>
      </w:pPr>
    </w:p>
    <w:p>
      <w:pPr>
        <w:ind w:left="660" w:firstLine="645"/>
        <w:spacing w:after="0" w:line="278" w:lineRule="auto"/>
        <w:tabs>
          <w:tab w:leader="none" w:pos="2176" w:val="left"/>
        </w:tabs>
        <w:numPr>
          <w:ilvl w:val="0"/>
          <w:numId w:val="288"/>
        </w:numPr>
        <w:rPr>
          <w:rFonts w:ascii="Arial" w:cs="Arial" w:eastAsia="Arial" w:hAnsi="Arial"/>
          <w:sz w:val="20"/>
          <w:szCs w:val="20"/>
          <w:color w:val="auto"/>
        </w:rPr>
      </w:pPr>
      <w:r>
        <w:rPr>
          <w:rFonts w:ascii="Arial" w:cs="Arial" w:eastAsia="Arial" w:hAnsi="Arial"/>
          <w:sz w:val="20"/>
          <w:szCs w:val="20"/>
          <w:color w:val="auto"/>
        </w:rPr>
        <w:t xml:space="preserve">Indebtedness of Parent to any Subsidiary and of any Restricted Subsidiary to Parent or any other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Indebtedness of any Restricted Subsidiary that is not a Loan Party to any Loan Party shall be subject to, and shall comply with, clause (ii) of the proviso set forth in </w:t>
      </w:r>
      <w:r>
        <w:rPr>
          <w:rFonts w:ascii="Arial" w:cs="Arial" w:eastAsia="Arial" w:hAnsi="Arial"/>
          <w:sz w:val="20"/>
          <w:szCs w:val="20"/>
          <w:u w:val="single" w:color="auto"/>
          <w:color w:val="auto"/>
        </w:rPr>
        <w:t>Section 7.04(d)</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391" w:lineRule="exact"/>
        <w:rPr>
          <w:rFonts w:ascii="Arial" w:cs="Arial" w:eastAsia="Arial" w:hAnsi="Arial"/>
          <w:sz w:val="20"/>
          <w:szCs w:val="20"/>
          <w:color w:val="auto"/>
        </w:rPr>
      </w:pPr>
    </w:p>
    <w:p>
      <w:pPr>
        <w:ind w:left="5560" w:hanging="110"/>
        <w:spacing w:after="0"/>
        <w:tabs>
          <w:tab w:leader="none" w:pos="5560" w:val="left"/>
        </w:tabs>
        <w:numPr>
          <w:ilvl w:val="1"/>
          <w:numId w:val="288"/>
        </w:numPr>
        <w:rPr>
          <w:rFonts w:ascii="Arial" w:cs="Arial" w:eastAsia="Arial" w:hAnsi="Arial"/>
          <w:sz w:val="20"/>
          <w:szCs w:val="20"/>
          <w:color w:val="auto"/>
        </w:rPr>
      </w:pPr>
      <w:r>
        <w:rPr>
          <w:rFonts w:ascii="Arial" w:cs="Arial" w:eastAsia="Arial" w:hAnsi="Arial"/>
          <w:sz w:val="20"/>
          <w:szCs w:val="20"/>
          <w:color w:val="auto"/>
        </w:rPr>
        <w:t>133 -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66" w:right="299" w:bottom="1440" w:gutter="0" w:footer="0" w:header="0"/>
        </w:sectPr>
      </w:pPr>
    </w:p>
    <w:bookmarkStart w:id="329" w:name="page330"/>
    <w:bookmarkEnd w:id="329"/>
    <w:p>
      <w:pPr>
        <w:ind w:left="-540" w:right="160" w:firstLine="645"/>
        <w:spacing w:after="0" w:line="272" w:lineRule="auto"/>
        <w:tabs>
          <w:tab w:leader="none" w:pos="987" w:val="left"/>
        </w:tabs>
        <w:numPr>
          <w:ilvl w:val="0"/>
          <w:numId w:val="289"/>
        </w:numPr>
        <w:rPr>
          <w:rFonts w:ascii="Arial" w:cs="Arial" w:eastAsia="Arial" w:hAnsi="Arial"/>
          <w:sz w:val="20"/>
          <w:szCs w:val="20"/>
          <w:color w:val="auto"/>
        </w:rPr>
      </w:pPr>
      <w:r>
        <w:rPr>
          <w:rFonts w:ascii="Arial" w:cs="Arial" w:eastAsia="Arial" w:hAnsi="Arial"/>
          <w:sz w:val="20"/>
          <w:szCs w:val="20"/>
          <w:color w:val="auto"/>
        </w:rPr>
        <w:t xml:space="preserve">(i). Guarantees by the U.S. Borrower of the USAO Settlement Obligations and (ii) Guarantees by Parent or any Restricted Subsidiary of Indebtedness or other obligations of Parent or any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clause (ii), the aggregate amount of Indebtedness and other payment obligations (other than in respect of any overdrafts and related liabilities arising in the ordinary course of business from treasury, depository and cash management services or in connection with any automated clearing-house transfer of funds) of Subsidiaries that are not Loan Parties that is Guaranteed by any Loan Party shall be permitted under </w:t>
      </w:r>
      <w:r>
        <w:rPr>
          <w:rFonts w:ascii="Arial" w:cs="Arial" w:eastAsia="Arial" w:hAnsi="Arial"/>
          <w:sz w:val="20"/>
          <w:szCs w:val="20"/>
          <w:u w:val="single" w:color="auto"/>
          <w:color w:val="auto"/>
        </w:rPr>
        <w:t>Section 7.04(d), (u)</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(w)</w:t>
      </w:r>
      <w:r>
        <w:rPr>
          <w:rFonts w:ascii="Arial" w:cs="Arial" w:eastAsia="Arial" w:hAnsi="Arial"/>
          <w:sz w:val="20"/>
          <w:szCs w:val="20"/>
          <w:color w:val="auto"/>
        </w:rPr>
        <w:t>;</w:t>
      </w:r>
    </w:p>
    <w:p>
      <w:pPr>
        <w:spacing w:after="0" w:line="151" w:lineRule="exact"/>
        <w:rPr>
          <w:rFonts w:ascii="Arial" w:cs="Arial" w:eastAsia="Arial" w:hAnsi="Arial"/>
          <w:sz w:val="20"/>
          <w:szCs w:val="20"/>
          <w:color w:val="auto"/>
        </w:rPr>
      </w:pPr>
    </w:p>
    <w:p>
      <w:pPr>
        <w:ind w:left="-540" w:right="40" w:firstLine="645"/>
        <w:spacing w:after="0" w:line="286" w:lineRule="auto"/>
        <w:tabs>
          <w:tab w:leader="none" w:pos="976" w:val="left"/>
        </w:tabs>
        <w:numPr>
          <w:ilvl w:val="0"/>
          <w:numId w:val="289"/>
        </w:numPr>
        <w:rPr>
          <w:rFonts w:ascii="Arial" w:cs="Arial" w:eastAsia="Arial" w:hAnsi="Arial"/>
          <w:sz w:val="19"/>
          <w:szCs w:val="19"/>
          <w:color w:val="auto"/>
        </w:rPr>
      </w:pPr>
      <w:r>
        <w:rPr>
          <w:rFonts w:ascii="Arial" w:cs="Arial" w:eastAsia="Arial" w:hAnsi="Arial"/>
          <w:sz w:val="19"/>
          <w:szCs w:val="19"/>
          <w:color w:val="auto"/>
        </w:rPr>
        <w:t xml:space="preserve">Indebtedness of Parent or any Restricted Subsidiary incurred to finance the acquisition, construction, repair or improvement of any fixed or capital assets, including Capital Lease Obligations, Synthetic Lease Obligations and any Indebtedness assumed in connection with the acquisition of any such assets or secured by a Lien on any such assets prior to the acquisition thereof, and any Permitted Refinancing Indebtedness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Indebtedness (but not any Permitted Refinancing Indebtedness in respect thereof) is incurred prior to or within 270 days after such acquisition or the completion of such construction, repair or improvement and (ii) the aggregate principal amount of Indebtedness permitted by this clause (e) shall not exceed, on a pro forma basis determined in accordance with </w:t>
      </w:r>
      <w:r>
        <w:rPr>
          <w:rFonts w:ascii="Arial" w:cs="Arial" w:eastAsia="Arial" w:hAnsi="Arial"/>
          <w:sz w:val="19"/>
          <w:szCs w:val="19"/>
          <w:u w:val="single" w:color="auto"/>
          <w:color w:val="auto"/>
        </w:rPr>
        <w:t>Section 1.03(c)</w:t>
      </w:r>
      <w:r>
        <w:rPr>
          <w:rFonts w:ascii="Arial" w:cs="Arial" w:eastAsia="Arial" w:hAnsi="Arial"/>
          <w:sz w:val="19"/>
          <w:szCs w:val="19"/>
          <w:color w:val="auto"/>
        </w:rPr>
        <w:t xml:space="preserve"> (and, if applicable, Section 1.03(e)), immediately after giving effect to the issuance or incurrence of such Indebtedness the greater of (x) $25,000,000 and (y) 10% of Consolidated EBITDA for the most recently completed Test Period, at any time outstanding;</w:t>
      </w:r>
    </w:p>
    <w:p>
      <w:pPr>
        <w:spacing w:after="0" w:line="141" w:lineRule="exact"/>
        <w:rPr>
          <w:rFonts w:ascii="Arial" w:cs="Arial" w:eastAsia="Arial" w:hAnsi="Arial"/>
          <w:sz w:val="19"/>
          <w:szCs w:val="19"/>
          <w:color w:val="auto"/>
        </w:rPr>
      </w:pPr>
    </w:p>
    <w:p>
      <w:pPr>
        <w:ind w:left="960" w:hanging="855"/>
        <w:spacing w:after="0"/>
        <w:tabs>
          <w:tab w:leader="none" w:pos="960" w:val="left"/>
        </w:tabs>
        <w:numPr>
          <w:ilvl w:val="0"/>
          <w:numId w:val="289"/>
        </w:numPr>
        <w:rPr>
          <w:rFonts w:ascii="Arial" w:cs="Arial" w:eastAsia="Arial" w:hAnsi="Arial"/>
          <w:sz w:val="19"/>
          <w:szCs w:val="19"/>
          <w:color w:val="auto"/>
        </w:rPr>
      </w:pPr>
      <w:r>
        <w:rPr>
          <w:rFonts w:ascii="Arial" w:cs="Arial" w:eastAsia="Arial" w:hAnsi="Arial"/>
          <w:sz w:val="19"/>
          <w:szCs w:val="19"/>
          <w:color w:val="auto"/>
        </w:rPr>
        <w:t>Indebtedness of Parent or any Restricted Subsidiary as an account party in respect of trade letters of credit;</w:t>
      </w:r>
    </w:p>
    <w:p>
      <w:pPr>
        <w:spacing w:after="0" w:line="213" w:lineRule="exact"/>
        <w:rPr>
          <w:rFonts w:ascii="Arial" w:cs="Arial" w:eastAsia="Arial" w:hAnsi="Arial"/>
          <w:sz w:val="19"/>
          <w:szCs w:val="19"/>
          <w:color w:val="auto"/>
        </w:rPr>
      </w:pPr>
    </w:p>
    <w:p>
      <w:pPr>
        <w:ind w:left="-540" w:right="120" w:firstLine="645"/>
        <w:spacing w:after="0" w:line="274" w:lineRule="auto"/>
        <w:tabs>
          <w:tab w:leader="none" w:pos="987" w:val="left"/>
        </w:tabs>
        <w:numPr>
          <w:ilvl w:val="0"/>
          <w:numId w:val="289"/>
        </w:numPr>
        <w:rPr>
          <w:rFonts w:ascii="Arial" w:cs="Arial" w:eastAsia="Arial" w:hAnsi="Arial"/>
          <w:sz w:val="20"/>
          <w:szCs w:val="20"/>
          <w:color w:val="auto"/>
        </w:rPr>
      </w:pPr>
      <w:r>
        <w:rPr>
          <w:rFonts w:ascii="Arial" w:cs="Arial" w:eastAsia="Arial" w:hAnsi="Arial"/>
          <w:sz w:val="20"/>
          <w:szCs w:val="20"/>
          <w:color w:val="auto"/>
        </w:rPr>
        <w:t>Indebtedness owed in respect of any services covered by Secured Cash Management Agreements and any other Indebtedness in respect of netting services, business credit card programs, overdraft protection and other treasury, depository and cash management services or incurred in connection with any automated clearing-house transfers of funds or other payment processing services;</w:t>
      </w:r>
    </w:p>
    <w:p>
      <w:pPr>
        <w:spacing w:after="0" w:line="151" w:lineRule="exact"/>
        <w:rPr>
          <w:rFonts w:ascii="Arial" w:cs="Arial" w:eastAsia="Arial" w:hAnsi="Arial"/>
          <w:sz w:val="20"/>
          <w:szCs w:val="20"/>
          <w:color w:val="auto"/>
        </w:rPr>
      </w:pPr>
    </w:p>
    <w:p>
      <w:pPr>
        <w:ind w:left="-540" w:right="20" w:firstLine="645"/>
        <w:spacing w:after="0" w:line="299" w:lineRule="auto"/>
        <w:tabs>
          <w:tab w:leader="none" w:pos="987" w:val="left"/>
        </w:tabs>
        <w:numPr>
          <w:ilvl w:val="0"/>
          <w:numId w:val="289"/>
        </w:numPr>
        <w:rPr>
          <w:rFonts w:ascii="Arial" w:cs="Arial" w:eastAsia="Arial" w:hAnsi="Arial"/>
          <w:sz w:val="19"/>
          <w:szCs w:val="19"/>
          <w:color w:val="auto"/>
        </w:rPr>
      </w:pPr>
      <w:r>
        <w:rPr>
          <w:rFonts w:ascii="Arial" w:cs="Arial" w:eastAsia="Arial" w:hAnsi="Arial"/>
          <w:sz w:val="19"/>
          <w:szCs w:val="19"/>
          <w:color w:val="auto"/>
        </w:rPr>
        <w:t>Indebtedness under bid bonds, performance bonds, surety bonds and similar obligations, in each case, incurred by Parent or any of its Restricted Subsidiaries in the ordinary course of business, including guarantees or obligations with respect to letters of credit supporting such bid bonds, performance bonds, surety bonds and similar obligations;</w:t>
      </w:r>
    </w:p>
    <w:p>
      <w:pPr>
        <w:spacing w:after="0" w:line="128" w:lineRule="exact"/>
        <w:rPr>
          <w:rFonts w:ascii="Arial" w:cs="Arial" w:eastAsia="Arial" w:hAnsi="Arial"/>
          <w:sz w:val="19"/>
          <w:szCs w:val="19"/>
          <w:color w:val="auto"/>
        </w:rPr>
      </w:pPr>
    </w:p>
    <w:p>
      <w:pPr>
        <w:ind w:left="-540" w:firstLine="645"/>
        <w:spacing w:after="0" w:line="273" w:lineRule="auto"/>
        <w:tabs>
          <w:tab w:leader="none" w:pos="943" w:val="left"/>
        </w:tabs>
        <w:numPr>
          <w:ilvl w:val="0"/>
          <w:numId w:val="289"/>
        </w:numPr>
        <w:rPr>
          <w:rFonts w:ascii="Arial" w:cs="Arial" w:eastAsia="Arial" w:hAnsi="Arial"/>
          <w:sz w:val="20"/>
          <w:szCs w:val="20"/>
          <w:color w:val="auto"/>
        </w:rPr>
      </w:pPr>
      <w:r>
        <w:rPr>
          <w:rFonts w:ascii="Arial" w:cs="Arial" w:eastAsia="Arial" w:hAnsi="Arial"/>
          <w:sz w:val="20"/>
          <w:szCs w:val="20"/>
          <w:color w:val="auto"/>
        </w:rPr>
        <w:t>Indebtedness of Parent or any Restricted Subsidiary in respect of Swap Agreements entered into (i) to hedge or mitigate risks to which Parent or any Restricted Subsidiary has actual exposure (other than those in respect of Equity Interests of Parent or any of its Restricted Subsidiaries) or (ii) in order to effectively cap, collar or exchange interest rates (from fixed to floating rates, from one floating rate to another floating rate or otherwise) with respect to any interest-bearing liability or investment of Parent or any Restricted Subsidiary;</w:t>
      </w:r>
    </w:p>
    <w:p>
      <w:pPr>
        <w:spacing w:after="0" w:line="150" w:lineRule="exact"/>
        <w:rPr>
          <w:rFonts w:ascii="Arial" w:cs="Arial" w:eastAsia="Arial" w:hAnsi="Arial"/>
          <w:sz w:val="20"/>
          <w:szCs w:val="20"/>
          <w:color w:val="auto"/>
        </w:rPr>
      </w:pPr>
    </w:p>
    <w:p>
      <w:pPr>
        <w:ind w:left="-540" w:firstLine="645"/>
        <w:spacing w:after="0" w:line="273" w:lineRule="auto"/>
        <w:tabs>
          <w:tab w:leader="none" w:pos="943" w:val="left"/>
        </w:tabs>
        <w:numPr>
          <w:ilvl w:val="0"/>
          <w:numId w:val="289"/>
        </w:numPr>
        <w:rPr>
          <w:rFonts w:ascii="Arial" w:cs="Arial" w:eastAsia="Arial" w:hAnsi="Arial"/>
          <w:sz w:val="20"/>
          <w:szCs w:val="20"/>
          <w:color w:val="auto"/>
        </w:rPr>
      </w:pPr>
      <w:r>
        <w:rPr>
          <w:rFonts w:ascii="Arial" w:cs="Arial" w:eastAsia="Arial" w:hAnsi="Arial"/>
          <w:sz w:val="20"/>
          <w:szCs w:val="20"/>
          <w:color w:val="auto"/>
        </w:rPr>
        <w:t xml:space="preserve">Indebtedness of Foreign Subsidiaries, and guarantees thereof by Foreign Subsidiaries, in respect of local lines of credit, letters of credit, bank guarantees and similar extensions of credit, in an aggregate principal amount not to exceed, on a pro forma basis in accordance with </w:t>
      </w:r>
      <w:r>
        <w:rPr>
          <w:rFonts w:ascii="Arial" w:cs="Arial" w:eastAsia="Arial" w:hAnsi="Arial"/>
          <w:sz w:val="20"/>
          <w:szCs w:val="20"/>
          <w:u w:val="single" w:color="auto"/>
          <w:color w:val="auto"/>
        </w:rPr>
        <w:t>Section 1.03(c)</w:t>
      </w:r>
      <w:r>
        <w:rPr>
          <w:rFonts w:ascii="Arial" w:cs="Arial" w:eastAsia="Arial" w:hAnsi="Arial"/>
          <w:sz w:val="20"/>
          <w:szCs w:val="20"/>
          <w:color w:val="auto"/>
        </w:rPr>
        <w:t xml:space="preserve"> (and, if applicable, Section 1.03(e)), immediately after giving effect to the issuance or incurrence of such Indebtedness the greater of (x) $25,000,000 and (y) 10% of Consolidated EBITDA for the most recently completed Test Period, at any time outstanding;</w:t>
      </w:r>
    </w:p>
    <w:p>
      <w:pPr>
        <w:spacing w:after="0" w:line="200" w:lineRule="exact"/>
        <w:rPr>
          <w:rFonts w:ascii="Arial" w:cs="Arial" w:eastAsia="Arial" w:hAnsi="Arial"/>
          <w:sz w:val="20"/>
          <w:szCs w:val="20"/>
          <w:color w:val="auto"/>
        </w:rPr>
      </w:pPr>
    </w:p>
    <w:p>
      <w:pPr>
        <w:spacing w:after="0" w:line="396" w:lineRule="exact"/>
        <w:rPr>
          <w:rFonts w:ascii="Arial" w:cs="Arial" w:eastAsia="Arial" w:hAnsi="Arial"/>
          <w:sz w:val="20"/>
          <w:szCs w:val="20"/>
          <w:color w:val="auto"/>
        </w:rPr>
      </w:pPr>
    </w:p>
    <w:p>
      <w:pPr>
        <w:ind w:left="4360" w:hanging="110"/>
        <w:spacing w:after="0"/>
        <w:tabs>
          <w:tab w:leader="none" w:pos="4360" w:val="left"/>
        </w:tabs>
        <w:numPr>
          <w:ilvl w:val="1"/>
          <w:numId w:val="289"/>
        </w:numPr>
        <w:rPr>
          <w:rFonts w:ascii="Arial" w:cs="Arial" w:eastAsia="Arial" w:hAnsi="Arial"/>
          <w:sz w:val="20"/>
          <w:szCs w:val="20"/>
          <w:color w:val="auto"/>
        </w:rPr>
      </w:pPr>
      <w:r>
        <w:rPr>
          <w:rFonts w:ascii="Arial" w:cs="Arial" w:eastAsia="Arial" w:hAnsi="Arial"/>
          <w:sz w:val="20"/>
          <w:szCs w:val="20"/>
          <w:color w:val="auto"/>
        </w:rPr>
        <w:t>134 -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48895</wp:posOffset>
            </wp:positionV>
            <wp:extent cx="72720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00"/>
          </w:cols>
          <w:pgMar w:left="1440" w:top="379" w:right="259" w:bottom="1440" w:gutter="0" w:footer="0" w:header="0"/>
        </w:sectPr>
      </w:pPr>
    </w:p>
    <w:bookmarkStart w:id="330" w:name="page331"/>
    <w:bookmarkEnd w:id="330"/>
    <w:p>
      <w:pPr>
        <w:ind w:left="-540" w:right="20" w:firstLine="645"/>
        <w:spacing w:after="0" w:line="273" w:lineRule="auto"/>
        <w:tabs>
          <w:tab w:leader="none" w:pos="987" w:val="left"/>
        </w:tabs>
        <w:numPr>
          <w:ilvl w:val="0"/>
          <w:numId w:val="290"/>
        </w:numPr>
        <w:rPr>
          <w:rFonts w:ascii="Arial" w:cs="Arial" w:eastAsia="Arial" w:hAnsi="Arial"/>
          <w:sz w:val="20"/>
          <w:szCs w:val="20"/>
          <w:color w:val="auto"/>
        </w:rPr>
      </w:pPr>
      <w:r>
        <w:rPr>
          <w:rFonts w:ascii="Arial" w:cs="Arial" w:eastAsia="Arial" w:hAnsi="Arial"/>
          <w:sz w:val="20"/>
          <w:szCs w:val="20"/>
          <w:color w:val="auto"/>
        </w:rPr>
        <w:t xml:space="preserve">Guarantees of Indebtedness of directors, officers, employees, agents and advisors of Parent or any of its Restricted Subsidiaries in respect of expenses of such Persons in connection with relocations and other ordinary course of business purposes, if the aggregate amount of Indebtedness so Guaranteed, when added to the aggregate amount of unreimbursed payments theretofore made in respect of such Guarantees and the amount of loans and advances then outstanding under </w:t>
      </w:r>
      <w:r>
        <w:rPr>
          <w:rFonts w:ascii="Arial" w:cs="Arial" w:eastAsia="Arial" w:hAnsi="Arial"/>
          <w:sz w:val="20"/>
          <w:szCs w:val="20"/>
          <w:u w:val="single" w:color="auto"/>
          <w:color w:val="auto"/>
        </w:rPr>
        <w:t>Section 7.04(t)</w:t>
      </w:r>
      <w:r>
        <w:rPr>
          <w:rFonts w:ascii="Arial" w:cs="Arial" w:eastAsia="Arial" w:hAnsi="Arial"/>
          <w:sz w:val="20"/>
          <w:szCs w:val="20"/>
          <w:color w:val="auto"/>
        </w:rPr>
        <w:t>, shall not at any time exceed $10,000,000;</w:t>
      </w:r>
    </w:p>
    <w:p>
      <w:pPr>
        <w:spacing w:after="0" w:line="150" w:lineRule="exact"/>
        <w:rPr>
          <w:rFonts w:ascii="Arial" w:cs="Arial" w:eastAsia="Arial" w:hAnsi="Arial"/>
          <w:sz w:val="20"/>
          <w:szCs w:val="20"/>
          <w:color w:val="auto"/>
        </w:rPr>
      </w:pPr>
    </w:p>
    <w:p>
      <w:pPr>
        <w:ind w:left="-540" w:right="520" w:firstLine="645"/>
        <w:spacing w:after="0" w:line="274" w:lineRule="auto"/>
        <w:tabs>
          <w:tab w:leader="none" w:pos="943" w:val="left"/>
        </w:tabs>
        <w:numPr>
          <w:ilvl w:val="0"/>
          <w:numId w:val="290"/>
        </w:numPr>
        <w:rPr>
          <w:rFonts w:ascii="Arial" w:cs="Arial" w:eastAsia="Arial" w:hAnsi="Arial"/>
          <w:sz w:val="20"/>
          <w:szCs w:val="20"/>
          <w:color w:val="auto"/>
        </w:rPr>
      </w:pPr>
      <w:r>
        <w:rPr>
          <w:rFonts w:ascii="Arial" w:cs="Arial" w:eastAsia="Arial" w:hAnsi="Arial"/>
          <w:sz w:val="20"/>
          <w:szCs w:val="20"/>
          <w:color w:val="auto"/>
        </w:rPr>
        <w:t>Indebtedness arising from agreements providing for indemnification, adjustment of purchase price or similar obligations, or from guaranties, surety bonds or performance bonds securing the performance of Parent or any of its Restricted Subsidiaries pursuant to such agreements, in connection with Permitted Acquisitions, other Investments or acquisitions permitted hereunder or permitted Dispositions;</w:t>
      </w:r>
    </w:p>
    <w:p>
      <w:pPr>
        <w:spacing w:after="0" w:line="151" w:lineRule="exact"/>
        <w:rPr>
          <w:rFonts w:ascii="Arial" w:cs="Arial" w:eastAsia="Arial" w:hAnsi="Arial"/>
          <w:sz w:val="20"/>
          <w:szCs w:val="20"/>
          <w:color w:val="auto"/>
        </w:rPr>
      </w:pPr>
    </w:p>
    <w:p>
      <w:pPr>
        <w:ind w:left="1040" w:hanging="935"/>
        <w:spacing w:after="0"/>
        <w:tabs>
          <w:tab w:leader="none" w:pos="104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Indebtedness representing installment insurance premiums owing in the ordinary course of business;</w:t>
      </w:r>
    </w:p>
    <w:p>
      <w:pPr>
        <w:spacing w:after="0" w:line="202" w:lineRule="exact"/>
        <w:rPr>
          <w:rFonts w:ascii="Arial" w:cs="Arial" w:eastAsia="Arial" w:hAnsi="Arial"/>
          <w:sz w:val="20"/>
          <w:szCs w:val="20"/>
          <w:color w:val="auto"/>
        </w:rPr>
      </w:pPr>
    </w:p>
    <w:p>
      <w:pPr>
        <w:ind w:left="-540" w:right="80" w:firstLine="645"/>
        <w:spacing w:after="0" w:line="278" w:lineRule="auto"/>
        <w:tabs>
          <w:tab w:leader="none" w:pos="987" w:val="left"/>
        </w:tabs>
        <w:numPr>
          <w:ilvl w:val="0"/>
          <w:numId w:val="290"/>
        </w:numPr>
        <w:rPr>
          <w:rFonts w:ascii="Arial" w:cs="Arial" w:eastAsia="Arial" w:hAnsi="Arial"/>
          <w:sz w:val="20"/>
          <w:szCs w:val="20"/>
          <w:color w:val="auto"/>
        </w:rPr>
      </w:pPr>
      <w:r>
        <w:rPr>
          <w:rFonts w:ascii="Arial" w:cs="Arial" w:eastAsia="Arial" w:hAnsi="Arial"/>
          <w:sz w:val="20"/>
          <w:szCs w:val="20"/>
          <w:color w:val="auto"/>
        </w:rPr>
        <w:t>Indebtedness representing deferred compensation, severance, pension, and health and welfare retirement benefits or the equivalent to current and former employees of Parent and its Restricted Subsidiaries incurred in the ordinary course of business or existing on the Closing Date;</w:t>
      </w:r>
    </w:p>
    <w:p>
      <w:pPr>
        <w:spacing w:after="0" w:line="146" w:lineRule="exact"/>
        <w:rPr>
          <w:rFonts w:ascii="Arial" w:cs="Arial" w:eastAsia="Arial" w:hAnsi="Arial"/>
          <w:sz w:val="20"/>
          <w:szCs w:val="20"/>
          <w:color w:val="auto"/>
        </w:rPr>
      </w:pPr>
    </w:p>
    <w:p>
      <w:pPr>
        <w:ind w:left="980" w:hanging="875"/>
        <w:spacing w:after="0"/>
        <w:tabs>
          <w:tab w:leader="none" w:pos="98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unsecured Indebtedness arising out of judgments not constituting an Event of Default;</w:t>
      </w:r>
    </w:p>
    <w:p>
      <w:pPr>
        <w:spacing w:after="0" w:line="202" w:lineRule="exact"/>
        <w:rPr>
          <w:rFonts w:ascii="Arial" w:cs="Arial" w:eastAsia="Arial" w:hAnsi="Arial"/>
          <w:sz w:val="20"/>
          <w:szCs w:val="20"/>
          <w:color w:val="auto"/>
        </w:rPr>
      </w:pPr>
    </w:p>
    <w:p>
      <w:pPr>
        <w:ind w:left="-540" w:firstLine="645"/>
        <w:spacing w:after="0" w:line="285" w:lineRule="auto"/>
        <w:tabs>
          <w:tab w:leader="none" w:pos="987" w:val="left"/>
        </w:tabs>
        <w:numPr>
          <w:ilvl w:val="0"/>
          <w:numId w:val="290"/>
        </w:numPr>
        <w:rPr>
          <w:rFonts w:ascii="Arial" w:cs="Arial" w:eastAsia="Arial" w:hAnsi="Arial"/>
          <w:sz w:val="19"/>
          <w:szCs w:val="19"/>
          <w:color w:val="auto"/>
        </w:rPr>
      </w:pPr>
      <w:r>
        <w:rPr>
          <w:rFonts w:ascii="Arial" w:cs="Arial" w:eastAsia="Arial" w:hAnsi="Arial"/>
          <w:sz w:val="19"/>
          <w:szCs w:val="19"/>
          <w:color w:val="auto"/>
        </w:rPr>
        <w:t xml:space="preserve">Indebtedness of any Person that becomes a Restricted Subsidiary (or of any Person not previously a Subsidiary that is merged or consolidated with or into a Restricted Subsidiary in a transaction permitted hereunder) after the </w:t>
      </w:r>
      <w:r>
        <w:rPr>
          <w:rFonts w:ascii="Arial" w:cs="Arial" w:eastAsia="Arial" w:hAnsi="Arial"/>
          <w:sz w:val="19"/>
          <w:szCs w:val="19"/>
          <w:color w:val="FF0000"/>
          <w:strike w:val="1"/>
        </w:rPr>
        <w:t>date hereof</w:t>
      </w:r>
      <w:r>
        <w:rPr>
          <w:rFonts w:ascii="Arial" w:cs="Arial" w:eastAsia="Arial" w:hAnsi="Arial"/>
          <w:sz w:val="19"/>
          <w:szCs w:val="19"/>
          <w:u w:val="single" w:color="auto"/>
          <w:color w:val="0000FF"/>
        </w:rPr>
        <w:t>Closing Date</w:t>
      </w:r>
      <w:r>
        <w:rPr>
          <w:rFonts w:ascii="Arial" w:cs="Arial" w:eastAsia="Arial" w:hAnsi="Arial"/>
          <w:sz w:val="19"/>
          <w:szCs w:val="19"/>
          <w:color w:val="auto"/>
        </w:rPr>
        <w:t xml:space="preserve">, or Indebtedness of any Person that is assumed by any Restricted Subsidiary in connection with an acquisition of assets by such Restricted Subsidiary in a Permitted Acquisition, and any refinancing, renewal, extension or replacement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Indebtedness exists at the time such Person becomes a Restricted Subsidiary (or is so merged or consolidated) or such assets are acquired and is not created in contemplation of or in connection with such Person becoming a Restricted Subsidiary (or such merger or consolidation) or such assets being acquired and (B) neither Parent nor any Restricted Subsidiary (other than such Person and its Subsidiaries or the Restricted Subsidiary with which such Person is merged or consolidated or that so assumes such Person’s Indebtedness and the Subsidiaries of such Person thereby acquired) shall Guarantee or otherwise become liable for the payment of such Indebtedness;</w:t>
      </w:r>
    </w:p>
    <w:p>
      <w:pPr>
        <w:spacing w:after="0" w:line="147" w:lineRule="exact"/>
        <w:rPr>
          <w:rFonts w:ascii="Arial" w:cs="Arial" w:eastAsia="Arial" w:hAnsi="Arial"/>
          <w:sz w:val="19"/>
          <w:szCs w:val="19"/>
          <w:color w:val="auto"/>
        </w:rPr>
      </w:pPr>
    </w:p>
    <w:p>
      <w:pPr>
        <w:ind w:left="980" w:hanging="875"/>
        <w:spacing w:after="0"/>
        <w:tabs>
          <w:tab w:leader="none" w:pos="98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Permitted Indebtedness;</w:t>
      </w:r>
    </w:p>
    <w:p>
      <w:pPr>
        <w:spacing w:after="0" w:line="202" w:lineRule="exact"/>
        <w:rPr>
          <w:rFonts w:ascii="Arial" w:cs="Arial" w:eastAsia="Arial" w:hAnsi="Arial"/>
          <w:sz w:val="20"/>
          <w:szCs w:val="20"/>
          <w:color w:val="auto"/>
        </w:rPr>
      </w:pPr>
    </w:p>
    <w:p>
      <w:pPr>
        <w:ind w:left="-540" w:right="440" w:firstLine="645"/>
        <w:spacing w:after="0" w:line="289" w:lineRule="auto"/>
        <w:tabs>
          <w:tab w:leader="none" w:pos="954" w:val="left"/>
        </w:tabs>
        <w:numPr>
          <w:ilvl w:val="0"/>
          <w:numId w:val="290"/>
        </w:numPr>
        <w:rPr>
          <w:rFonts w:ascii="Arial" w:cs="Arial" w:eastAsia="Arial" w:hAnsi="Arial"/>
          <w:sz w:val="20"/>
          <w:szCs w:val="20"/>
          <w:color w:val="auto"/>
        </w:rPr>
      </w:pPr>
      <w:r>
        <w:rPr>
          <w:rFonts w:ascii="Arial" w:cs="Arial" w:eastAsia="Arial" w:hAnsi="Arial"/>
          <w:sz w:val="20"/>
          <w:szCs w:val="20"/>
          <w:color w:val="auto"/>
        </w:rPr>
        <w:t>other Indebtedness of Parent and its Restricted Subsidiaries in an aggregate outstanding principal amount not in excess of $250,000,000;</w:t>
      </w:r>
    </w:p>
    <w:p>
      <w:pPr>
        <w:spacing w:after="0" w:line="134" w:lineRule="exact"/>
        <w:rPr>
          <w:rFonts w:ascii="Arial" w:cs="Arial" w:eastAsia="Arial" w:hAnsi="Arial"/>
          <w:sz w:val="20"/>
          <w:szCs w:val="20"/>
          <w:color w:val="auto"/>
        </w:rPr>
      </w:pPr>
    </w:p>
    <w:p>
      <w:pPr>
        <w:ind w:left="-540" w:right="20" w:firstLine="645"/>
        <w:spacing w:after="0" w:line="289" w:lineRule="auto"/>
        <w:tabs>
          <w:tab w:leader="none" w:pos="965" w:val="left"/>
        </w:tabs>
        <w:numPr>
          <w:ilvl w:val="0"/>
          <w:numId w:val="290"/>
        </w:numPr>
        <w:rPr>
          <w:rFonts w:ascii="Arial" w:cs="Arial" w:eastAsia="Arial" w:hAnsi="Arial"/>
          <w:sz w:val="20"/>
          <w:szCs w:val="20"/>
          <w:color w:val="auto"/>
        </w:rPr>
      </w:pPr>
      <w:r>
        <w:rPr>
          <w:rFonts w:ascii="Arial" w:cs="Arial" w:eastAsia="Arial" w:hAnsi="Arial"/>
          <w:sz w:val="20"/>
          <w:szCs w:val="20"/>
          <w:color w:val="auto"/>
        </w:rPr>
        <w:t>(i) Permitted External Credit Agreement Refinancing Indebtedness, and (ii) any Permitted Refinancing Indebtedness in respect thereof; and</w:t>
      </w:r>
    </w:p>
    <w:p>
      <w:pPr>
        <w:spacing w:after="0" w:line="135" w:lineRule="exact"/>
        <w:rPr>
          <w:sz w:val="20"/>
          <w:szCs w:val="20"/>
          <w:color w:val="auto"/>
        </w:rPr>
      </w:pPr>
    </w:p>
    <w:p>
      <w:pPr>
        <w:ind w:left="-540" w:right="700" w:firstLine="645"/>
        <w:spacing w:after="0" w:line="322" w:lineRule="auto"/>
        <w:tabs>
          <w:tab w:leader="none" w:pos="943"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Indebtedness in the form of an </w:t>
      </w:r>
      <w:r>
        <w:rPr>
          <w:rFonts w:ascii="Arial" w:cs="Arial" w:eastAsia="Arial" w:hAnsi="Arial"/>
          <w:sz w:val="18"/>
          <w:szCs w:val="18"/>
          <w:color w:val="FF0000"/>
          <w:strike w:val="1"/>
        </w:rPr>
        <w:t>intercompany note</w:t>
      </w:r>
      <w:r>
        <w:rPr>
          <w:rFonts w:ascii="Arial" w:cs="Arial" w:eastAsia="Arial" w:hAnsi="Arial"/>
          <w:sz w:val="18"/>
          <w:szCs w:val="18"/>
          <w:u w:val="single" w:color="auto"/>
          <w:color w:val="0000FF"/>
        </w:rPr>
        <w:t>Intercompany Note</w:t>
      </w:r>
      <w:r>
        <w:rPr>
          <w:rFonts w:ascii="Arial" w:cs="Arial" w:eastAsia="Arial" w:hAnsi="Arial"/>
          <w:sz w:val="18"/>
          <w:szCs w:val="18"/>
          <w:color w:val="auto"/>
        </w:rPr>
        <w:t xml:space="preserve"> issued in connection with a Permitted Acquisition involving a tender offer followed by a short form merger (i.e. a statutory short form merger that requires no further approvals to consummate);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short form merger is consummated within five Business Days of the</w:t>
      </w:r>
    </w:p>
    <w:p>
      <w:pPr>
        <w:spacing w:after="0" w:line="200" w:lineRule="exact"/>
        <w:rPr>
          <w:rFonts w:ascii="Arial" w:cs="Arial" w:eastAsia="Arial" w:hAnsi="Arial"/>
          <w:sz w:val="18"/>
          <w:szCs w:val="18"/>
          <w:color w:val="auto"/>
        </w:rPr>
      </w:pPr>
    </w:p>
    <w:p>
      <w:pPr>
        <w:spacing w:after="0" w:line="357" w:lineRule="exact"/>
        <w:rPr>
          <w:rFonts w:ascii="Arial" w:cs="Arial" w:eastAsia="Arial" w:hAnsi="Arial"/>
          <w:sz w:val="18"/>
          <w:szCs w:val="18"/>
          <w:color w:val="auto"/>
        </w:rPr>
      </w:pPr>
    </w:p>
    <w:p>
      <w:pPr>
        <w:ind w:left="4360" w:hanging="110"/>
        <w:spacing w:after="0"/>
        <w:tabs>
          <w:tab w:leader="none" w:pos="4360" w:val="left"/>
        </w:tabs>
        <w:numPr>
          <w:ilvl w:val="1"/>
          <w:numId w:val="291"/>
        </w:numPr>
        <w:rPr>
          <w:rFonts w:ascii="Arial" w:cs="Arial" w:eastAsia="Arial" w:hAnsi="Arial"/>
          <w:sz w:val="20"/>
          <w:szCs w:val="20"/>
          <w:color w:val="auto"/>
        </w:rPr>
      </w:pPr>
      <w:r>
        <w:rPr>
          <w:rFonts w:ascii="Arial" w:cs="Arial" w:eastAsia="Arial" w:hAnsi="Arial"/>
          <w:sz w:val="20"/>
          <w:szCs w:val="20"/>
          <w:color w:val="auto"/>
        </w:rPr>
        <w:t>135 -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48895</wp:posOffset>
            </wp:positionV>
            <wp:extent cx="72720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79" w:right="239" w:bottom="1440" w:gutter="0" w:footer="0" w:header="0"/>
        </w:sectPr>
      </w:pPr>
    </w:p>
    <w:bookmarkStart w:id="331" w:name="page332"/>
    <w:bookmarkEnd w:id="331"/>
    <w:p>
      <w:pPr>
        <w:ind w:left="660" w:right="180"/>
        <w:spacing w:after="0" w:line="260" w:lineRule="auto"/>
        <w:rPr>
          <w:sz w:val="20"/>
          <w:szCs w:val="20"/>
          <w:color w:val="auto"/>
        </w:rPr>
      </w:pPr>
      <w:r>
        <w:rPr>
          <w:rFonts w:ascii="Arial" w:cs="Arial" w:eastAsia="Arial" w:hAnsi="Arial"/>
          <w:sz w:val="20"/>
          <w:szCs w:val="20"/>
          <w:color w:val="auto"/>
        </w:rPr>
        <w:t>incurrence of such Indebtedness and (ii) not later than three Business Days after consummation of the related short form merger, such Indebtedness (x) is extinguished or retired or (y) otherwise becomes a permitted Investment.</w:t>
      </w:r>
    </w:p>
    <w:p>
      <w:pPr>
        <w:spacing w:after="0" w:line="136" w:lineRule="exact"/>
        <w:rPr>
          <w:sz w:val="20"/>
          <w:szCs w:val="20"/>
          <w:color w:val="auto"/>
        </w:rPr>
      </w:pPr>
    </w:p>
    <w:p>
      <w:pPr>
        <w:ind w:right="120" w:firstLine="1297"/>
        <w:spacing w:after="0" w:line="246" w:lineRule="auto"/>
        <w:rPr>
          <w:sz w:val="20"/>
          <w:szCs w:val="20"/>
          <w:color w:val="auto"/>
        </w:rPr>
      </w:pPr>
      <w:r>
        <w:rPr>
          <w:rFonts w:ascii="Arial" w:cs="Arial" w:eastAsia="Arial" w:hAnsi="Arial"/>
          <w:sz w:val="20"/>
          <w:szCs w:val="20"/>
          <w:color w:val="auto"/>
        </w:rPr>
        <w:t xml:space="preserve">The accrual of interest, the accretion of accreted value and the payment of interest in the form of additional Indebtedness shall not be deemed to be an incurrence of Indebtedness for purposes of this </w:t>
      </w:r>
      <w:r>
        <w:rPr>
          <w:rFonts w:ascii="Arial" w:cs="Arial" w:eastAsia="Arial" w:hAnsi="Arial"/>
          <w:sz w:val="20"/>
          <w:szCs w:val="20"/>
          <w:u w:val="single" w:color="auto"/>
          <w:color w:val="auto"/>
        </w:rPr>
        <w:t>Section 7.01</w:t>
      </w:r>
      <w:r>
        <w:rPr>
          <w:rFonts w:ascii="Arial" w:cs="Arial" w:eastAsia="Arial" w:hAnsi="Arial"/>
          <w:sz w:val="20"/>
          <w:szCs w:val="20"/>
          <w:color w:val="auto"/>
        </w:rPr>
        <w:t>. The principal amount of any non-interest bearing Indebtedness or other discount security constituting Indebtedness at any date shall be the principal amount thereof that would be shown on a balance sheet of Parent dated such date prepared in accordance with GAAP.</w:t>
      </w:r>
    </w:p>
    <w:p>
      <w:pPr>
        <w:spacing w:after="0" w:line="294" w:lineRule="exact"/>
        <w:rPr>
          <w:sz w:val="20"/>
          <w:szCs w:val="20"/>
          <w:color w:val="auto"/>
        </w:rPr>
      </w:pPr>
    </w:p>
    <w:p>
      <w:pPr>
        <w:ind w:right="140" w:firstLine="1297"/>
        <w:spacing w:after="0" w:line="253" w:lineRule="auto"/>
        <w:rPr>
          <w:sz w:val="20"/>
          <w:szCs w:val="20"/>
          <w:color w:val="auto"/>
        </w:rPr>
      </w:pPr>
      <w:r>
        <w:rPr>
          <w:rFonts w:ascii="Arial" w:cs="Arial" w:eastAsia="Arial" w:hAnsi="Arial"/>
          <w:sz w:val="20"/>
          <w:szCs w:val="20"/>
          <w:b w:val="1"/>
          <w:bCs w:val="1"/>
          <w:color w:val="auto"/>
        </w:rPr>
        <w:t xml:space="preserve">Section 7.02 </w:t>
      </w:r>
      <w:r>
        <w:rPr>
          <w:rFonts w:ascii="Arial" w:cs="Arial" w:eastAsia="Arial" w:hAnsi="Arial"/>
          <w:sz w:val="20"/>
          <w:szCs w:val="20"/>
          <w:u w:val="single" w:color="auto"/>
          <w:color w:val="auto"/>
        </w:rPr>
        <w:t>Liens</w:t>
      </w:r>
      <w:r>
        <w:rPr>
          <w:rFonts w:ascii="Arial" w:cs="Arial" w:eastAsia="Arial" w:hAnsi="Arial"/>
          <w:sz w:val="20"/>
          <w:szCs w:val="20"/>
          <w:color w:val="auto"/>
        </w:rPr>
        <w:t>. Parent will not, and will not permit any Restricted Subsidiary to, create, incur, assume or permit to exist</w:t>
      </w:r>
      <w:r>
        <w:rPr>
          <w:rFonts w:ascii="Arial" w:cs="Arial" w:eastAsia="Arial" w:hAnsi="Arial"/>
          <w:sz w:val="20"/>
          <w:szCs w:val="20"/>
          <w:b w:val="1"/>
          <w:bCs w:val="1"/>
          <w:color w:val="auto"/>
        </w:rPr>
        <w:t xml:space="preserve"> </w:t>
      </w:r>
      <w:r>
        <w:rPr>
          <w:rFonts w:ascii="Arial" w:cs="Arial" w:eastAsia="Arial" w:hAnsi="Arial"/>
          <w:sz w:val="20"/>
          <w:szCs w:val="20"/>
          <w:color w:val="auto"/>
        </w:rPr>
        <w:t>any Lien on any property or asset now owned or hereafter acquired by it (other than Unrestricted Margin Stock), except the following (collectively, “</w:t>
      </w:r>
      <w:r>
        <w:rPr>
          <w:rFonts w:ascii="Arial" w:cs="Arial" w:eastAsia="Arial" w:hAnsi="Arial"/>
          <w:sz w:val="20"/>
          <w:szCs w:val="20"/>
          <w:u w:val="single" w:color="auto"/>
          <w:color w:val="auto"/>
        </w:rPr>
        <w:t>Permitted Liens</w:t>
      </w:r>
      <w:r>
        <w:rPr>
          <w:rFonts w:ascii="Arial" w:cs="Arial" w:eastAsia="Arial" w:hAnsi="Arial"/>
          <w:sz w:val="20"/>
          <w:szCs w:val="20"/>
          <w:color w:val="auto"/>
        </w:rPr>
        <w:t>”):</w:t>
      </w:r>
    </w:p>
    <w:p>
      <w:pPr>
        <w:spacing w:after="0" w:line="157" w:lineRule="exact"/>
        <w:rPr>
          <w:sz w:val="20"/>
          <w:szCs w:val="20"/>
          <w:color w:val="auto"/>
        </w:rPr>
      </w:pPr>
    </w:p>
    <w:p>
      <w:pPr>
        <w:ind w:left="2180" w:hanging="875"/>
        <w:spacing w:after="0"/>
        <w:tabs>
          <w:tab w:leader="none" w:pos="2180" w:val="left"/>
        </w:tabs>
        <w:numPr>
          <w:ilvl w:val="0"/>
          <w:numId w:val="292"/>
        </w:numPr>
        <w:rPr>
          <w:rFonts w:ascii="Arial" w:cs="Arial" w:eastAsia="Arial" w:hAnsi="Arial"/>
          <w:sz w:val="20"/>
          <w:szCs w:val="20"/>
          <w:color w:val="auto"/>
        </w:rPr>
      </w:pPr>
      <w:r>
        <w:rPr>
          <w:rFonts w:ascii="Arial" w:cs="Arial" w:eastAsia="Arial" w:hAnsi="Arial"/>
          <w:sz w:val="20"/>
          <w:szCs w:val="20"/>
          <w:color w:val="auto"/>
        </w:rPr>
        <w:t>Liens created pursuant to any Loan Document;</w:t>
      </w:r>
    </w:p>
    <w:p>
      <w:pPr>
        <w:spacing w:after="0" w:line="202" w:lineRule="exact"/>
        <w:rPr>
          <w:rFonts w:ascii="Arial" w:cs="Arial" w:eastAsia="Arial" w:hAnsi="Arial"/>
          <w:sz w:val="20"/>
          <w:szCs w:val="20"/>
          <w:color w:val="auto"/>
        </w:rPr>
      </w:pPr>
    </w:p>
    <w:p>
      <w:pPr>
        <w:ind w:left="2180" w:hanging="875"/>
        <w:spacing w:after="0"/>
        <w:tabs>
          <w:tab w:leader="none" w:pos="2180" w:val="left"/>
        </w:tabs>
        <w:numPr>
          <w:ilvl w:val="0"/>
          <w:numId w:val="292"/>
        </w:numPr>
        <w:rPr>
          <w:rFonts w:ascii="Arial" w:cs="Arial" w:eastAsia="Arial" w:hAnsi="Arial"/>
          <w:sz w:val="20"/>
          <w:szCs w:val="20"/>
          <w:color w:val="auto"/>
        </w:rPr>
      </w:pPr>
      <w:r>
        <w:rPr>
          <w:rFonts w:ascii="Arial" w:cs="Arial" w:eastAsia="Arial" w:hAnsi="Arial"/>
          <w:sz w:val="20"/>
          <w:szCs w:val="20"/>
          <w:color w:val="auto"/>
        </w:rPr>
        <w:t>Permitted Encumbrances;</w:t>
      </w:r>
    </w:p>
    <w:p>
      <w:pPr>
        <w:spacing w:after="0" w:line="202" w:lineRule="exact"/>
        <w:rPr>
          <w:rFonts w:ascii="Arial" w:cs="Arial" w:eastAsia="Arial" w:hAnsi="Arial"/>
          <w:sz w:val="20"/>
          <w:szCs w:val="20"/>
          <w:color w:val="auto"/>
        </w:rPr>
      </w:pPr>
    </w:p>
    <w:p>
      <w:pPr>
        <w:ind w:left="660" w:firstLine="645"/>
        <w:spacing w:after="0" w:line="272" w:lineRule="auto"/>
        <w:tabs>
          <w:tab w:leader="none" w:pos="2176" w:val="left"/>
        </w:tabs>
        <w:numPr>
          <w:ilvl w:val="0"/>
          <w:numId w:val="292"/>
        </w:numPr>
        <w:rPr>
          <w:rFonts w:ascii="Arial" w:cs="Arial" w:eastAsia="Arial" w:hAnsi="Arial"/>
          <w:sz w:val="20"/>
          <w:szCs w:val="20"/>
          <w:color w:val="auto"/>
        </w:rPr>
      </w:pPr>
      <w:r>
        <w:rPr>
          <w:rFonts w:ascii="Arial" w:cs="Arial" w:eastAsia="Arial" w:hAnsi="Arial"/>
          <w:sz w:val="20"/>
          <w:szCs w:val="20"/>
          <w:color w:val="auto"/>
        </w:rPr>
        <w:t xml:space="preserve">any Lien on any property or asset of Parent or any Restricted Subsidiary existing on the </w:t>
      </w:r>
      <w:r>
        <w:rPr>
          <w:rFonts w:ascii="Arial" w:cs="Arial" w:eastAsia="Arial" w:hAnsi="Arial"/>
          <w:sz w:val="20"/>
          <w:szCs w:val="20"/>
          <w:color w:val="FF0000"/>
          <w:strike w:val="1"/>
        </w:rPr>
        <w:t>date hereof</w:t>
      </w:r>
      <w:r>
        <w:rPr>
          <w:rFonts w:ascii="Arial" w:cs="Arial" w:eastAsia="Arial" w:hAnsi="Arial"/>
          <w:sz w:val="20"/>
          <w:szCs w:val="20"/>
          <w:u w:val="single" w:color="auto"/>
          <w:color w:val="0000FF"/>
        </w:rPr>
        <w:t>Closing Date</w:t>
      </w:r>
      <w:r>
        <w:rPr>
          <w:rFonts w:ascii="Arial" w:cs="Arial" w:eastAsia="Arial" w:hAnsi="Arial"/>
          <w:sz w:val="20"/>
          <w:szCs w:val="20"/>
          <w:color w:val="auto"/>
        </w:rPr>
        <w:t xml:space="preserve"> and set forth in </w:t>
      </w:r>
      <w:r>
        <w:rPr>
          <w:rFonts w:ascii="Arial" w:cs="Arial" w:eastAsia="Arial" w:hAnsi="Arial"/>
          <w:sz w:val="20"/>
          <w:szCs w:val="20"/>
          <w:u w:val="single" w:color="auto"/>
          <w:color w:val="auto"/>
        </w:rPr>
        <w:t>Schedule 7.02</w:t>
      </w:r>
      <w:r>
        <w:rPr>
          <w:rFonts w:ascii="Arial" w:cs="Arial" w:eastAsia="Arial" w:hAnsi="Arial"/>
          <w:sz w:val="20"/>
          <w:szCs w:val="20"/>
          <w:color w:val="auto"/>
        </w:rPr>
        <w:t xml:space="preserve"> and any modifications, renewals and extensions thereof and any Lien granted as a replacement or substitute therefor;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 shall not apply to any other property or asset of Parent or any Restricted Subsidiary other than improvements thereon or proceeds from the disposition of such property or asset and (ii) such Lien shall secure only those obligations which it secures on the </w:t>
      </w:r>
      <w:r>
        <w:rPr>
          <w:rFonts w:ascii="Arial" w:cs="Arial" w:eastAsia="Arial" w:hAnsi="Arial"/>
          <w:sz w:val="20"/>
          <w:szCs w:val="20"/>
          <w:color w:val="FF0000"/>
          <w:strike w:val="1"/>
        </w:rPr>
        <w:t>date hereof</w:t>
      </w:r>
      <w:r>
        <w:rPr>
          <w:rFonts w:ascii="Arial" w:cs="Arial" w:eastAsia="Arial" w:hAnsi="Arial"/>
          <w:sz w:val="20"/>
          <w:szCs w:val="20"/>
          <w:u w:val="single" w:color="auto"/>
          <w:color w:val="0000FF"/>
        </w:rPr>
        <w:t>Closing Date</w:t>
      </w:r>
      <w:r>
        <w:rPr>
          <w:rFonts w:ascii="Arial" w:cs="Arial" w:eastAsia="Arial" w:hAnsi="Arial"/>
          <w:sz w:val="20"/>
          <w:szCs w:val="20"/>
          <w:color w:val="auto"/>
        </w:rPr>
        <w:t xml:space="preserve"> and any Permitted Refinancing Indebtedness thereof (other than as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151" w:lineRule="exact"/>
        <w:rPr>
          <w:rFonts w:ascii="Arial" w:cs="Arial" w:eastAsia="Arial" w:hAnsi="Arial"/>
          <w:sz w:val="20"/>
          <w:szCs w:val="20"/>
          <w:color w:val="auto"/>
        </w:rPr>
      </w:pPr>
    </w:p>
    <w:p>
      <w:pPr>
        <w:ind w:left="660" w:right="80" w:firstLine="645"/>
        <w:spacing w:after="0" w:line="344" w:lineRule="auto"/>
        <w:tabs>
          <w:tab w:leader="none" w:pos="2187"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any Lien existing on any property or asset prior to the acquisition thereof by Parent or any Restricted Subsidiary or existing on any property or asset of any Person that becomes a Restricted Subsidiary (or of any Person not previously a Subsidiary that is merged or consolidated with or into a Subsidiary in a transaction permitted hereunder) after the </w:t>
      </w:r>
      <w:r>
        <w:rPr>
          <w:rFonts w:ascii="Arial" w:cs="Arial" w:eastAsia="Arial" w:hAnsi="Arial"/>
          <w:sz w:val="16"/>
          <w:szCs w:val="16"/>
          <w:color w:val="FF0000"/>
          <w:strike w:val="1"/>
        </w:rPr>
        <w:t>date hereof</w:t>
      </w:r>
      <w:r>
        <w:rPr>
          <w:rFonts w:ascii="Arial" w:cs="Arial" w:eastAsia="Arial" w:hAnsi="Arial"/>
          <w:sz w:val="16"/>
          <w:szCs w:val="16"/>
          <w:u w:val="single" w:color="auto"/>
          <w:color w:val="0000FF"/>
        </w:rPr>
        <w:t>Closing Date</w:t>
      </w:r>
      <w:r>
        <w:rPr>
          <w:rFonts w:ascii="Arial" w:cs="Arial" w:eastAsia="Arial" w:hAnsi="Arial"/>
          <w:sz w:val="16"/>
          <w:szCs w:val="16"/>
          <w:color w:val="auto"/>
        </w:rPr>
        <w:t xml:space="preserve"> prior to the time such Person becomes a Restricted Subsidiary (or such merger or consolidation occurs) and any modifications, replacements, renewals or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is not created in contemplation of or in connection with such acquisition or such Person becoming a Restricted Subsidiary (or such merger or consolidation), as the case may be, (ii) such Lien shall not apply to any other property or assets of any Borrower or any Restricted Subsidiary (other than, in the case of any such merger or consolidation, the assets of any Subsidiary without significant assets that was formed solely for the purpose of effecting such acquisition) and (iii) such Lien shall secure only those obligations which it secures on the date of such acquisition or the date such Person becomes a Restricted Subsidiary (or is so merged or consolidated), as the case may be, and any refinancing, extensions, renewals or replacements thereof that do not increase the outstanding principal amount thereof (other than as permitted by </w:t>
      </w:r>
      <w:r>
        <w:rPr>
          <w:rFonts w:ascii="Arial" w:cs="Arial" w:eastAsia="Arial" w:hAnsi="Arial"/>
          <w:sz w:val="16"/>
          <w:szCs w:val="16"/>
          <w:u w:val="single" w:color="auto"/>
          <w:color w:val="auto"/>
        </w:rPr>
        <w:t>Section 7.01</w:t>
      </w:r>
      <w:r>
        <w:rPr>
          <w:rFonts w:ascii="Arial" w:cs="Arial" w:eastAsia="Arial" w:hAnsi="Arial"/>
          <w:sz w:val="16"/>
          <w:szCs w:val="16"/>
          <w:color w:val="auto"/>
        </w:rPr>
        <w:t>);</w:t>
      </w:r>
    </w:p>
    <w:p>
      <w:pPr>
        <w:spacing w:after="0" w:line="361" w:lineRule="exact"/>
        <w:rPr>
          <w:rFonts w:ascii="Arial" w:cs="Arial" w:eastAsia="Arial" w:hAnsi="Arial"/>
          <w:sz w:val="16"/>
          <w:szCs w:val="16"/>
          <w:color w:val="auto"/>
        </w:rPr>
      </w:pPr>
    </w:p>
    <w:p>
      <w:pPr>
        <w:ind w:left="660" w:right="60" w:firstLine="645"/>
        <w:spacing w:after="0" w:line="273" w:lineRule="auto"/>
        <w:tabs>
          <w:tab w:leader="none" w:pos="2176" w:val="left"/>
        </w:tabs>
        <w:numPr>
          <w:ilvl w:val="0"/>
          <w:numId w:val="292"/>
        </w:numPr>
        <w:rPr>
          <w:rFonts w:ascii="Arial" w:cs="Arial" w:eastAsia="Arial" w:hAnsi="Arial"/>
          <w:sz w:val="20"/>
          <w:szCs w:val="20"/>
          <w:color w:val="auto"/>
        </w:rPr>
      </w:pPr>
      <w:r>
        <w:rPr>
          <w:rFonts w:ascii="Arial" w:cs="Arial" w:eastAsia="Arial" w:hAnsi="Arial"/>
          <w:sz w:val="20"/>
          <w:szCs w:val="20"/>
          <w:color w:val="auto"/>
        </w:rPr>
        <w:t xml:space="preserve">Liens on fixed or capital assets acquired, constructed or improved by Parent or any 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Liens secure Indebtedness permitted by clause (e) of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and obligations relating thereto not constituting Indebtedness in respect thereof and (ii) such Liens shall not apply to any other property or assets of Parent or any Restricted Subsidiary other than improvements thereon or proceeds from the disposition of such property or assets;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in the event Indebtedness under </w:t>
      </w:r>
      <w:r>
        <w:rPr>
          <w:rFonts w:ascii="Arial" w:cs="Arial" w:eastAsia="Arial" w:hAnsi="Arial"/>
          <w:sz w:val="20"/>
          <w:szCs w:val="20"/>
          <w:u w:val="single" w:color="auto"/>
          <w:color w:val="auto"/>
        </w:rPr>
        <w:t>Section 7.01(e)</w:t>
      </w:r>
      <w:r>
        <w:rPr>
          <w:rFonts w:ascii="Arial" w:cs="Arial" w:eastAsia="Arial" w:hAnsi="Arial"/>
          <w:sz w:val="20"/>
          <w:szCs w:val="20"/>
          <w:color w:val="auto"/>
        </w:rPr>
        <w:t xml:space="preserve"> is owed</w:t>
      </w:r>
    </w:p>
    <w:p>
      <w:pPr>
        <w:spacing w:after="0" w:line="200" w:lineRule="exact"/>
        <w:rPr>
          <w:rFonts w:ascii="Arial" w:cs="Arial" w:eastAsia="Arial" w:hAnsi="Arial"/>
          <w:sz w:val="20"/>
          <w:szCs w:val="20"/>
          <w:color w:val="auto"/>
        </w:rPr>
      </w:pPr>
    </w:p>
    <w:p>
      <w:pPr>
        <w:spacing w:after="0" w:line="396" w:lineRule="exact"/>
        <w:rPr>
          <w:rFonts w:ascii="Arial" w:cs="Arial" w:eastAsia="Arial" w:hAnsi="Arial"/>
          <w:sz w:val="20"/>
          <w:szCs w:val="20"/>
          <w:color w:val="auto"/>
        </w:rPr>
      </w:pPr>
    </w:p>
    <w:p>
      <w:pPr>
        <w:ind w:left="5560" w:hanging="110"/>
        <w:spacing w:after="0"/>
        <w:tabs>
          <w:tab w:leader="none" w:pos="5560" w:val="left"/>
        </w:tabs>
        <w:numPr>
          <w:ilvl w:val="1"/>
          <w:numId w:val="292"/>
        </w:numPr>
        <w:rPr>
          <w:rFonts w:ascii="Arial" w:cs="Arial" w:eastAsia="Arial" w:hAnsi="Arial"/>
          <w:sz w:val="20"/>
          <w:szCs w:val="20"/>
          <w:color w:val="auto"/>
        </w:rPr>
      </w:pPr>
      <w:r>
        <w:rPr>
          <w:rFonts w:ascii="Arial" w:cs="Arial" w:eastAsia="Arial" w:hAnsi="Arial"/>
          <w:sz w:val="20"/>
          <w:szCs w:val="20"/>
          <w:color w:val="auto"/>
        </w:rPr>
        <w:t>136 -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332" w:name="page333"/>
    <w:bookmarkEnd w:id="332"/>
    <w:p>
      <w:pPr>
        <w:ind w:right="140"/>
        <w:spacing w:after="0" w:line="250" w:lineRule="auto"/>
        <w:rPr>
          <w:sz w:val="20"/>
          <w:szCs w:val="20"/>
          <w:color w:val="auto"/>
        </w:rPr>
      </w:pPr>
      <w:r>
        <w:rPr>
          <w:rFonts w:ascii="Arial" w:cs="Arial" w:eastAsia="Arial" w:hAnsi="Arial"/>
          <w:sz w:val="20"/>
          <w:szCs w:val="20"/>
          <w:color w:val="auto"/>
        </w:rPr>
        <w:t>to any Person with respect to financing under a single credit facility of more than one purchase of any fixed or capital assets, such Liens may secure all such purchase money obligations and may apply to all such fixed or capital assets financed by such Person under such credit facility;</w:t>
      </w:r>
    </w:p>
    <w:p>
      <w:pPr>
        <w:spacing w:after="0" w:line="159" w:lineRule="exact"/>
        <w:rPr>
          <w:sz w:val="20"/>
          <w:szCs w:val="20"/>
          <w:color w:val="auto"/>
        </w:rPr>
      </w:pPr>
    </w:p>
    <w:p>
      <w:pPr>
        <w:ind w:right="60" w:firstLine="645"/>
        <w:spacing w:after="0" w:line="299" w:lineRule="auto"/>
        <w:tabs>
          <w:tab w:leader="none" w:pos="1494" w:val="left"/>
        </w:tabs>
        <w:numPr>
          <w:ilvl w:val="0"/>
          <w:numId w:val="293"/>
        </w:numPr>
        <w:rPr>
          <w:rFonts w:ascii="Arial" w:cs="Arial" w:eastAsia="Arial" w:hAnsi="Arial"/>
          <w:sz w:val="19"/>
          <w:szCs w:val="19"/>
          <w:color w:val="auto"/>
        </w:rPr>
      </w:pPr>
      <w:r>
        <w:rPr>
          <w:rFonts w:ascii="Arial" w:cs="Arial" w:eastAsia="Arial" w:hAnsi="Arial"/>
          <w:sz w:val="19"/>
          <w:szCs w:val="19"/>
          <w:color w:val="auto"/>
        </w:rPr>
        <w:t xml:space="preserve">(i) Dispositions of assets not prohibited by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and in connection therewith, customary rights and restrictions contained in agreements relating to such Dispositions pending the completion thereof, or in the case of a license, during the term thereof and (ii) any option or other agreement to Dispose any asset not prohibited by </w:t>
      </w:r>
      <w:r>
        <w:rPr>
          <w:rFonts w:ascii="Arial" w:cs="Arial" w:eastAsia="Arial" w:hAnsi="Arial"/>
          <w:sz w:val="19"/>
          <w:szCs w:val="19"/>
          <w:u w:val="single" w:color="auto"/>
          <w:color w:val="auto"/>
        </w:rPr>
        <w:t>Section 7.03</w:t>
      </w:r>
      <w:r>
        <w:rPr>
          <w:rFonts w:ascii="Arial" w:cs="Arial" w:eastAsia="Arial" w:hAnsi="Arial"/>
          <w:sz w:val="19"/>
          <w:szCs w:val="19"/>
          <w:color w:val="auto"/>
        </w:rPr>
        <w:t>;</w:t>
      </w:r>
    </w:p>
    <w:p>
      <w:pPr>
        <w:spacing w:after="0" w:line="128" w:lineRule="exact"/>
        <w:rPr>
          <w:rFonts w:ascii="Arial" w:cs="Arial" w:eastAsia="Arial" w:hAnsi="Arial"/>
          <w:sz w:val="19"/>
          <w:szCs w:val="19"/>
          <w:color w:val="auto"/>
        </w:rPr>
      </w:pPr>
    </w:p>
    <w:p>
      <w:pPr>
        <w:ind w:right="260" w:firstLine="645"/>
        <w:spacing w:after="0" w:line="274" w:lineRule="auto"/>
        <w:tabs>
          <w:tab w:leader="none" w:pos="1527" w:val="left"/>
        </w:tabs>
        <w:numPr>
          <w:ilvl w:val="0"/>
          <w:numId w:val="293"/>
        </w:numPr>
        <w:rPr>
          <w:rFonts w:ascii="Arial" w:cs="Arial" w:eastAsia="Arial" w:hAnsi="Arial"/>
          <w:sz w:val="20"/>
          <w:szCs w:val="20"/>
          <w:color w:val="auto"/>
        </w:rPr>
      </w:pPr>
      <w:r>
        <w:rPr>
          <w:rFonts w:ascii="Arial" w:cs="Arial" w:eastAsia="Arial" w:hAnsi="Arial"/>
          <w:sz w:val="20"/>
          <w:szCs w:val="20"/>
          <w:color w:val="auto"/>
        </w:rPr>
        <w:t>in the case of (A) any Subsidiary that is not a Wholly Owned Subsidiary or (B) the Equity Interests in any Person that is not a Subsidiary, any encumbrance or restriction, including any put and call arrangements, related to Equity Interests in such Subsidiary or such other Person set forth in the Organization Documents of such Subsidiary or such other Person or any related joint venture, shareholders’ or similar agreement;</w:t>
      </w:r>
    </w:p>
    <w:p>
      <w:pPr>
        <w:spacing w:after="0" w:line="151" w:lineRule="exact"/>
        <w:rPr>
          <w:rFonts w:ascii="Arial" w:cs="Arial" w:eastAsia="Arial" w:hAnsi="Arial"/>
          <w:sz w:val="20"/>
          <w:szCs w:val="20"/>
          <w:color w:val="auto"/>
        </w:rPr>
      </w:pPr>
    </w:p>
    <w:p>
      <w:pPr>
        <w:ind w:right="80" w:firstLine="645"/>
        <w:spacing w:after="0" w:line="289" w:lineRule="auto"/>
        <w:tabs>
          <w:tab w:leader="none" w:pos="1527" w:val="left"/>
        </w:tabs>
        <w:numPr>
          <w:ilvl w:val="0"/>
          <w:numId w:val="293"/>
        </w:numPr>
        <w:rPr>
          <w:rFonts w:ascii="Arial" w:cs="Arial" w:eastAsia="Arial" w:hAnsi="Arial"/>
          <w:sz w:val="20"/>
          <w:szCs w:val="20"/>
          <w:color w:val="auto"/>
        </w:rPr>
      </w:pPr>
      <w:r>
        <w:rPr>
          <w:rFonts w:ascii="Arial" w:cs="Arial" w:eastAsia="Arial" w:hAnsi="Arial"/>
          <w:sz w:val="20"/>
          <w:szCs w:val="20"/>
          <w:color w:val="auto"/>
        </w:rPr>
        <w:t>any interest or title of a lessor under any lease or sublease entered into by Parent or any Restricted Subsidiary in the ordinary course of its business and other statutory and common law landlords’ liens under leases;</w:t>
      </w:r>
    </w:p>
    <w:p>
      <w:pPr>
        <w:spacing w:after="0" w:line="134" w:lineRule="exact"/>
        <w:rPr>
          <w:rFonts w:ascii="Arial" w:cs="Arial" w:eastAsia="Arial" w:hAnsi="Arial"/>
          <w:sz w:val="20"/>
          <w:szCs w:val="20"/>
          <w:color w:val="auto"/>
        </w:rPr>
      </w:pPr>
    </w:p>
    <w:p>
      <w:pPr>
        <w:ind w:right="160" w:firstLine="645"/>
        <w:spacing w:after="0" w:line="347" w:lineRule="auto"/>
        <w:tabs>
          <w:tab w:leader="none" w:pos="1483"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any interest or title of a licensor under any license or sublicense entered into by Parent or any Restricted Subsidiary as a licensee or sublicensee (A) existing on the </w:t>
      </w:r>
      <w:r>
        <w:rPr>
          <w:rFonts w:ascii="Arial" w:cs="Arial" w:eastAsia="Arial" w:hAnsi="Arial"/>
          <w:sz w:val="18"/>
          <w:szCs w:val="18"/>
          <w:color w:val="FF0000"/>
          <w:strike w:val="1"/>
        </w:rPr>
        <w:t>date hereof</w:t>
      </w:r>
      <w:r>
        <w:rPr>
          <w:rFonts w:ascii="Arial" w:cs="Arial" w:eastAsia="Arial" w:hAnsi="Arial"/>
          <w:sz w:val="18"/>
          <w:szCs w:val="18"/>
          <w:u w:val="single" w:color="auto"/>
          <w:color w:val="0000FF"/>
        </w:rPr>
        <w:t>Closing Date</w:t>
      </w:r>
      <w:r>
        <w:rPr>
          <w:rFonts w:ascii="Arial" w:cs="Arial" w:eastAsia="Arial" w:hAnsi="Arial"/>
          <w:sz w:val="18"/>
          <w:szCs w:val="18"/>
          <w:color w:val="auto"/>
        </w:rPr>
        <w:t xml:space="preserve"> or (B) in the ordinary course of its business;</w:t>
      </w:r>
    </w:p>
    <w:p>
      <w:pPr>
        <w:spacing w:after="0" w:line="90" w:lineRule="exact"/>
        <w:rPr>
          <w:rFonts w:ascii="Arial" w:cs="Arial" w:eastAsia="Arial" w:hAnsi="Arial"/>
          <w:sz w:val="18"/>
          <w:szCs w:val="18"/>
          <w:color w:val="auto"/>
        </w:rPr>
      </w:pPr>
    </w:p>
    <w:p>
      <w:pPr>
        <w:ind w:left="1480" w:hanging="835"/>
        <w:spacing w:after="0"/>
        <w:tabs>
          <w:tab w:leader="none" w:pos="1480" w:val="left"/>
        </w:tabs>
        <w:numPr>
          <w:ilvl w:val="0"/>
          <w:numId w:val="293"/>
        </w:numPr>
        <w:rPr>
          <w:rFonts w:ascii="Arial" w:cs="Arial" w:eastAsia="Arial" w:hAnsi="Arial"/>
          <w:sz w:val="20"/>
          <w:szCs w:val="20"/>
          <w:color w:val="auto"/>
        </w:rPr>
      </w:pPr>
      <w:r>
        <w:rPr>
          <w:rFonts w:ascii="Arial" w:cs="Arial" w:eastAsia="Arial" w:hAnsi="Arial"/>
          <w:sz w:val="20"/>
          <w:szCs w:val="20"/>
          <w:color w:val="auto"/>
        </w:rPr>
        <w:t xml:space="preserve">licenses, sublicenses, leases or subleases granted to other Persons permitted under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right="160" w:firstLine="645"/>
        <w:spacing w:after="0" w:line="278" w:lineRule="auto"/>
        <w:tabs>
          <w:tab w:leader="none" w:pos="1527" w:val="left"/>
        </w:tabs>
        <w:numPr>
          <w:ilvl w:val="0"/>
          <w:numId w:val="293"/>
        </w:numPr>
        <w:rPr>
          <w:rFonts w:ascii="Arial" w:cs="Arial" w:eastAsia="Arial" w:hAnsi="Arial"/>
          <w:sz w:val="20"/>
          <w:szCs w:val="20"/>
          <w:color w:val="auto"/>
        </w:rPr>
      </w:pPr>
      <w:r>
        <w:rPr>
          <w:rFonts w:ascii="Arial" w:cs="Arial" w:eastAsia="Arial" w:hAnsi="Arial"/>
          <w:sz w:val="20"/>
          <w:szCs w:val="20"/>
          <w:color w:val="auto"/>
        </w:rPr>
        <w:t xml:space="preserve">Liens on earnest money deposits of cash or cash equivalents made, or escrow or similar arrangements entered into, in connection with any Permitted Acquisition or other Investment permitted pursuant to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or other acquisitions not prohibited hereunder;</w:t>
      </w:r>
    </w:p>
    <w:p>
      <w:pPr>
        <w:spacing w:after="0" w:line="146" w:lineRule="exact"/>
        <w:rPr>
          <w:rFonts w:ascii="Arial" w:cs="Arial" w:eastAsia="Arial" w:hAnsi="Arial"/>
          <w:sz w:val="20"/>
          <w:szCs w:val="20"/>
          <w:color w:val="auto"/>
        </w:rPr>
      </w:pPr>
    </w:p>
    <w:p>
      <w:pPr>
        <w:ind w:right="80" w:firstLine="645"/>
        <w:spacing w:after="0" w:line="289" w:lineRule="auto"/>
        <w:tabs>
          <w:tab w:leader="none" w:pos="1483" w:val="left"/>
        </w:tabs>
        <w:numPr>
          <w:ilvl w:val="0"/>
          <w:numId w:val="293"/>
        </w:numPr>
        <w:rPr>
          <w:rFonts w:ascii="Arial" w:cs="Arial" w:eastAsia="Arial" w:hAnsi="Arial"/>
          <w:sz w:val="20"/>
          <w:szCs w:val="20"/>
          <w:color w:val="auto"/>
        </w:rPr>
      </w:pPr>
      <w:r>
        <w:rPr>
          <w:rFonts w:ascii="Arial" w:cs="Arial" w:eastAsia="Arial" w:hAnsi="Arial"/>
          <w:sz w:val="20"/>
          <w:szCs w:val="20"/>
          <w:color w:val="auto"/>
        </w:rPr>
        <w:t>Liens in the nature of the right of setoff in favor of counterparties to contractual agreements with the Loan Parties in the ordinary course of business;</w:t>
      </w:r>
    </w:p>
    <w:p>
      <w:pPr>
        <w:spacing w:after="0" w:line="134" w:lineRule="exact"/>
        <w:rPr>
          <w:rFonts w:ascii="Arial" w:cs="Arial" w:eastAsia="Arial" w:hAnsi="Arial"/>
          <w:sz w:val="20"/>
          <w:szCs w:val="20"/>
          <w:color w:val="auto"/>
        </w:rPr>
      </w:pPr>
    </w:p>
    <w:p>
      <w:pPr>
        <w:ind w:right="480" w:firstLine="645"/>
        <w:spacing w:after="0" w:line="289" w:lineRule="auto"/>
        <w:tabs>
          <w:tab w:leader="none" w:pos="1582" w:val="left"/>
        </w:tabs>
        <w:numPr>
          <w:ilvl w:val="0"/>
          <w:numId w:val="293"/>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the sale of goods entered into by Parent or any Restricted Subsidiary in the ordinary course of business;</w:t>
      </w:r>
    </w:p>
    <w:p>
      <w:pPr>
        <w:spacing w:after="0" w:line="134" w:lineRule="exact"/>
        <w:rPr>
          <w:rFonts w:ascii="Arial" w:cs="Arial" w:eastAsia="Arial" w:hAnsi="Arial"/>
          <w:sz w:val="20"/>
          <w:szCs w:val="20"/>
          <w:color w:val="auto"/>
        </w:rPr>
      </w:pPr>
    </w:p>
    <w:p>
      <w:pPr>
        <w:ind w:firstLine="645"/>
        <w:spacing w:after="0" w:line="273" w:lineRule="auto"/>
        <w:tabs>
          <w:tab w:leader="none" w:pos="1527" w:val="left"/>
        </w:tabs>
        <w:numPr>
          <w:ilvl w:val="0"/>
          <w:numId w:val="293"/>
        </w:numPr>
        <w:rPr>
          <w:rFonts w:ascii="Arial" w:cs="Arial" w:eastAsia="Arial" w:hAnsi="Arial"/>
          <w:sz w:val="20"/>
          <w:szCs w:val="20"/>
          <w:color w:val="auto"/>
        </w:rPr>
      </w:pPr>
      <w:r>
        <w:rPr>
          <w:rFonts w:ascii="Arial" w:cs="Arial" w:eastAsia="Arial" w:hAnsi="Arial"/>
          <w:sz w:val="20"/>
          <w:szCs w:val="20"/>
          <w:color w:val="auto"/>
        </w:rPr>
        <w:t>Liens (i) in favor of customs and revenue authorities arising as a matter of law to secure payment of customs duties in connection with the importation of goods in the ordinary course of business and (ii)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such other goods in the ordinary course of business;</w:t>
      </w:r>
    </w:p>
    <w:p>
      <w:pPr>
        <w:spacing w:after="0" w:line="150" w:lineRule="exact"/>
        <w:rPr>
          <w:rFonts w:ascii="Arial" w:cs="Arial" w:eastAsia="Arial" w:hAnsi="Arial"/>
          <w:sz w:val="20"/>
          <w:szCs w:val="20"/>
          <w:color w:val="auto"/>
        </w:rPr>
      </w:pPr>
    </w:p>
    <w:p>
      <w:pPr>
        <w:ind w:right="440" w:firstLine="645"/>
        <w:spacing w:after="0" w:line="289" w:lineRule="auto"/>
        <w:tabs>
          <w:tab w:leader="none" w:pos="1527" w:val="left"/>
        </w:tabs>
        <w:numPr>
          <w:ilvl w:val="0"/>
          <w:numId w:val="293"/>
        </w:numPr>
        <w:rPr>
          <w:rFonts w:ascii="Arial" w:cs="Arial" w:eastAsia="Arial" w:hAnsi="Arial"/>
          <w:sz w:val="20"/>
          <w:szCs w:val="20"/>
          <w:color w:val="auto"/>
        </w:rPr>
      </w:pPr>
      <w:r>
        <w:rPr>
          <w:rFonts w:ascii="Arial" w:cs="Arial" w:eastAsia="Arial" w:hAnsi="Arial"/>
          <w:sz w:val="20"/>
          <w:szCs w:val="20"/>
          <w:color w:val="auto"/>
        </w:rPr>
        <w:t>Liens on the assets and equity interests of non-Guarantor Foreign Subsidiaries that secure only Indebtedness or other obligations of such non-Guarantor Foreign Subsidiaries permitted hereunder;</w:t>
      </w:r>
    </w:p>
    <w:p>
      <w:pPr>
        <w:spacing w:after="0" w:line="134" w:lineRule="exact"/>
        <w:rPr>
          <w:rFonts w:ascii="Arial" w:cs="Arial" w:eastAsia="Arial" w:hAnsi="Arial"/>
          <w:sz w:val="20"/>
          <w:szCs w:val="20"/>
          <w:color w:val="auto"/>
        </w:rPr>
      </w:pPr>
    </w:p>
    <w:p>
      <w:pPr>
        <w:ind w:left="1520" w:hanging="875"/>
        <w:spacing w:after="0"/>
        <w:tabs>
          <w:tab w:leader="none" w:pos="1520" w:val="left"/>
        </w:tabs>
        <w:numPr>
          <w:ilvl w:val="0"/>
          <w:numId w:val="293"/>
        </w:numPr>
        <w:rPr>
          <w:rFonts w:ascii="Arial" w:cs="Arial" w:eastAsia="Arial" w:hAnsi="Arial"/>
          <w:sz w:val="19"/>
          <w:szCs w:val="19"/>
          <w:color w:val="auto"/>
        </w:rPr>
      </w:pPr>
      <w:r>
        <w:rPr>
          <w:rFonts w:ascii="Arial" w:cs="Arial" w:eastAsia="Arial" w:hAnsi="Arial"/>
          <w:sz w:val="19"/>
          <w:szCs w:val="19"/>
          <w:color w:val="auto"/>
        </w:rPr>
        <w:t xml:space="preserve">Liens on insurance policies and the proceeds thereof securing Indebtedness permitted by </w:t>
      </w:r>
      <w:r>
        <w:rPr>
          <w:rFonts w:ascii="Arial" w:cs="Arial" w:eastAsia="Arial" w:hAnsi="Arial"/>
          <w:sz w:val="19"/>
          <w:szCs w:val="19"/>
          <w:u w:val="single" w:color="auto"/>
          <w:color w:val="auto"/>
        </w:rPr>
        <w:t>Section 7.01(m)</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9" w:lineRule="exact"/>
        <w:rPr>
          <w:rFonts w:ascii="Arial" w:cs="Arial" w:eastAsia="Arial" w:hAnsi="Arial"/>
          <w:sz w:val="19"/>
          <w:szCs w:val="19"/>
          <w:color w:val="auto"/>
        </w:rPr>
      </w:pPr>
    </w:p>
    <w:p>
      <w:pPr>
        <w:ind w:left="4900" w:hanging="110"/>
        <w:spacing w:after="0"/>
        <w:tabs>
          <w:tab w:leader="none" w:pos="4900" w:val="left"/>
        </w:tabs>
        <w:numPr>
          <w:ilvl w:val="1"/>
          <w:numId w:val="293"/>
        </w:numPr>
        <w:rPr>
          <w:rFonts w:ascii="Arial" w:cs="Arial" w:eastAsia="Arial" w:hAnsi="Arial"/>
          <w:sz w:val="20"/>
          <w:szCs w:val="20"/>
          <w:color w:val="auto"/>
        </w:rPr>
      </w:pPr>
      <w:r>
        <w:rPr>
          <w:rFonts w:ascii="Arial" w:cs="Arial" w:eastAsia="Arial" w:hAnsi="Arial"/>
          <w:sz w:val="20"/>
          <w:szCs w:val="20"/>
          <w:color w:val="auto"/>
        </w:rPr>
        <w:t>137 -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48895</wp:posOffset>
            </wp:positionV>
            <wp:extent cx="72720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365" w:right="239" w:bottom="1440" w:gutter="0" w:footer="0" w:header="0"/>
        </w:sectPr>
      </w:pPr>
    </w:p>
    <w:bookmarkStart w:id="333" w:name="page334"/>
    <w:bookmarkEnd w:id="333"/>
    <w:p>
      <w:pPr>
        <w:ind w:left="660" w:right="160" w:firstLine="645"/>
        <w:spacing w:after="0" w:line="278" w:lineRule="auto"/>
        <w:tabs>
          <w:tab w:leader="none" w:pos="2187" w:val="left"/>
        </w:tabs>
        <w:numPr>
          <w:ilvl w:val="0"/>
          <w:numId w:val="294"/>
        </w:numPr>
        <w:rPr>
          <w:rFonts w:ascii="Arial" w:cs="Arial" w:eastAsia="Arial" w:hAnsi="Arial"/>
          <w:sz w:val="20"/>
          <w:szCs w:val="20"/>
          <w:color w:val="auto"/>
        </w:rPr>
      </w:pPr>
      <w:r>
        <w:rPr>
          <w:rFonts w:ascii="Arial" w:cs="Arial" w:eastAsia="Arial" w:hAnsi="Arial"/>
          <w:sz w:val="20"/>
          <w:szCs w:val="20"/>
          <w:color w:val="auto"/>
        </w:rPr>
        <w:t>Liens (i) of a collection bank arising under Section 4-208 of the UCC (or other applicable Law) on the items in the course of collection, and (ii) attaching to commodity trading accounts or other commodities brokerage accounts incurred in the ordinary course of business and not for speculative purposes;</w:t>
      </w:r>
    </w:p>
    <w:p>
      <w:pPr>
        <w:spacing w:after="0" w:line="146" w:lineRule="exact"/>
        <w:rPr>
          <w:rFonts w:ascii="Arial" w:cs="Arial" w:eastAsia="Arial" w:hAnsi="Arial"/>
          <w:sz w:val="20"/>
          <w:szCs w:val="20"/>
          <w:color w:val="auto"/>
        </w:rPr>
      </w:pPr>
    </w:p>
    <w:p>
      <w:pPr>
        <w:ind w:left="2160" w:hanging="855"/>
        <w:spacing w:after="0"/>
        <w:tabs>
          <w:tab w:leader="none" w:pos="216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 xml:space="preserve">Liens in favor of any Borrower or any Guarantor securing Indebtedness permitted under </w:t>
      </w:r>
      <w:r>
        <w:rPr>
          <w:rFonts w:ascii="Arial" w:cs="Arial" w:eastAsia="Arial" w:hAnsi="Arial"/>
          <w:sz w:val="20"/>
          <w:szCs w:val="20"/>
          <w:u w:val="single" w:color="auto"/>
          <w:color w:val="auto"/>
        </w:rPr>
        <w:t>Section 7.01(c)</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60" w:right="100" w:firstLine="645"/>
        <w:spacing w:after="0" w:line="274" w:lineRule="auto"/>
        <w:tabs>
          <w:tab w:leader="none" w:pos="2165" w:val="left"/>
        </w:tabs>
        <w:numPr>
          <w:ilvl w:val="0"/>
          <w:numId w:val="294"/>
        </w:numPr>
        <w:rPr>
          <w:rFonts w:ascii="Arial" w:cs="Arial" w:eastAsia="Arial" w:hAnsi="Arial"/>
          <w:sz w:val="20"/>
          <w:szCs w:val="20"/>
          <w:color w:val="auto"/>
        </w:rPr>
      </w:pPr>
      <w:r>
        <w:rPr>
          <w:rFonts w:ascii="Arial" w:cs="Arial" w:eastAsia="Arial" w:hAnsi="Arial"/>
          <w:sz w:val="20"/>
          <w:szCs w:val="20"/>
          <w:color w:val="auto"/>
        </w:rPr>
        <w:t xml:space="preserve">Liens on the Collateral securing Indebtedness permitted pursuant to </w:t>
      </w:r>
      <w:r>
        <w:rPr>
          <w:rFonts w:ascii="Arial" w:cs="Arial" w:eastAsia="Arial" w:hAnsi="Arial"/>
          <w:sz w:val="20"/>
          <w:szCs w:val="20"/>
          <w:u w:val="single" w:color="auto"/>
          <w:color w:val="auto"/>
        </w:rPr>
        <w:t>Section 7.01(s)</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shall either be (i)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the Liens on the Collateral securing the Senior Credit Obligations on the terms set forth in a First Lien Intercreditor Agreement or (ii) junior to the Liens on the Collateral securing the Finance Obligations on the terms set forth in a Second Lien Intercreditor Agreement;</w:t>
      </w:r>
    </w:p>
    <w:p>
      <w:pPr>
        <w:spacing w:after="0" w:line="151" w:lineRule="exact"/>
        <w:rPr>
          <w:rFonts w:ascii="Arial" w:cs="Arial" w:eastAsia="Arial" w:hAnsi="Arial"/>
          <w:sz w:val="20"/>
          <w:szCs w:val="20"/>
          <w:color w:val="auto"/>
        </w:rPr>
      </w:pPr>
    </w:p>
    <w:p>
      <w:pPr>
        <w:ind w:left="2140" w:hanging="835"/>
        <w:spacing w:after="0"/>
        <w:tabs>
          <w:tab w:leader="none" w:pos="214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by </w:t>
      </w:r>
      <w:r>
        <w:rPr>
          <w:rFonts w:ascii="Arial" w:cs="Arial" w:eastAsia="Arial" w:hAnsi="Arial"/>
          <w:sz w:val="19"/>
          <w:szCs w:val="19"/>
          <w:u w:val="single" w:color="auto"/>
          <w:color w:val="auto"/>
        </w:rPr>
        <w:t>Section 7.01(t)</w:t>
      </w:r>
      <w:r>
        <w:rPr>
          <w:rFonts w:ascii="Arial" w:cs="Arial" w:eastAsia="Arial" w:hAnsi="Arial"/>
          <w:sz w:val="19"/>
          <w:szCs w:val="19"/>
          <w:color w:val="auto"/>
        </w:rPr>
        <w:t>, solely to the extent required by applicable Law; and</w:t>
      </w:r>
    </w:p>
    <w:p>
      <w:pPr>
        <w:spacing w:after="0" w:line="213" w:lineRule="exact"/>
        <w:rPr>
          <w:rFonts w:ascii="Arial" w:cs="Arial" w:eastAsia="Arial" w:hAnsi="Arial"/>
          <w:sz w:val="19"/>
          <w:szCs w:val="19"/>
          <w:color w:val="auto"/>
        </w:rPr>
      </w:pPr>
    </w:p>
    <w:p>
      <w:pPr>
        <w:ind w:left="660" w:right="260" w:firstLine="645"/>
        <w:spacing w:after="0" w:line="322" w:lineRule="auto"/>
        <w:tabs>
          <w:tab w:leader="none" w:pos="218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Liens on assets of Parent and its Restricted Subsidiaries not otherwise permitted above so long as the aggregate amount of obligations subject to such Liens does not immediately after giving effect to the incurrence of such obligations exceed the greater of (x) $30,000,000 and (y) 10% of Consolidated EBITDA for the most recently completed Test Period.</w:t>
      </w:r>
    </w:p>
    <w:p>
      <w:pPr>
        <w:spacing w:after="0" w:line="99" w:lineRule="exact"/>
        <w:rPr>
          <w:sz w:val="20"/>
          <w:szCs w:val="20"/>
          <w:color w:val="auto"/>
        </w:rPr>
      </w:pPr>
    </w:p>
    <w:p>
      <w:pPr>
        <w:ind w:firstLine="1297"/>
        <w:spacing w:after="0" w:line="260" w:lineRule="auto"/>
        <w:rPr>
          <w:sz w:val="20"/>
          <w:szCs w:val="20"/>
          <w:color w:val="auto"/>
        </w:rPr>
      </w:pPr>
      <w:r>
        <w:rPr>
          <w:rFonts w:ascii="Arial" w:cs="Arial" w:eastAsia="Arial" w:hAnsi="Arial"/>
          <w:sz w:val="19"/>
          <w:szCs w:val="19"/>
          <w:color w:val="auto"/>
        </w:rPr>
        <w:t>In addition to the foregoing, Parent will not, and will not permit any Restricted Subsidiary to, create, incur, assume or permit to exist any Lien on or over the Equity Interests of Jazz Pharmaceuticals Italy S.p.A or any of its successors (or any Italian parent company of Gentium), except for Permitted Encumbrances; provided that the additional limitation described in this paragraph shall cease to be effective upon the earlier of (i) the date on which Jazz Pharmaceuticals Italy S.p.A or such successor ceases to constitute a Material Restricted Subsidiary or (ii) the date on which such Equity Interests are pledged pursuant to Italian Collateral Documents.</w:t>
      </w:r>
    </w:p>
    <w:p>
      <w:pPr>
        <w:spacing w:after="0" w:line="242"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7.03</w:t>
      </w:r>
      <w:r>
        <w:rPr>
          <w:sz w:val="20"/>
          <w:szCs w:val="20"/>
          <w:color w:val="auto"/>
        </w:rPr>
        <w:tab/>
      </w:r>
      <w:r>
        <w:rPr>
          <w:rFonts w:ascii="Arial" w:cs="Arial" w:eastAsia="Arial" w:hAnsi="Arial"/>
          <w:sz w:val="16"/>
          <w:szCs w:val="16"/>
          <w:u w:val="single" w:color="auto"/>
          <w:color w:val="auto"/>
        </w:rPr>
        <w:t>Fundamental Changes and Asset Sales</w:t>
      </w:r>
      <w:r>
        <w:rPr>
          <w:rFonts w:ascii="Arial" w:cs="Arial" w:eastAsia="Arial" w:hAnsi="Arial"/>
          <w:sz w:val="16"/>
          <w:szCs w:val="16"/>
          <w:color w:val="auto"/>
        </w:rPr>
        <w:t>.</w:t>
      </w:r>
    </w:p>
    <w:p>
      <w:pPr>
        <w:spacing w:after="0" w:line="195" w:lineRule="exact"/>
        <w:rPr>
          <w:sz w:val="20"/>
          <w:szCs w:val="20"/>
          <w:color w:val="auto"/>
        </w:rPr>
      </w:pPr>
    </w:p>
    <w:p>
      <w:pPr>
        <w:ind w:right="20" w:firstLine="1305"/>
        <w:spacing w:after="0" w:line="273" w:lineRule="auto"/>
        <w:tabs>
          <w:tab w:leader="none" w:pos="2164" w:val="left"/>
        </w:tabs>
        <w:numPr>
          <w:ilvl w:val="0"/>
          <w:numId w:val="295"/>
        </w:numPr>
        <w:rPr>
          <w:rFonts w:ascii="Arial" w:cs="Arial" w:eastAsia="Arial" w:hAnsi="Arial"/>
          <w:sz w:val="20"/>
          <w:szCs w:val="20"/>
          <w:color w:val="auto"/>
        </w:rPr>
      </w:pPr>
      <w:r>
        <w:rPr>
          <w:rFonts w:ascii="Arial" w:cs="Arial" w:eastAsia="Arial" w:hAnsi="Arial"/>
          <w:sz w:val="20"/>
          <w:szCs w:val="20"/>
          <w:color w:val="auto"/>
        </w:rPr>
        <w:t>Parent will not, and will not permit any Restricted Subsidiary to, merge into or consolidate with any other Person, or permit any other Person to merge into or consolidate with it, or sell, transfer, lease, Exclusively License or otherwise dispose of (in one transaction or in a series of transactions) any of its assets (other than Unrestricted Margin Stock) (including pursuant to a Sale/Leaseback Transaction), or any of the Equity Interests (other than Unrestricted Margin Stock) of any of its Subsidiaries (in each case, whether now owned or hereafter acquired), or liquidate or dissolve, except that:</w:t>
      </w:r>
    </w:p>
    <w:p>
      <w:pPr>
        <w:spacing w:after="0" w:line="150" w:lineRule="exact"/>
        <w:rPr>
          <w:rFonts w:ascii="Arial" w:cs="Arial" w:eastAsia="Arial" w:hAnsi="Arial"/>
          <w:sz w:val="20"/>
          <w:szCs w:val="20"/>
          <w:color w:val="auto"/>
        </w:rPr>
      </w:pPr>
    </w:p>
    <w:p>
      <w:pPr>
        <w:ind w:left="660" w:right="400" w:firstLine="807"/>
        <w:spacing w:after="0" w:line="289" w:lineRule="auto"/>
        <w:tabs>
          <w:tab w:leader="none" w:pos="2143" w:val="left"/>
        </w:tabs>
        <w:numPr>
          <w:ilvl w:val="1"/>
          <w:numId w:val="295"/>
        </w:numPr>
        <w:rPr>
          <w:rFonts w:ascii="Arial" w:cs="Arial" w:eastAsia="Arial" w:hAnsi="Arial"/>
          <w:sz w:val="20"/>
          <w:szCs w:val="20"/>
          <w:color w:val="auto"/>
        </w:rPr>
      </w:pPr>
      <w:r>
        <w:rPr>
          <w:rFonts w:ascii="Arial" w:cs="Arial" w:eastAsia="Arial" w:hAnsi="Arial"/>
          <w:sz w:val="20"/>
          <w:szCs w:val="20"/>
          <w:color w:val="auto"/>
        </w:rPr>
        <w:t>any Person may merge into or consolidate with a Borrower or Parent in a transaction in which such Borrower or Parent, as applicable, is the surviving corporation;</w:t>
      </w:r>
    </w:p>
    <w:p>
      <w:pPr>
        <w:spacing w:after="0" w:line="134" w:lineRule="exact"/>
        <w:rPr>
          <w:rFonts w:ascii="Arial" w:cs="Arial" w:eastAsia="Arial" w:hAnsi="Arial"/>
          <w:sz w:val="20"/>
          <w:szCs w:val="20"/>
          <w:color w:val="auto"/>
        </w:rPr>
      </w:pPr>
    </w:p>
    <w:p>
      <w:pPr>
        <w:ind w:left="660" w:right="120" w:firstLine="807"/>
        <w:spacing w:after="0" w:line="322" w:lineRule="auto"/>
        <w:tabs>
          <w:tab w:leader="none" w:pos="2198"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any Person (other than Parent and each Borrower) may merge into or consolidate with any Restricted Subsidiary in a transaction in which the surviving entity is such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merger, consolidation or liquidation involving a Subsidiary Guarantor must result in the surviving entity becoming a Subsidiary Guarantor);</w:t>
      </w:r>
    </w:p>
    <w:p>
      <w:pPr>
        <w:spacing w:after="0" w:line="112" w:lineRule="exact"/>
        <w:rPr>
          <w:rFonts w:ascii="Arial" w:cs="Arial" w:eastAsia="Arial" w:hAnsi="Arial"/>
          <w:sz w:val="18"/>
          <w:szCs w:val="18"/>
          <w:color w:val="auto"/>
        </w:rPr>
      </w:pPr>
    </w:p>
    <w:p>
      <w:pPr>
        <w:ind w:left="660" w:right="180" w:firstLine="807"/>
        <w:spacing w:after="0" w:line="289" w:lineRule="auto"/>
        <w:tabs>
          <w:tab w:leader="none" w:pos="2253" w:val="left"/>
        </w:tabs>
        <w:numPr>
          <w:ilvl w:val="1"/>
          <w:numId w:val="295"/>
        </w:numPr>
        <w:rPr>
          <w:rFonts w:ascii="Arial" w:cs="Arial" w:eastAsia="Arial" w:hAnsi="Arial"/>
          <w:sz w:val="20"/>
          <w:szCs w:val="20"/>
          <w:color w:val="auto"/>
        </w:rPr>
      </w:pPr>
      <w:r>
        <w:rPr>
          <w:rFonts w:ascii="Arial" w:cs="Arial" w:eastAsia="Arial" w:hAnsi="Arial"/>
          <w:sz w:val="20"/>
          <w:szCs w:val="20"/>
          <w:color w:val="auto"/>
        </w:rPr>
        <w:t>any Restricted Subsidiary (other than a Borrower) may merge into or consolidate with any Person in a transaction permitted under clauses (xiv), (xv) and (xvii) hereunder in which the surviving entity is not a Subsidiary;</w:t>
      </w: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p>
      <w:pPr>
        <w:ind w:left="5560" w:hanging="110"/>
        <w:spacing w:after="0"/>
        <w:tabs>
          <w:tab w:leader="none" w:pos="5560" w:val="left"/>
        </w:tabs>
        <w:numPr>
          <w:ilvl w:val="2"/>
          <w:numId w:val="295"/>
        </w:numPr>
        <w:rPr>
          <w:rFonts w:ascii="Arial" w:cs="Arial" w:eastAsia="Arial" w:hAnsi="Arial"/>
          <w:sz w:val="20"/>
          <w:szCs w:val="20"/>
          <w:color w:val="auto"/>
        </w:rPr>
      </w:pPr>
      <w:r>
        <w:rPr>
          <w:rFonts w:ascii="Arial" w:cs="Arial" w:eastAsia="Arial" w:hAnsi="Arial"/>
          <w:sz w:val="20"/>
          <w:szCs w:val="20"/>
          <w:color w:val="auto"/>
        </w:rPr>
        <w:t>138 -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334" w:name="page335"/>
    <w:bookmarkEnd w:id="334"/>
    <w:p>
      <w:pPr>
        <w:ind w:left="-540" w:right="780" w:firstLine="807"/>
        <w:spacing w:after="0" w:line="289" w:lineRule="auto"/>
        <w:tabs>
          <w:tab w:leader="none" w:pos="1042" w:val="left"/>
        </w:tabs>
        <w:numPr>
          <w:ilvl w:val="0"/>
          <w:numId w:val="296"/>
        </w:numPr>
        <w:rPr>
          <w:rFonts w:ascii="Arial" w:cs="Arial" w:eastAsia="Arial" w:hAnsi="Arial"/>
          <w:sz w:val="20"/>
          <w:szCs w:val="20"/>
          <w:color w:val="auto"/>
        </w:rPr>
      </w:pPr>
      <w:r>
        <w:rPr>
          <w:rFonts w:ascii="Arial" w:cs="Arial" w:eastAsia="Arial" w:hAnsi="Arial"/>
          <w:sz w:val="20"/>
          <w:szCs w:val="20"/>
          <w:color w:val="auto"/>
        </w:rPr>
        <w:t>any Restricted Subsidiary (other than a Borrower) may Dispose of any or all of its assets (upon voluntary liquidation, dissolution or otherwise) to Parent or any other Loan Party;</w:t>
      </w:r>
    </w:p>
    <w:p>
      <w:pPr>
        <w:spacing w:after="0" w:line="134" w:lineRule="exact"/>
        <w:rPr>
          <w:rFonts w:ascii="Arial" w:cs="Arial" w:eastAsia="Arial" w:hAnsi="Arial"/>
          <w:sz w:val="20"/>
          <w:szCs w:val="20"/>
          <w:color w:val="auto"/>
        </w:rPr>
      </w:pPr>
    </w:p>
    <w:p>
      <w:pPr>
        <w:ind w:left="-540" w:right="100" w:firstLine="807"/>
        <w:spacing w:after="0" w:line="316" w:lineRule="auto"/>
        <w:tabs>
          <w:tab w:leader="none" w:pos="987" w:val="left"/>
        </w:tabs>
        <w:numPr>
          <w:ilvl w:val="0"/>
          <w:numId w:val="296"/>
        </w:numPr>
        <w:rPr>
          <w:rFonts w:ascii="Arial" w:cs="Arial" w:eastAsia="Arial" w:hAnsi="Arial"/>
          <w:sz w:val="19"/>
          <w:szCs w:val="19"/>
          <w:color w:val="auto"/>
        </w:rPr>
      </w:pPr>
      <w:r>
        <w:rPr>
          <w:rFonts w:ascii="Arial" w:cs="Arial" w:eastAsia="Arial" w:hAnsi="Arial"/>
          <w:sz w:val="19"/>
          <w:szCs w:val="19"/>
          <w:color w:val="auto"/>
        </w:rPr>
        <w:t>any Restricted Subsidiary (other than a Borrower) may liquidate or dissolve if Parent determines in good faith that such liquidation or dissolution is in the best interests of Parent and is not materially disadvantageous to the Lenders;</w:t>
      </w:r>
    </w:p>
    <w:p>
      <w:pPr>
        <w:spacing w:after="0" w:line="113" w:lineRule="exact"/>
        <w:rPr>
          <w:rFonts w:ascii="Arial" w:cs="Arial" w:eastAsia="Arial" w:hAnsi="Arial"/>
          <w:sz w:val="19"/>
          <w:szCs w:val="19"/>
          <w:color w:val="auto"/>
        </w:rPr>
      </w:pPr>
    </w:p>
    <w:p>
      <w:pPr>
        <w:ind w:left="-540" w:right="480" w:firstLine="807"/>
        <w:spacing w:after="0" w:line="293" w:lineRule="auto"/>
        <w:tabs>
          <w:tab w:leader="none" w:pos="1042" w:val="left"/>
        </w:tabs>
        <w:numPr>
          <w:ilvl w:val="0"/>
          <w:numId w:val="296"/>
        </w:numPr>
        <w:rPr>
          <w:rFonts w:ascii="Arial" w:cs="Arial" w:eastAsia="Arial" w:hAnsi="Arial"/>
          <w:sz w:val="19"/>
          <w:szCs w:val="19"/>
          <w:color w:val="auto"/>
        </w:rPr>
      </w:pPr>
      <w:r>
        <w:rPr>
          <w:rFonts w:ascii="Arial" w:cs="Arial" w:eastAsia="Arial" w:hAnsi="Arial"/>
          <w:sz w:val="19"/>
          <w:szCs w:val="19"/>
          <w:color w:val="auto"/>
        </w:rPr>
        <w:t>sales, transfers and other Dispositions of inventory, used, worn out, obsolete or surplus property, cash and Permitted Investments in the ordinary course of business and the assignment, cancellation, abandonment or other Disposition of intellectual property that is, in the reasonable judgment of Parent, no longer economically practicable to maintain or useful in the conduct of the business of Parent and the Restricted Subsidiaries, taken as a whole;</w:t>
      </w:r>
    </w:p>
    <w:p>
      <w:pPr>
        <w:spacing w:after="0" w:line="135" w:lineRule="exact"/>
        <w:rPr>
          <w:rFonts w:ascii="Arial" w:cs="Arial" w:eastAsia="Arial" w:hAnsi="Arial"/>
          <w:sz w:val="19"/>
          <w:szCs w:val="19"/>
          <w:color w:val="auto"/>
        </w:rPr>
      </w:pPr>
    </w:p>
    <w:p>
      <w:pPr>
        <w:ind w:left="-540" w:right="120" w:firstLine="807"/>
        <w:spacing w:after="0" w:line="278" w:lineRule="auto"/>
        <w:tabs>
          <w:tab w:leader="none" w:pos="1097" w:val="left"/>
        </w:tabs>
        <w:numPr>
          <w:ilvl w:val="0"/>
          <w:numId w:val="296"/>
        </w:numPr>
        <w:rPr>
          <w:rFonts w:ascii="Arial" w:cs="Arial" w:eastAsia="Arial" w:hAnsi="Arial"/>
          <w:sz w:val="20"/>
          <w:szCs w:val="20"/>
          <w:color w:val="auto"/>
        </w:rPr>
      </w:pPr>
      <w:r>
        <w:rPr>
          <w:rFonts w:ascii="Arial" w:cs="Arial" w:eastAsia="Arial" w:hAnsi="Arial"/>
          <w:sz w:val="20"/>
          <w:szCs w:val="20"/>
          <w:color w:val="auto"/>
        </w:rPr>
        <w:t xml:space="preserve">Dispositions to Parent or any 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any such Disposition made by a Loan Party to a Restricted Subsidiary that is not a Loan Party shall be made in compliance with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and (ii) Equity Interests of a Loan Party may not be transferred to a Subsidiary that is not a Loan Party;</w:t>
      </w:r>
    </w:p>
    <w:p>
      <w:pPr>
        <w:spacing w:after="0" w:line="146" w:lineRule="exact"/>
        <w:rPr>
          <w:rFonts w:ascii="Arial" w:cs="Arial" w:eastAsia="Arial" w:hAnsi="Arial"/>
          <w:sz w:val="20"/>
          <w:szCs w:val="20"/>
          <w:color w:val="auto"/>
        </w:rPr>
      </w:pPr>
    </w:p>
    <w:p>
      <w:pPr>
        <w:jc w:val="both"/>
        <w:ind w:left="-540" w:right="60" w:firstLine="807"/>
        <w:spacing w:after="0" w:line="278" w:lineRule="auto"/>
        <w:tabs>
          <w:tab w:leader="none" w:pos="1152" w:val="left"/>
        </w:tabs>
        <w:numPr>
          <w:ilvl w:val="0"/>
          <w:numId w:val="296"/>
        </w:numPr>
        <w:rPr>
          <w:rFonts w:ascii="Arial" w:cs="Arial" w:eastAsia="Arial" w:hAnsi="Arial"/>
          <w:sz w:val="20"/>
          <w:szCs w:val="20"/>
          <w:color w:val="auto"/>
        </w:rPr>
      </w:pPr>
      <w:r>
        <w:rPr>
          <w:rFonts w:ascii="Arial" w:cs="Arial" w:eastAsia="Arial" w:hAnsi="Arial"/>
          <w:sz w:val="20"/>
          <w:szCs w:val="20"/>
          <w:color w:val="auto"/>
        </w:rPr>
        <w:t>the discount or sale, in each case without recourse and in the ordinary course of business, of past due receivables arising in the ordinary course of business, but only in connection with the compromise or collection thereof consistent with customary industry practice (and not as part of any bulk sale or financing of receivables);</w:t>
      </w:r>
    </w:p>
    <w:p>
      <w:pPr>
        <w:spacing w:after="0" w:line="146" w:lineRule="exact"/>
        <w:rPr>
          <w:rFonts w:ascii="Arial" w:cs="Arial" w:eastAsia="Arial" w:hAnsi="Arial"/>
          <w:sz w:val="20"/>
          <w:szCs w:val="20"/>
          <w:color w:val="auto"/>
        </w:rPr>
      </w:pPr>
    </w:p>
    <w:p>
      <w:pPr>
        <w:ind w:left="-540" w:right="380" w:firstLine="807"/>
        <w:spacing w:after="0" w:line="316" w:lineRule="auto"/>
        <w:tabs>
          <w:tab w:leader="none" w:pos="1042" w:val="left"/>
        </w:tabs>
        <w:numPr>
          <w:ilvl w:val="0"/>
          <w:numId w:val="296"/>
        </w:numPr>
        <w:rPr>
          <w:rFonts w:ascii="Arial" w:cs="Arial" w:eastAsia="Arial" w:hAnsi="Arial"/>
          <w:sz w:val="19"/>
          <w:szCs w:val="19"/>
          <w:color w:val="auto"/>
        </w:rPr>
      </w:pPr>
      <w:r>
        <w:rPr>
          <w:rFonts w:ascii="Arial" w:cs="Arial" w:eastAsia="Arial" w:hAnsi="Arial"/>
          <w:sz w:val="19"/>
          <w:szCs w:val="19"/>
          <w:color w:val="auto"/>
        </w:rPr>
        <w:t>leases, subleases, non-Exclusive Licenses or sublicenses of property to other Persons in the ordinary course of business not materially interfering with the business of Parent and the Restricted Subsidiaries taken as a whole;</w:t>
      </w:r>
    </w:p>
    <w:p>
      <w:pPr>
        <w:spacing w:after="0" w:line="113" w:lineRule="exact"/>
        <w:rPr>
          <w:rFonts w:ascii="Arial" w:cs="Arial" w:eastAsia="Arial" w:hAnsi="Arial"/>
          <w:sz w:val="19"/>
          <w:szCs w:val="19"/>
          <w:color w:val="auto"/>
        </w:rPr>
      </w:pPr>
    </w:p>
    <w:p>
      <w:pPr>
        <w:ind w:left="980" w:hanging="713"/>
        <w:spacing w:after="0"/>
        <w:tabs>
          <w:tab w:leader="none" w:pos="98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 xml:space="preserve">Liens permitted by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040" w:hanging="773"/>
        <w:spacing w:after="0"/>
        <w:tabs>
          <w:tab w:leader="none" w:pos="104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 xml:space="preserve">Investments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540" w:right="140" w:firstLine="807"/>
        <w:spacing w:after="0" w:line="316" w:lineRule="auto"/>
        <w:tabs>
          <w:tab w:leader="none" w:pos="1097" w:val="left"/>
        </w:tabs>
        <w:numPr>
          <w:ilvl w:val="0"/>
          <w:numId w:val="296"/>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2.09(c)(iii)</w:t>
      </w:r>
      <w:r>
        <w:rPr>
          <w:rFonts w:ascii="Arial" w:cs="Arial" w:eastAsia="Arial" w:hAnsi="Arial"/>
          <w:sz w:val="19"/>
          <w:szCs w:val="19"/>
          <w:color w:val="auto"/>
        </w:rPr>
        <w:t>, dispositions of property as a result of a Casualty Event involving such property or any disposition of real property to a Governmental Authority as a result of a Condemnation of such real property;</w:t>
      </w:r>
    </w:p>
    <w:p>
      <w:pPr>
        <w:spacing w:after="0" w:line="113" w:lineRule="exact"/>
        <w:rPr>
          <w:rFonts w:ascii="Arial" w:cs="Arial" w:eastAsia="Arial" w:hAnsi="Arial"/>
          <w:sz w:val="19"/>
          <w:szCs w:val="19"/>
          <w:color w:val="auto"/>
        </w:rPr>
      </w:pPr>
    </w:p>
    <w:p>
      <w:pPr>
        <w:ind w:left="1140" w:hanging="873"/>
        <w:spacing w:after="0"/>
        <w:tabs>
          <w:tab w:leader="none" w:pos="114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Permitted Exchanges;</w:t>
      </w:r>
    </w:p>
    <w:p>
      <w:pPr>
        <w:spacing w:after="0" w:line="202" w:lineRule="exact"/>
        <w:rPr>
          <w:rFonts w:ascii="Arial" w:cs="Arial" w:eastAsia="Arial" w:hAnsi="Arial"/>
          <w:sz w:val="20"/>
          <w:szCs w:val="20"/>
          <w:color w:val="auto"/>
        </w:rPr>
      </w:pPr>
    </w:p>
    <w:p>
      <w:pPr>
        <w:ind w:left="-540" w:right="360" w:firstLine="807"/>
        <w:spacing w:after="0" w:line="278" w:lineRule="auto"/>
        <w:tabs>
          <w:tab w:leader="none" w:pos="1141" w:val="left"/>
        </w:tabs>
        <w:numPr>
          <w:ilvl w:val="0"/>
          <w:numId w:val="296"/>
        </w:numPr>
        <w:rPr>
          <w:rFonts w:ascii="Arial" w:cs="Arial" w:eastAsia="Arial" w:hAnsi="Arial"/>
          <w:sz w:val="20"/>
          <w:szCs w:val="20"/>
          <w:color w:val="auto"/>
        </w:rPr>
      </w:pPr>
      <w:r>
        <w:rPr>
          <w:rFonts w:ascii="Arial" w:cs="Arial" w:eastAsia="Arial" w:hAnsi="Arial"/>
          <w:sz w:val="20"/>
          <w:szCs w:val="20"/>
          <w:color w:val="auto"/>
        </w:rPr>
        <w:t xml:space="preserve">Dispositions of investments in joint ventures </w:t>
      </w:r>
      <w:r>
        <w:rPr>
          <w:rFonts w:ascii="Arial" w:cs="Arial" w:eastAsia="Arial" w:hAnsi="Arial"/>
          <w:sz w:val="20"/>
          <w:szCs w:val="20"/>
          <w:u w:val="single" w:color="auto"/>
          <w:color w:val="0000FF"/>
        </w:rPr>
        <w:t>or investments in Persons that are not Subsidiaries</w:t>
      </w:r>
      <w:r>
        <w:rPr>
          <w:rFonts w:ascii="Arial" w:cs="Arial" w:eastAsia="Arial" w:hAnsi="Arial"/>
          <w:sz w:val="20"/>
          <w:szCs w:val="20"/>
          <w:color w:val="auto"/>
        </w:rPr>
        <w:t xml:space="preserve">, to the extent required by, or made pursuant to buy/sell arrangements between the joint venture parties </w:t>
      </w:r>
      <w:r>
        <w:rPr>
          <w:rFonts w:ascii="Arial" w:cs="Arial" w:eastAsia="Arial" w:hAnsi="Arial"/>
          <w:sz w:val="20"/>
          <w:szCs w:val="20"/>
          <w:u w:val="single" w:color="auto"/>
          <w:color w:val="0000FF"/>
        </w:rPr>
        <w:t>or investors</w:t>
      </w:r>
      <w:r>
        <w:rPr>
          <w:rFonts w:ascii="Arial" w:cs="Arial" w:eastAsia="Arial" w:hAnsi="Arial"/>
          <w:sz w:val="20"/>
          <w:szCs w:val="20"/>
          <w:color w:val="auto"/>
        </w:rPr>
        <w:t xml:space="preserve"> set forth in joint venture arrangements</w:t>
      </w:r>
      <w:r>
        <w:rPr>
          <w:rFonts w:ascii="Arial" w:cs="Arial" w:eastAsia="Arial" w:hAnsi="Arial"/>
          <w:sz w:val="20"/>
          <w:szCs w:val="20"/>
          <w:u w:val="single" w:color="auto"/>
          <w:color w:val="0000FF"/>
        </w:rPr>
        <w:t>, investor rights agreements</w:t>
      </w:r>
      <w:r>
        <w:rPr>
          <w:rFonts w:ascii="Arial" w:cs="Arial" w:eastAsia="Arial" w:hAnsi="Arial"/>
          <w:sz w:val="20"/>
          <w:szCs w:val="20"/>
          <w:color w:val="auto"/>
        </w:rPr>
        <w:t xml:space="preserve"> and</w:t>
      </w:r>
      <w:r>
        <w:rPr>
          <w:rFonts w:ascii="Arial" w:cs="Arial" w:eastAsia="Arial" w:hAnsi="Arial"/>
          <w:sz w:val="20"/>
          <w:szCs w:val="20"/>
          <w:u w:val="single" w:color="auto"/>
          <w:color w:val="0000FF"/>
        </w:rPr>
        <w:t>/or</w:t>
      </w:r>
      <w:r>
        <w:rPr>
          <w:rFonts w:ascii="Arial" w:cs="Arial" w:eastAsia="Arial" w:hAnsi="Arial"/>
          <w:sz w:val="20"/>
          <w:szCs w:val="20"/>
          <w:color w:val="auto"/>
        </w:rPr>
        <w:t xml:space="preserve"> similar binding arrangements;</w:t>
      </w:r>
    </w:p>
    <w:p>
      <w:pPr>
        <w:spacing w:after="0" w:line="146" w:lineRule="exact"/>
        <w:rPr>
          <w:rFonts w:ascii="Arial" w:cs="Arial" w:eastAsia="Arial" w:hAnsi="Arial"/>
          <w:sz w:val="20"/>
          <w:szCs w:val="20"/>
          <w:color w:val="auto"/>
        </w:rPr>
      </w:pPr>
    </w:p>
    <w:p>
      <w:pPr>
        <w:ind w:left="-540" w:firstLine="807"/>
        <w:spacing w:after="0" w:line="307" w:lineRule="auto"/>
        <w:tabs>
          <w:tab w:leader="none" w:pos="108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sales or other Dispositions of non-core assets acquired in any Permitted Acquisition or other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sales shall be consummated within two years of such acquisition or Investment;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 the consideration received for such assets shall be in an amount at least equal to the fair market value thereof (determined in good faith by the Board of Directors of Parent) and (ii) either (A) no less than 75% thereof (excluding any consideration arising from the assumption of liabilities other than Indebtedness) shall be paid in cash, or (B) a Borrower, substantially concurrently with the receipt of any non-cash consideration (and in any event within one Business Day), prepays (or cause to be</w:t>
      </w:r>
    </w:p>
    <w:p>
      <w:pPr>
        <w:spacing w:after="0" w:line="200" w:lineRule="exact"/>
        <w:rPr>
          <w:rFonts w:ascii="Arial" w:cs="Arial" w:eastAsia="Arial" w:hAnsi="Arial"/>
          <w:sz w:val="18"/>
          <w:szCs w:val="18"/>
          <w:color w:val="auto"/>
        </w:rPr>
      </w:pPr>
    </w:p>
    <w:p>
      <w:pPr>
        <w:spacing w:after="0" w:line="372" w:lineRule="exact"/>
        <w:rPr>
          <w:rFonts w:ascii="Arial" w:cs="Arial" w:eastAsia="Arial" w:hAnsi="Arial"/>
          <w:sz w:val="18"/>
          <w:szCs w:val="18"/>
          <w:color w:val="auto"/>
        </w:rPr>
      </w:pPr>
    </w:p>
    <w:p>
      <w:pPr>
        <w:ind w:left="4360" w:hanging="110"/>
        <w:spacing w:after="0"/>
        <w:tabs>
          <w:tab w:leader="none" w:pos="4360" w:val="left"/>
        </w:tabs>
        <w:numPr>
          <w:ilvl w:val="1"/>
          <w:numId w:val="296"/>
        </w:numPr>
        <w:rPr>
          <w:rFonts w:ascii="Arial" w:cs="Arial" w:eastAsia="Arial" w:hAnsi="Arial"/>
          <w:sz w:val="20"/>
          <w:szCs w:val="20"/>
          <w:color w:val="auto"/>
        </w:rPr>
      </w:pPr>
      <w:r>
        <w:rPr>
          <w:rFonts w:ascii="Arial" w:cs="Arial" w:eastAsia="Arial" w:hAnsi="Arial"/>
          <w:sz w:val="20"/>
          <w:szCs w:val="20"/>
          <w:color w:val="auto"/>
        </w:rPr>
        <w:t>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48895</wp:posOffset>
            </wp:positionV>
            <wp:extent cx="72720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140"/>
          </w:cols>
          <w:pgMar w:left="1440" w:top="380" w:right="319" w:bottom="1440" w:gutter="0" w:footer="0" w:header="0"/>
        </w:sectPr>
      </w:pPr>
    </w:p>
    <w:bookmarkStart w:id="335" w:name="page336"/>
    <w:bookmarkEnd w:id="335"/>
    <w:p>
      <w:pPr>
        <w:spacing w:after="0" w:line="260" w:lineRule="auto"/>
        <w:rPr>
          <w:sz w:val="20"/>
          <w:szCs w:val="20"/>
          <w:color w:val="auto"/>
        </w:rPr>
      </w:pPr>
      <w:r>
        <w:rPr>
          <w:rFonts w:ascii="Arial" w:cs="Arial" w:eastAsia="Arial" w:hAnsi="Arial"/>
          <w:sz w:val="20"/>
          <w:szCs w:val="20"/>
          <w:color w:val="auto"/>
        </w:rPr>
        <w:t xml:space="preserve">prepaid) the Loans in an amount equal to the amount by which the fair market value of the non-cash consideration exceeds 25% of such consideration, such prepayment to be made in accordance with </w:t>
      </w:r>
      <w:r>
        <w:rPr>
          <w:rFonts w:ascii="Arial" w:cs="Arial" w:eastAsia="Arial" w:hAnsi="Arial"/>
          <w:sz w:val="20"/>
          <w:szCs w:val="20"/>
          <w:u w:val="single" w:color="auto"/>
          <w:color w:val="auto"/>
        </w:rPr>
        <w:t>Section 2.09(c)(iii)</w:t>
      </w:r>
      <w:r>
        <w:rPr>
          <w:rFonts w:ascii="Arial" w:cs="Arial" w:eastAsia="Arial" w:hAnsi="Arial"/>
          <w:sz w:val="20"/>
          <w:szCs w:val="20"/>
          <w:color w:val="auto"/>
        </w:rPr>
        <w:t>;</w:t>
      </w:r>
    </w:p>
    <w:p>
      <w:pPr>
        <w:spacing w:after="0" w:line="150" w:lineRule="exact"/>
        <w:rPr>
          <w:sz w:val="20"/>
          <w:szCs w:val="20"/>
          <w:color w:val="auto"/>
        </w:rPr>
      </w:pPr>
    </w:p>
    <w:p>
      <w:pPr>
        <w:ind w:left="1680" w:hanging="873"/>
        <w:spacing w:after="0"/>
        <w:tabs>
          <w:tab w:leader="none" w:pos="1680" w:val="left"/>
        </w:tabs>
        <w:numPr>
          <w:ilvl w:val="1"/>
          <w:numId w:val="297"/>
        </w:numPr>
        <w:rPr>
          <w:rFonts w:ascii="Arial" w:cs="Arial" w:eastAsia="Arial" w:hAnsi="Arial"/>
          <w:sz w:val="20"/>
          <w:szCs w:val="20"/>
          <w:color w:val="auto"/>
        </w:rPr>
      </w:pPr>
      <w:r>
        <w:rPr>
          <w:rFonts w:ascii="Arial" w:cs="Arial" w:eastAsia="Arial" w:hAnsi="Arial"/>
          <w:sz w:val="20"/>
          <w:szCs w:val="20"/>
          <w:color w:val="auto"/>
        </w:rPr>
        <w:t>any Immaterial Asset Sale;</w:t>
      </w:r>
    </w:p>
    <w:p>
      <w:pPr>
        <w:spacing w:after="0" w:line="202" w:lineRule="exact"/>
        <w:rPr>
          <w:rFonts w:ascii="Arial" w:cs="Arial" w:eastAsia="Arial" w:hAnsi="Arial"/>
          <w:sz w:val="20"/>
          <w:szCs w:val="20"/>
          <w:color w:val="auto"/>
        </w:rPr>
      </w:pPr>
    </w:p>
    <w:p>
      <w:pPr>
        <w:ind w:right="40" w:firstLine="807"/>
        <w:spacing w:after="0" w:line="307" w:lineRule="auto"/>
        <w:tabs>
          <w:tab w:leader="none" w:pos="173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 xml:space="preserve">Dispositions of assets that are not permitted by any other clause of this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Disposition Consideration of all assets sold, transferred, leased or otherwise disposed of, and of all assets Exclusively Licensed in reliance on this clause (xvii) shall not at the time of and immediately after giving effect to any such transaction exceed $200,000,000 in any fiscal year;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 the consideration received for such assets shall be in an amount at least equal to the fair market value thereof (determined in good faith by the Board of Directors of Parent) and (ii) no less than 75% thereof (excluding any consideration arising from the assumption of liabilities other than Indebtedness) shall be paid in cash;</w:t>
      </w:r>
    </w:p>
    <w:p>
      <w:pPr>
        <w:spacing w:after="0" w:line="126" w:lineRule="exact"/>
        <w:rPr>
          <w:rFonts w:ascii="Arial" w:cs="Arial" w:eastAsia="Arial" w:hAnsi="Arial"/>
          <w:sz w:val="18"/>
          <w:szCs w:val="18"/>
          <w:color w:val="auto"/>
        </w:rPr>
      </w:pPr>
    </w:p>
    <w:p>
      <w:pPr>
        <w:ind w:right="660" w:firstLine="807"/>
        <w:spacing w:after="0" w:line="316" w:lineRule="auto"/>
        <w:tabs>
          <w:tab w:leader="none" w:pos="2439" w:val="left"/>
        </w:tabs>
        <w:numPr>
          <w:ilvl w:val="1"/>
          <w:numId w:val="297"/>
        </w:numPr>
        <w:rPr>
          <w:rFonts w:ascii="Arial" w:cs="Arial" w:eastAsia="Arial" w:hAnsi="Arial"/>
          <w:sz w:val="19"/>
          <w:szCs w:val="19"/>
          <w:color w:val="auto"/>
        </w:rPr>
      </w:pPr>
      <w:r>
        <w:rPr>
          <w:rFonts w:ascii="Arial" w:cs="Arial" w:eastAsia="Arial" w:hAnsi="Arial"/>
          <w:sz w:val="19"/>
          <w:szCs w:val="19"/>
          <w:color w:val="auto"/>
        </w:rPr>
        <w:t>the surrender, waiver or settlement of contractual rights in the ordinary course of business, or the surrender, waiver or settlement of claims and litigation claims (whether or not in the ordinary course of business);</w:t>
      </w:r>
    </w:p>
    <w:p>
      <w:pPr>
        <w:spacing w:after="0" w:line="113" w:lineRule="exact"/>
        <w:rPr>
          <w:rFonts w:ascii="Arial" w:cs="Arial" w:eastAsia="Arial" w:hAnsi="Arial"/>
          <w:sz w:val="19"/>
          <w:szCs w:val="19"/>
          <w:color w:val="auto"/>
        </w:rPr>
      </w:pPr>
    </w:p>
    <w:p>
      <w:pPr>
        <w:ind w:right="200" w:firstLine="807"/>
        <w:spacing w:after="0" w:line="310" w:lineRule="auto"/>
        <w:tabs>
          <w:tab w:leader="none" w:pos="1681" w:val="left"/>
        </w:tabs>
        <w:numPr>
          <w:ilvl w:val="1"/>
          <w:numId w:val="297"/>
        </w:numPr>
        <w:rPr>
          <w:rFonts w:ascii="Arial" w:cs="Arial" w:eastAsia="Arial" w:hAnsi="Arial"/>
          <w:sz w:val="18"/>
          <w:szCs w:val="18"/>
          <w:color w:val="auto"/>
        </w:rPr>
      </w:pPr>
      <w:r>
        <w:rPr>
          <w:rFonts w:ascii="Arial" w:cs="Arial" w:eastAsia="Arial" w:hAnsi="Arial"/>
          <w:sz w:val="18"/>
          <w:szCs w:val="18"/>
          <w:color w:val="auto"/>
        </w:rPr>
        <w:t>Dispositions of Equity Interests in any Subsidiary acquired in connection with any a Permitted Acquisition prior to the time of such Subsidiary becoming a Wholly Owned Subsidiary, in each case pursuant to any stock appreciation rights, plans, equity incentive or achievement plans or any similar plans or the exercise of warrants, options or other securities convertible into or exchangeable for the Equity Interests of such Subsidiary, so long as such rights, plans, warrants, options or other securities were not entered into or issued in connection with or in contemplation of such person becoming a Subsidiary;</w:t>
      </w:r>
    </w:p>
    <w:p>
      <w:pPr>
        <w:spacing w:after="0" w:line="121" w:lineRule="exact"/>
        <w:rPr>
          <w:rFonts w:ascii="Arial" w:cs="Arial" w:eastAsia="Arial" w:hAnsi="Arial"/>
          <w:sz w:val="18"/>
          <w:szCs w:val="18"/>
          <w:color w:val="auto"/>
        </w:rPr>
      </w:pPr>
    </w:p>
    <w:p>
      <w:pPr>
        <w:ind w:left="1620" w:hanging="813"/>
        <w:spacing w:after="0"/>
        <w:tabs>
          <w:tab w:leader="none" w:pos="1620" w:val="left"/>
        </w:tabs>
        <w:numPr>
          <w:ilvl w:val="1"/>
          <w:numId w:val="297"/>
        </w:numPr>
        <w:rPr>
          <w:rFonts w:ascii="Arial" w:cs="Arial" w:eastAsia="Arial" w:hAnsi="Arial"/>
          <w:sz w:val="20"/>
          <w:szCs w:val="20"/>
          <w:color w:val="auto"/>
        </w:rPr>
      </w:pPr>
      <w:r>
        <w:rPr>
          <w:rFonts w:ascii="Arial" w:cs="Arial" w:eastAsia="Arial" w:hAnsi="Arial"/>
          <w:sz w:val="20"/>
          <w:szCs w:val="20"/>
          <w:color w:val="auto"/>
        </w:rPr>
        <w:t>any Permitted Reorganization; and</w:t>
      </w:r>
    </w:p>
    <w:p>
      <w:pPr>
        <w:spacing w:after="0" w:line="202" w:lineRule="exact"/>
        <w:rPr>
          <w:rFonts w:ascii="Arial" w:cs="Arial" w:eastAsia="Arial" w:hAnsi="Arial"/>
          <w:sz w:val="20"/>
          <w:szCs w:val="20"/>
          <w:color w:val="auto"/>
        </w:rPr>
      </w:pPr>
    </w:p>
    <w:p>
      <w:pPr>
        <w:ind w:right="20" w:firstLine="807"/>
        <w:spacing w:after="0" w:line="307" w:lineRule="auto"/>
        <w:tabs>
          <w:tab w:leader="none" w:pos="1681" w:val="left"/>
        </w:tabs>
        <w:numPr>
          <w:ilvl w:val="1"/>
          <w:numId w:val="297"/>
        </w:numPr>
        <w:rPr>
          <w:rFonts w:ascii="Arial" w:cs="Arial" w:eastAsia="Arial" w:hAnsi="Arial"/>
          <w:sz w:val="18"/>
          <w:szCs w:val="18"/>
          <w:color w:val="auto"/>
        </w:rPr>
      </w:pPr>
      <w:r>
        <w:rPr>
          <w:rFonts w:ascii="Arial" w:cs="Arial" w:eastAsia="Arial" w:hAnsi="Arial"/>
          <w:sz w:val="18"/>
          <w:szCs w:val="18"/>
          <w:color w:val="auto"/>
        </w:rPr>
        <w:t xml:space="preserve">Dispositions of assets that are not permitted by any other clause of this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Borrower shall substantially concurrently (and in any event within one Business Day) apply 100% of the Net Cash Proceeds thereof to prepay (or cause to be prepaid) the Loans in accordance with </w:t>
      </w:r>
      <w:r>
        <w:rPr>
          <w:rFonts w:ascii="Arial" w:cs="Arial" w:eastAsia="Arial" w:hAnsi="Arial"/>
          <w:sz w:val="18"/>
          <w:szCs w:val="18"/>
          <w:u w:val="single" w:color="auto"/>
          <w:color w:val="auto"/>
        </w:rPr>
        <w:t>Section 2.09(c)(iii)</w:t>
      </w:r>
      <w:r>
        <w:rPr>
          <w:rFonts w:ascii="Arial" w:cs="Arial" w:eastAsia="Arial" w:hAnsi="Arial"/>
          <w:sz w:val="18"/>
          <w:szCs w:val="18"/>
          <w:color w:val="auto"/>
        </w:rPr>
        <w:t xml:space="preserve"> (it being understood that such Net Cash Proceeds shall not constitute Reinvestment Funds);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 the consideration received for such assets shall be in an amount at least equal to the fair market value thereof (determined in good faith by the Board of Directors of Parent) and (ii) no less than 75% thereof (excluding any consideration arising from the assumption of liabilities other than Indebtedness) shall be paid in cash.</w:t>
      </w:r>
    </w:p>
    <w:p>
      <w:pPr>
        <w:spacing w:after="0" w:line="126" w:lineRule="exact"/>
        <w:rPr>
          <w:rFonts w:ascii="Arial" w:cs="Arial" w:eastAsia="Arial" w:hAnsi="Arial"/>
          <w:sz w:val="18"/>
          <w:szCs w:val="18"/>
          <w:color w:val="auto"/>
        </w:rPr>
      </w:pPr>
    </w:p>
    <w:p>
      <w:pPr>
        <w:ind w:left="-660" w:right="240" w:firstLine="1305"/>
        <w:spacing w:after="0" w:line="322" w:lineRule="auto"/>
        <w:tabs>
          <w:tab w:leader="none" w:pos="151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Parent will not, and will not permit any of its Restricted Subsidiaries to, engage to any material extent in any business other than businesses of the type conducted by Parent and its Restricted Subsidiaries on the date of execution of this Agreement and businesses reasonably related or ancillary thereto or similar or complementary thereto or reasonable extensions thereof.</w:t>
      </w:r>
    </w:p>
    <w:p>
      <w:pPr>
        <w:spacing w:after="0" w:line="112" w:lineRule="exact"/>
        <w:rPr>
          <w:rFonts w:ascii="Arial" w:cs="Arial" w:eastAsia="Arial" w:hAnsi="Arial"/>
          <w:sz w:val="18"/>
          <w:szCs w:val="18"/>
          <w:color w:val="auto"/>
        </w:rPr>
      </w:pPr>
    </w:p>
    <w:p>
      <w:pPr>
        <w:ind w:left="-660" w:right="140" w:firstLine="1305"/>
        <w:spacing w:after="0" w:line="273" w:lineRule="auto"/>
        <w:tabs>
          <w:tab w:leader="none" w:pos="1504" w:val="left"/>
        </w:tabs>
        <w:numPr>
          <w:ilvl w:val="0"/>
          <w:numId w:val="298"/>
        </w:numPr>
        <w:rPr>
          <w:rFonts w:ascii="Arial" w:cs="Arial" w:eastAsia="Arial" w:hAnsi="Arial"/>
          <w:sz w:val="20"/>
          <w:szCs w:val="20"/>
          <w:color w:val="auto"/>
        </w:rPr>
      </w:pPr>
      <w:r>
        <w:rPr>
          <w:rFonts w:ascii="Arial" w:cs="Arial" w:eastAsia="Arial" w:hAnsi="Arial"/>
          <w:sz w:val="20"/>
          <w:szCs w:val="20"/>
          <w:color w:val="auto"/>
        </w:rPr>
        <w:t xml:space="preserve">Parent will not, nor will it permit any of its Restricted Subsidiaries to, change its fiscal year from the basis in effect on the Closing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Loan Parties may, upon written notice to the Administrative Agent, change their respective fiscal years to any other fiscal year reasonably acceptable to the Administrative Agent, in which case, the Lead Borrower and the Administrative Agent will, and are hereby authorized by the Lenders to, make any adjustments to this Agreement that are necessary to reflect such change in fiscal year.</w:t>
      </w:r>
    </w:p>
    <w:p>
      <w:pPr>
        <w:spacing w:after="0" w:line="200" w:lineRule="exact"/>
        <w:rPr>
          <w:rFonts w:ascii="Arial" w:cs="Arial" w:eastAsia="Arial" w:hAnsi="Arial"/>
          <w:sz w:val="20"/>
          <w:szCs w:val="20"/>
          <w:color w:val="auto"/>
        </w:rPr>
      </w:pPr>
    </w:p>
    <w:p>
      <w:pPr>
        <w:spacing w:after="0" w:line="396" w:lineRule="exact"/>
        <w:rPr>
          <w:rFonts w:ascii="Arial" w:cs="Arial" w:eastAsia="Arial" w:hAnsi="Arial"/>
          <w:sz w:val="20"/>
          <w:szCs w:val="20"/>
          <w:color w:val="auto"/>
        </w:rPr>
      </w:pPr>
    </w:p>
    <w:p>
      <w:pPr>
        <w:ind w:left="4900" w:hanging="110"/>
        <w:spacing w:after="0"/>
        <w:tabs>
          <w:tab w:leader="none" w:pos="4900" w:val="left"/>
        </w:tabs>
        <w:numPr>
          <w:ilvl w:val="2"/>
          <w:numId w:val="298"/>
        </w:numPr>
        <w:rPr>
          <w:rFonts w:ascii="Arial" w:cs="Arial" w:eastAsia="Arial" w:hAnsi="Arial"/>
          <w:sz w:val="20"/>
          <w:szCs w:val="20"/>
          <w:color w:val="auto"/>
        </w:rPr>
      </w:pPr>
      <w:r>
        <w:rPr>
          <w:rFonts w:ascii="Arial" w:cs="Arial" w:eastAsia="Arial" w:hAnsi="Arial"/>
          <w:sz w:val="20"/>
          <w:szCs w:val="20"/>
          <w:color w:val="auto"/>
        </w:rPr>
        <w:t>140 -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48895</wp:posOffset>
            </wp:positionV>
            <wp:extent cx="72720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366" w:right="239" w:bottom="1440" w:gutter="0" w:footer="0" w:header="0"/>
        </w:sectPr>
      </w:pPr>
    </w:p>
    <w:bookmarkStart w:id="336" w:name="page337"/>
    <w:bookmarkEnd w:id="336"/>
    <w:p>
      <w:pPr>
        <w:ind w:firstLine="1297"/>
        <w:spacing w:after="0" w:line="274" w:lineRule="auto"/>
        <w:rPr>
          <w:sz w:val="20"/>
          <w:szCs w:val="20"/>
          <w:color w:val="auto"/>
        </w:rPr>
      </w:pPr>
      <w:r>
        <w:rPr>
          <w:rFonts w:ascii="Arial" w:cs="Arial" w:eastAsia="Arial" w:hAnsi="Arial"/>
          <w:sz w:val="18"/>
          <w:szCs w:val="18"/>
          <w:b w:val="1"/>
          <w:bCs w:val="1"/>
          <w:color w:val="auto"/>
        </w:rPr>
        <w:t xml:space="preserve">Section 7.04 </w:t>
      </w:r>
      <w:r>
        <w:rPr>
          <w:rFonts w:ascii="Arial" w:cs="Arial" w:eastAsia="Arial" w:hAnsi="Arial"/>
          <w:sz w:val="18"/>
          <w:szCs w:val="18"/>
          <w:u w:val="single" w:color="auto"/>
          <w:color w:val="auto"/>
        </w:rPr>
        <w:t>Investments, Loans, Advances, Guarantees and Acquisitions</w:t>
      </w:r>
      <w:r>
        <w:rPr>
          <w:rFonts w:ascii="Arial" w:cs="Arial" w:eastAsia="Arial" w:hAnsi="Arial"/>
          <w:sz w:val="18"/>
          <w:szCs w:val="18"/>
          <w:color w:val="auto"/>
        </w:rPr>
        <w:t>. Parent will not, and will not permit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Subsidiaries to, (i) purchase, hold or acquire (including pursuant to any merger or consolidation with any Person that was not a Wholly Owned Restricted Subsidiary prior to such merger) any Equity Interest,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(ii) purchase or otherwise acquire (in one transaction or a series of transactions) substantially all the assets of any Person or any assets of any other Person constituting a business unit, division, product line (including rights in respect of any drug or other pharmaceutical product) or line of business of such Person, or (iii) acquire an Exclusive License of rights to a drug or other product line of any Person (each, an “</w:t>
      </w:r>
      <w:r>
        <w:rPr>
          <w:rFonts w:ascii="Arial" w:cs="Arial" w:eastAsia="Arial" w:hAnsi="Arial"/>
          <w:sz w:val="18"/>
          <w:szCs w:val="18"/>
          <w:u w:val="single" w:color="auto"/>
          <w:color w:val="auto"/>
        </w:rPr>
        <w:t>Investment</w:t>
      </w:r>
      <w:r>
        <w:rPr>
          <w:rFonts w:ascii="Arial" w:cs="Arial" w:eastAsia="Arial" w:hAnsi="Arial"/>
          <w:sz w:val="18"/>
          <w:szCs w:val="18"/>
          <w:color w:val="auto"/>
        </w:rPr>
        <w:t>”) except:</w:t>
      </w:r>
    </w:p>
    <w:p>
      <w:pPr>
        <w:spacing w:after="0" w:line="141" w:lineRule="exact"/>
        <w:rPr>
          <w:sz w:val="20"/>
          <w:szCs w:val="20"/>
          <w:color w:val="auto"/>
        </w:rPr>
      </w:pPr>
    </w:p>
    <w:p>
      <w:pPr>
        <w:ind w:left="2180" w:hanging="875"/>
        <w:spacing w:after="0"/>
        <w:tabs>
          <w:tab w:leader="none" w:pos="218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cash and Permitted Investments;</w:t>
      </w:r>
    </w:p>
    <w:p>
      <w:pPr>
        <w:spacing w:after="0" w:line="202" w:lineRule="exact"/>
        <w:rPr>
          <w:rFonts w:ascii="Arial" w:cs="Arial" w:eastAsia="Arial" w:hAnsi="Arial"/>
          <w:sz w:val="20"/>
          <w:szCs w:val="20"/>
          <w:color w:val="auto"/>
        </w:rPr>
      </w:pPr>
    </w:p>
    <w:p>
      <w:pPr>
        <w:ind w:left="2180" w:hanging="875"/>
        <w:spacing w:after="0"/>
        <w:tabs>
          <w:tab w:leader="none" w:pos="218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Permitted Acquisitions;</w:t>
      </w:r>
    </w:p>
    <w:p>
      <w:pPr>
        <w:spacing w:after="0" w:line="202" w:lineRule="exact"/>
        <w:rPr>
          <w:rFonts w:ascii="Arial" w:cs="Arial" w:eastAsia="Arial" w:hAnsi="Arial"/>
          <w:sz w:val="20"/>
          <w:szCs w:val="20"/>
          <w:color w:val="auto"/>
        </w:rPr>
      </w:pPr>
    </w:p>
    <w:p>
      <w:pPr>
        <w:ind w:left="660" w:firstLine="645"/>
        <w:spacing w:after="0" w:line="274" w:lineRule="auto"/>
        <w:tabs>
          <w:tab w:leader="none" w:pos="2176" w:val="left"/>
        </w:tabs>
        <w:numPr>
          <w:ilvl w:val="0"/>
          <w:numId w:val="299"/>
        </w:numPr>
        <w:rPr>
          <w:rFonts w:ascii="Arial" w:cs="Arial" w:eastAsia="Arial" w:hAnsi="Arial"/>
          <w:sz w:val="20"/>
          <w:szCs w:val="20"/>
          <w:color w:val="auto"/>
        </w:rPr>
      </w:pPr>
      <w:r>
        <w:rPr>
          <w:rFonts w:ascii="Arial" w:cs="Arial" w:eastAsia="Arial" w:hAnsi="Arial"/>
          <w:sz w:val="20"/>
          <w:szCs w:val="20"/>
          <w:color w:val="auto"/>
        </w:rPr>
        <w:t xml:space="preserve">Investments by Parent and its Restricted Subsidiaries existing on the </w:t>
      </w:r>
      <w:r>
        <w:rPr>
          <w:rFonts w:ascii="Arial" w:cs="Arial" w:eastAsia="Arial" w:hAnsi="Arial"/>
          <w:sz w:val="20"/>
          <w:szCs w:val="20"/>
          <w:color w:val="FF0000"/>
          <w:strike w:val="1"/>
        </w:rPr>
        <w:t>date hereof</w:t>
      </w:r>
      <w:r>
        <w:rPr>
          <w:rFonts w:ascii="Arial" w:cs="Arial" w:eastAsia="Arial" w:hAnsi="Arial"/>
          <w:sz w:val="20"/>
          <w:szCs w:val="20"/>
          <w:u w:val="single" w:color="auto"/>
          <w:color w:val="0000FF"/>
        </w:rPr>
        <w:t>Closing Date</w:t>
      </w:r>
      <w:r>
        <w:rPr>
          <w:rFonts w:ascii="Arial" w:cs="Arial" w:eastAsia="Arial" w:hAnsi="Arial"/>
          <w:sz w:val="20"/>
          <w:szCs w:val="20"/>
          <w:color w:val="auto"/>
        </w:rPr>
        <w:t xml:space="preserve"> or made by Parent and its Restricted Subsidiaries pursuant to legally binding written contracts in existence on the </w:t>
      </w:r>
      <w:r>
        <w:rPr>
          <w:rFonts w:ascii="Arial" w:cs="Arial" w:eastAsia="Arial" w:hAnsi="Arial"/>
          <w:sz w:val="20"/>
          <w:szCs w:val="20"/>
          <w:color w:val="FF0000"/>
          <w:strike w:val="1"/>
        </w:rPr>
        <w:t>date hereof</w:t>
      </w:r>
      <w:r>
        <w:rPr>
          <w:rFonts w:ascii="Arial" w:cs="Arial" w:eastAsia="Arial" w:hAnsi="Arial"/>
          <w:sz w:val="20"/>
          <w:szCs w:val="20"/>
          <w:u w:val="single" w:color="auto"/>
          <w:color w:val="0000FF"/>
        </w:rPr>
        <w:t>Closing Date</w:t>
      </w:r>
      <w:r>
        <w:rPr>
          <w:rFonts w:ascii="Arial" w:cs="Arial" w:eastAsia="Arial" w:hAnsi="Arial"/>
          <w:sz w:val="20"/>
          <w:szCs w:val="20"/>
          <w:color w:val="auto"/>
        </w:rPr>
        <w:t xml:space="preserve">, in each case, set forth on </w:t>
      </w:r>
      <w:r>
        <w:rPr>
          <w:rFonts w:ascii="Arial" w:cs="Arial" w:eastAsia="Arial" w:hAnsi="Arial"/>
          <w:sz w:val="20"/>
          <w:szCs w:val="20"/>
          <w:u w:val="single" w:color="auto"/>
          <w:color w:val="auto"/>
        </w:rPr>
        <w:t>Schedule 7.04</w:t>
      </w:r>
      <w:r>
        <w:rPr>
          <w:rFonts w:ascii="Arial" w:cs="Arial" w:eastAsia="Arial" w:hAnsi="Arial"/>
          <w:sz w:val="20"/>
          <w:szCs w:val="20"/>
          <w:color w:val="auto"/>
        </w:rPr>
        <w:t xml:space="preserve"> and any modification, replacement, reinvestment, renewal or extension thereof to the extent not involving any additional net Investment;</w:t>
      </w:r>
    </w:p>
    <w:p>
      <w:pPr>
        <w:spacing w:after="0" w:line="151" w:lineRule="exact"/>
        <w:rPr>
          <w:rFonts w:ascii="Arial" w:cs="Arial" w:eastAsia="Arial" w:hAnsi="Arial"/>
          <w:sz w:val="20"/>
          <w:szCs w:val="20"/>
          <w:color w:val="auto"/>
        </w:rPr>
      </w:pPr>
    </w:p>
    <w:p>
      <w:pPr>
        <w:ind w:left="660" w:right="20" w:firstLine="645"/>
        <w:spacing w:after="0" w:line="301" w:lineRule="auto"/>
        <w:tabs>
          <w:tab w:leader="none" w:pos="218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Investments made by Parent in or to any Restricted Subsidiary and made by any Restricted Subsidiary in or to Parent or any other Restricted Subsidiary and Guarantees by Parent or any Restricted Subsidiary of obligations of any 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amount of any Investment under this clause (d) by a Loan Party in a Restricted Subsidiary which is not a Loan Party made after the Closing Date or constituting a Guarantee of obligations of any Restricted Subsidiary that is not a Loan Party made after the Closing Date shall not exceed, together with the aggregate amount of all other Investments made pursuant to this proviso, $100,000,000 at any time outstanding (excluding any intercompany accounts payable and receivable, guarantee fees and transfer pricing arrangements), and (ii) in the case of any intercompany Indebtedness (other than Indebtedness among Subsidiaries that are not Loan Parties and, for the avoidance of doubt, any intercompany accounts payable and receivable, guarantee fees and transfer pricing arrangements), (A) </w:t>
      </w:r>
      <w:r>
        <w:rPr>
          <w:rFonts w:ascii="Arial" w:cs="Arial" w:eastAsia="Arial" w:hAnsi="Arial"/>
          <w:sz w:val="18"/>
          <w:szCs w:val="18"/>
          <w:color w:val="FF0000"/>
          <w:strike w:val="1"/>
        </w:rPr>
        <w:t>each item of</w:t>
      </w:r>
      <w:r>
        <w:rPr>
          <w:rFonts w:ascii="Arial" w:cs="Arial" w:eastAsia="Arial" w:hAnsi="Arial"/>
          <w:sz w:val="18"/>
          <w:szCs w:val="18"/>
          <w:u w:val="single" w:color="auto"/>
          <w:color w:val="0000FF"/>
        </w:rPr>
        <w:t>to the extent such intercompany Indebtedness is in an aggregate principal amount exceeding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$10,000,000, such</w:t>
      </w:r>
      <w:r>
        <w:rPr>
          <w:rFonts w:ascii="Arial" w:cs="Arial" w:eastAsia="Arial" w:hAnsi="Arial"/>
          <w:sz w:val="18"/>
          <w:szCs w:val="18"/>
          <w:color w:val="0000FF"/>
        </w:rPr>
        <w:t xml:space="preserve"> </w:t>
      </w:r>
      <w:r>
        <w:rPr>
          <w:rFonts w:ascii="Arial" w:cs="Arial" w:eastAsia="Arial" w:hAnsi="Arial"/>
          <w:sz w:val="18"/>
          <w:szCs w:val="18"/>
          <w:color w:val="000000"/>
        </w:rPr>
        <w:t>intercompany Indebtedness shall be evidenced by a promissory note (which shall be substantially in the form of</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Exhibit H</w:t>
      </w:r>
      <w:r>
        <w:rPr>
          <w:rFonts w:ascii="Arial" w:cs="Arial" w:eastAsia="Arial" w:hAnsi="Arial"/>
          <w:sz w:val="18"/>
          <w:szCs w:val="18"/>
          <w:color w:val="000000"/>
        </w:rPr>
        <w:t xml:space="preserve"> hereto or such other form as is reasonably acceptable to the Administrative Agent), (B) each promissory note evidencing intercompany Indebtedness </w:t>
      </w:r>
      <w:r>
        <w:rPr>
          <w:rFonts w:ascii="Arial" w:cs="Arial" w:eastAsia="Arial" w:hAnsi="Arial"/>
          <w:sz w:val="18"/>
          <w:szCs w:val="18"/>
          <w:color w:val="FF0000"/>
          <w:strike w:val="1"/>
        </w:rPr>
        <w:t>made</w:t>
      </w:r>
      <w:r>
        <w:rPr>
          <w:rFonts w:ascii="Arial" w:cs="Arial" w:eastAsia="Arial" w:hAnsi="Arial"/>
          <w:sz w:val="18"/>
          <w:szCs w:val="18"/>
          <w:u w:val="single" w:color="auto"/>
          <w:color w:val="0000FF"/>
        </w:rPr>
        <w:t>owed</w:t>
      </w:r>
      <w:r>
        <w:rPr>
          <w:rFonts w:ascii="Arial" w:cs="Arial" w:eastAsia="Arial" w:hAnsi="Arial"/>
          <w:sz w:val="18"/>
          <w:szCs w:val="18"/>
          <w:color w:val="000000"/>
        </w:rPr>
        <w:t xml:space="preserve"> by </w:t>
      </w:r>
      <w:r>
        <w:rPr>
          <w:rFonts w:ascii="Arial" w:cs="Arial" w:eastAsia="Arial" w:hAnsi="Arial"/>
          <w:sz w:val="18"/>
          <w:szCs w:val="18"/>
          <w:u w:val="single" w:color="auto"/>
          <w:color w:val="0000FF"/>
        </w:rPr>
        <w:t>any Loan Party to</w:t>
      </w:r>
      <w:r>
        <w:rPr>
          <w:rFonts w:ascii="Arial" w:cs="Arial" w:eastAsia="Arial" w:hAnsi="Arial"/>
          <w:sz w:val="18"/>
          <w:szCs w:val="18"/>
          <w:color w:val="000000"/>
        </w:rPr>
        <w:t xml:space="preserve"> a Subsidiary that is not </w:t>
      </w:r>
      <w:r>
        <w:rPr>
          <w:rFonts w:ascii="Arial" w:cs="Arial" w:eastAsia="Arial" w:hAnsi="Arial"/>
          <w:sz w:val="18"/>
          <w:szCs w:val="18"/>
          <w:color w:val="FF0000"/>
          <w:strike w:val="1"/>
        </w:rPr>
        <w:t>a Loan Party to</w:t>
      </w:r>
      <w:r>
        <w:rPr>
          <w:rFonts w:ascii="Arial" w:cs="Arial" w:eastAsia="Arial" w:hAnsi="Arial"/>
          <w:sz w:val="18"/>
          <w:szCs w:val="18"/>
          <w:color w:val="000000"/>
        </w:rPr>
        <w:t xml:space="preserve"> a Loan Party shall contain the subordination provisions set forth in </w:t>
      </w:r>
      <w:r>
        <w:rPr>
          <w:rFonts w:ascii="Arial" w:cs="Arial" w:eastAsia="Arial" w:hAnsi="Arial"/>
          <w:sz w:val="18"/>
          <w:szCs w:val="18"/>
          <w:u w:val="single" w:color="auto"/>
          <w:color w:val="000000"/>
        </w:rPr>
        <w:t>Exhibit I</w:t>
      </w:r>
      <w:r>
        <w:rPr>
          <w:rFonts w:ascii="Arial" w:cs="Arial" w:eastAsia="Arial" w:hAnsi="Arial"/>
          <w:sz w:val="18"/>
          <w:szCs w:val="18"/>
          <w:color w:val="000000"/>
        </w:rPr>
        <w:t xml:space="preserve"> and (C) </w:t>
      </w:r>
      <w:r>
        <w:rPr>
          <w:rFonts w:ascii="Arial" w:cs="Arial" w:eastAsia="Arial" w:hAnsi="Arial"/>
          <w:sz w:val="18"/>
          <w:szCs w:val="18"/>
          <w:u w:val="single" w:color="auto"/>
          <w:color w:val="0000FF"/>
        </w:rPr>
        <w:t>such Indebtedness and</w:t>
      </w:r>
      <w:r>
        <w:rPr>
          <w:rFonts w:ascii="Arial" w:cs="Arial" w:eastAsia="Arial" w:hAnsi="Arial"/>
          <w:sz w:val="18"/>
          <w:szCs w:val="18"/>
          <w:color w:val="000000"/>
        </w:rPr>
        <w:t xml:space="preserve"> each promissory note evidencing </w:t>
      </w:r>
      <w:r>
        <w:rPr>
          <w:rFonts w:ascii="Arial" w:cs="Arial" w:eastAsia="Arial" w:hAnsi="Arial"/>
          <w:sz w:val="18"/>
          <w:szCs w:val="18"/>
          <w:u w:val="single" w:color="auto"/>
          <w:color w:val="0000FF"/>
        </w:rPr>
        <w:t>such</w:t>
      </w:r>
      <w:r>
        <w:rPr>
          <w:rFonts w:ascii="Arial" w:cs="Arial" w:eastAsia="Arial" w:hAnsi="Arial"/>
          <w:sz w:val="18"/>
          <w:szCs w:val="18"/>
          <w:color w:val="000000"/>
        </w:rPr>
        <w:t xml:space="preserve"> intercompany Indebtedness held by a Loan Party shall be pledged to the Collateral Agent pursuant to the applicable Collateral Documents to the extent required thereby;</w:t>
      </w:r>
    </w:p>
    <w:p>
      <w:pPr>
        <w:spacing w:after="0" w:line="130" w:lineRule="exact"/>
        <w:rPr>
          <w:rFonts w:ascii="Arial" w:cs="Arial" w:eastAsia="Arial" w:hAnsi="Arial"/>
          <w:sz w:val="18"/>
          <w:szCs w:val="18"/>
          <w:color w:val="auto"/>
        </w:rPr>
      </w:pPr>
    </w:p>
    <w:p>
      <w:pPr>
        <w:ind w:left="2180" w:hanging="875"/>
        <w:spacing w:after="0"/>
        <w:tabs>
          <w:tab w:leader="none" w:pos="218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 xml:space="preserve">Guarantees constituting Indebtedness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60" w:right="240" w:firstLine="645"/>
        <w:spacing w:after="0" w:line="289" w:lineRule="auto"/>
        <w:tabs>
          <w:tab w:leader="none" w:pos="2154" w:val="left"/>
        </w:tabs>
        <w:numPr>
          <w:ilvl w:val="0"/>
          <w:numId w:val="299"/>
        </w:numPr>
        <w:rPr>
          <w:rFonts w:ascii="Arial" w:cs="Arial" w:eastAsia="Arial" w:hAnsi="Arial"/>
          <w:sz w:val="20"/>
          <w:szCs w:val="20"/>
          <w:color w:val="auto"/>
        </w:rPr>
      </w:pPr>
      <w:r>
        <w:rPr>
          <w:rFonts w:ascii="Arial" w:cs="Arial" w:eastAsia="Arial" w:hAnsi="Arial"/>
          <w:sz w:val="20"/>
          <w:szCs w:val="20"/>
          <w:color w:val="auto"/>
        </w:rPr>
        <w:t>Investments received in connection with the bankruptcy or reorganization of, or settlement of delinquent accounts and disputes with, customers and suppliers, in each case in the ordinary course of business;</w:t>
      </w: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p>
      <w:pPr>
        <w:ind w:left="5560" w:hanging="110"/>
        <w:spacing w:after="0"/>
        <w:tabs>
          <w:tab w:leader="none" w:pos="5560" w:val="left"/>
        </w:tabs>
        <w:numPr>
          <w:ilvl w:val="1"/>
          <w:numId w:val="299"/>
        </w:numPr>
        <w:rPr>
          <w:rFonts w:ascii="Arial" w:cs="Arial" w:eastAsia="Arial" w:hAnsi="Arial"/>
          <w:sz w:val="20"/>
          <w:szCs w:val="20"/>
          <w:color w:val="auto"/>
        </w:rPr>
      </w:pPr>
      <w:r>
        <w:rPr>
          <w:rFonts w:ascii="Arial" w:cs="Arial" w:eastAsia="Arial" w:hAnsi="Arial"/>
          <w:sz w:val="20"/>
          <w:szCs w:val="20"/>
          <w:color w:val="auto"/>
        </w:rPr>
        <w:t>141 -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337" w:name="page338"/>
    <w:bookmarkEnd w:id="337"/>
    <w:p>
      <w:pPr>
        <w:ind w:left="1520" w:hanging="875"/>
        <w:spacing w:after="0"/>
        <w:tabs>
          <w:tab w:leader="none" w:pos="152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Investments made as a result of the receipt of non-cash consideration from a Disposition, of any asset in compliance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 xml:space="preserve">with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202" w:lineRule="exact"/>
        <w:rPr>
          <w:rFonts w:ascii="Arial" w:cs="Arial" w:eastAsia="Arial" w:hAnsi="Arial"/>
          <w:sz w:val="16"/>
          <w:szCs w:val="16"/>
          <w:color w:val="auto"/>
        </w:rPr>
      </w:pPr>
    </w:p>
    <w:p>
      <w:pPr>
        <w:ind w:firstLine="645"/>
        <w:spacing w:after="0" w:line="314" w:lineRule="auto"/>
        <w:tabs>
          <w:tab w:leader="none" w:pos="152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Investments in the form of Swap Agreements entered into (i) to hedge or mitigate risks to which Parent or any Restricted Subsidiary has actual exposure (other than those in respect of Equity Interests of Parent or any of its Restricted Subsidiaries) or (ii) in order to effectively cap, collar or exchange interest rates (from fixed to floating rates, from one floating rate to another floating rate or otherwise) with respect to any interest-bearing liability or investment of Parent or any Restricted Subsidiary;</w:t>
      </w:r>
    </w:p>
    <w:p>
      <w:pPr>
        <w:spacing w:after="0" w:line="118" w:lineRule="exact"/>
        <w:rPr>
          <w:rFonts w:ascii="Arial" w:cs="Arial" w:eastAsia="Arial" w:hAnsi="Arial"/>
          <w:sz w:val="18"/>
          <w:szCs w:val="18"/>
          <w:color w:val="auto"/>
        </w:rPr>
      </w:pPr>
    </w:p>
    <w:p>
      <w:pPr>
        <w:ind w:right="200" w:firstLine="645"/>
        <w:spacing w:after="0" w:line="289" w:lineRule="auto"/>
        <w:tabs>
          <w:tab w:leader="none" w:pos="1483" w:val="left"/>
        </w:tabs>
        <w:numPr>
          <w:ilvl w:val="0"/>
          <w:numId w:val="300"/>
        </w:numPr>
        <w:rPr>
          <w:rFonts w:ascii="Arial" w:cs="Arial" w:eastAsia="Arial" w:hAnsi="Arial"/>
          <w:sz w:val="20"/>
          <w:szCs w:val="20"/>
          <w:color w:val="auto"/>
        </w:rPr>
      </w:pPr>
      <w:r>
        <w:rPr>
          <w:rFonts w:ascii="Arial" w:cs="Arial" w:eastAsia="Arial" w:hAnsi="Arial"/>
          <w:sz w:val="20"/>
          <w:szCs w:val="20"/>
          <w:color w:val="auto"/>
        </w:rPr>
        <w:t>payroll, travel and similar advances to directors, officers and employees of Parent, any Borrower or any Restricted Subsidiary that are made in the ordinary course of business;</w:t>
      </w:r>
    </w:p>
    <w:p>
      <w:pPr>
        <w:spacing w:after="0" w:line="134" w:lineRule="exact"/>
        <w:rPr>
          <w:rFonts w:ascii="Arial" w:cs="Arial" w:eastAsia="Arial" w:hAnsi="Arial"/>
          <w:sz w:val="20"/>
          <w:szCs w:val="20"/>
          <w:color w:val="auto"/>
        </w:rPr>
      </w:pPr>
    </w:p>
    <w:p>
      <w:pPr>
        <w:ind w:left="1480" w:hanging="835"/>
        <w:spacing w:after="0"/>
        <w:tabs>
          <w:tab w:leader="none" w:pos="1480" w:val="left"/>
        </w:tabs>
        <w:numPr>
          <w:ilvl w:val="0"/>
          <w:numId w:val="300"/>
        </w:numPr>
        <w:rPr>
          <w:rFonts w:ascii="Arial" w:cs="Arial" w:eastAsia="Arial" w:hAnsi="Arial"/>
          <w:sz w:val="20"/>
          <w:szCs w:val="20"/>
          <w:color w:val="auto"/>
        </w:rPr>
      </w:pPr>
      <w:r>
        <w:rPr>
          <w:rFonts w:ascii="Arial" w:cs="Arial" w:eastAsia="Arial" w:hAnsi="Arial"/>
          <w:sz w:val="20"/>
          <w:szCs w:val="20"/>
          <w:color w:val="auto"/>
        </w:rPr>
        <w:t>extensions of trade credit in the ordinary course of business;</w:t>
      </w:r>
    </w:p>
    <w:p>
      <w:pPr>
        <w:spacing w:after="0" w:line="202" w:lineRule="exact"/>
        <w:rPr>
          <w:rFonts w:ascii="Arial" w:cs="Arial" w:eastAsia="Arial" w:hAnsi="Arial"/>
          <w:sz w:val="20"/>
          <w:szCs w:val="20"/>
          <w:color w:val="auto"/>
        </w:rPr>
      </w:pPr>
    </w:p>
    <w:p>
      <w:pPr>
        <w:ind w:left="1520" w:hanging="875"/>
        <w:spacing w:after="0"/>
        <w:tabs>
          <w:tab w:leader="none" w:pos="15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Investments to the extent the consideration paid therefor consists of Equity Interests (other than Disqualified Capital</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Stock) of Parent;</w:t>
      </w:r>
    </w:p>
    <w:p>
      <w:pPr>
        <w:spacing w:after="0" w:line="202" w:lineRule="exact"/>
        <w:rPr>
          <w:rFonts w:ascii="Arial" w:cs="Arial" w:eastAsia="Arial" w:hAnsi="Arial"/>
          <w:sz w:val="18"/>
          <w:szCs w:val="18"/>
          <w:color w:val="auto"/>
        </w:rPr>
      </w:pPr>
    </w:p>
    <w:p>
      <w:pPr>
        <w:ind w:right="300" w:firstLine="645"/>
        <w:spacing w:after="0" w:line="278" w:lineRule="auto"/>
        <w:tabs>
          <w:tab w:leader="none" w:pos="1483" w:val="left"/>
        </w:tabs>
        <w:numPr>
          <w:ilvl w:val="0"/>
          <w:numId w:val="300"/>
        </w:numPr>
        <w:rPr>
          <w:rFonts w:ascii="Arial" w:cs="Arial" w:eastAsia="Arial" w:hAnsi="Arial"/>
          <w:sz w:val="20"/>
          <w:szCs w:val="20"/>
          <w:color w:val="auto"/>
        </w:rPr>
      </w:pPr>
      <w:r>
        <w:rPr>
          <w:rFonts w:ascii="Arial" w:cs="Arial" w:eastAsia="Arial" w:hAnsi="Arial"/>
          <w:sz w:val="20"/>
          <w:szCs w:val="20"/>
          <w:color w:val="auto"/>
        </w:rPr>
        <w:t xml:space="preserve">Investments of any Person in existence at the time such Person becomes a 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Investment was not made in connection with or anticipation of such Person becoming a Restricted Subsidiary and any modification, replacement, renewal or extension thereof;</w:t>
      </w:r>
    </w:p>
    <w:p>
      <w:pPr>
        <w:spacing w:after="0" w:line="146" w:lineRule="exact"/>
        <w:rPr>
          <w:rFonts w:ascii="Arial" w:cs="Arial" w:eastAsia="Arial" w:hAnsi="Arial"/>
          <w:sz w:val="20"/>
          <w:szCs w:val="20"/>
          <w:color w:val="auto"/>
        </w:rPr>
      </w:pPr>
    </w:p>
    <w:p>
      <w:pPr>
        <w:ind w:firstLine="645"/>
        <w:spacing w:after="0" w:line="303" w:lineRule="auto"/>
        <w:tabs>
          <w:tab w:leader="none" w:pos="158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the purchase by Parent or any Restricted Subsidiary of any call option (or similar instrument) to purchase Equity Interests (other than Disqualified Capital Stock) of Parent entered into contemporaneously and otherwise in connection with the issuance of convertible or exchangeable debt securities otherwise permitted to be issued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aggregate consideration for such call option or options shall not exceed $75,000,000 million plus the amount of any Net Cash Proceeds received by Parent from the sale of any warrants (or similar instruments) to sell Equity Interests (other than Disqualified Capital Stock) of Parent entered into contemporaneously and otherwise in connection with the purchase of such option or options and issuance of such convertible or exchangeable debt securities and (ii) after giving effect to any such issuance of convertible or exchangeable debt securities (x) the Total Leverage Ratio shall be less than or equal to 3.00 to 1.00 and (y) the Secured Leverage Ratio shall be less than or equal to 2.25 to 1.00, in each case, as of the end of the most recently completed Test Period on a pro forma basis in accordance with </w:t>
      </w:r>
      <w:r>
        <w:rPr>
          <w:rFonts w:ascii="Arial" w:cs="Arial" w:eastAsia="Arial" w:hAnsi="Arial"/>
          <w:sz w:val="18"/>
          <w:szCs w:val="18"/>
          <w:u w:val="single" w:color="auto"/>
          <w:color w:val="auto"/>
        </w:rPr>
        <w:t>Section 1.03(c)</w:t>
      </w:r>
      <w:r>
        <w:rPr>
          <w:rFonts w:ascii="Arial" w:cs="Arial" w:eastAsia="Arial" w:hAnsi="Arial"/>
          <w:sz w:val="18"/>
          <w:szCs w:val="18"/>
          <w:color w:val="auto"/>
        </w:rPr>
        <w:t xml:space="preserve"> (and, if applicable, </w:t>
      </w:r>
      <w:r>
        <w:rPr>
          <w:rFonts w:ascii="Arial" w:cs="Arial" w:eastAsia="Arial" w:hAnsi="Arial"/>
          <w:sz w:val="18"/>
          <w:szCs w:val="18"/>
          <w:u w:val="single" w:color="auto"/>
          <w:color w:val="auto"/>
        </w:rPr>
        <w:t>Section 1.03(e)</w:t>
      </w:r>
      <w:r>
        <w:rPr>
          <w:rFonts w:ascii="Arial" w:cs="Arial" w:eastAsia="Arial" w:hAnsi="Arial"/>
          <w:sz w:val="18"/>
          <w:szCs w:val="18"/>
          <w:color w:val="auto"/>
        </w:rPr>
        <w:t>);</w:t>
      </w:r>
    </w:p>
    <w:p>
      <w:pPr>
        <w:spacing w:after="0" w:line="128" w:lineRule="exact"/>
        <w:rPr>
          <w:rFonts w:ascii="Arial" w:cs="Arial" w:eastAsia="Arial" w:hAnsi="Arial"/>
          <w:sz w:val="18"/>
          <w:szCs w:val="18"/>
          <w:color w:val="auto"/>
        </w:rPr>
      </w:pPr>
    </w:p>
    <w:p>
      <w:pPr>
        <w:ind w:right="80" w:firstLine="645"/>
        <w:spacing w:after="0" w:line="289" w:lineRule="auto"/>
        <w:tabs>
          <w:tab w:leader="none" w:pos="1527" w:val="left"/>
        </w:tabs>
        <w:numPr>
          <w:ilvl w:val="0"/>
          <w:numId w:val="300"/>
        </w:numPr>
        <w:rPr>
          <w:rFonts w:ascii="Arial" w:cs="Arial" w:eastAsia="Arial" w:hAnsi="Arial"/>
          <w:sz w:val="20"/>
          <w:szCs w:val="20"/>
          <w:color w:val="auto"/>
        </w:rPr>
      </w:pPr>
      <w:r>
        <w:rPr>
          <w:rFonts w:ascii="Arial" w:cs="Arial" w:eastAsia="Arial" w:hAnsi="Arial"/>
          <w:sz w:val="20"/>
          <w:szCs w:val="20"/>
          <w:color w:val="auto"/>
        </w:rPr>
        <w:t>any customary upfront milestone, marketing or other funding payment in the ordinary course of business to another Person in connection with obtaining a right to receive royalty or other payments in the future;</w:t>
      </w:r>
    </w:p>
    <w:p>
      <w:pPr>
        <w:spacing w:after="0" w:line="134" w:lineRule="exact"/>
        <w:rPr>
          <w:rFonts w:ascii="Arial" w:cs="Arial" w:eastAsia="Arial" w:hAnsi="Arial"/>
          <w:sz w:val="20"/>
          <w:szCs w:val="20"/>
          <w:color w:val="auto"/>
        </w:rPr>
      </w:pPr>
    </w:p>
    <w:p>
      <w:pPr>
        <w:jc w:val="both"/>
        <w:ind w:right="160" w:firstLine="645"/>
        <w:spacing w:after="0" w:line="278" w:lineRule="auto"/>
        <w:tabs>
          <w:tab w:leader="none" w:pos="1527" w:val="left"/>
        </w:tabs>
        <w:numPr>
          <w:ilvl w:val="0"/>
          <w:numId w:val="300"/>
        </w:numPr>
        <w:rPr>
          <w:rFonts w:ascii="Arial" w:cs="Arial" w:eastAsia="Arial" w:hAnsi="Arial"/>
          <w:sz w:val="20"/>
          <w:szCs w:val="20"/>
          <w:color w:val="auto"/>
        </w:rPr>
      </w:pPr>
      <w:r>
        <w:rPr>
          <w:rFonts w:ascii="Arial" w:cs="Arial" w:eastAsia="Arial" w:hAnsi="Arial"/>
          <w:sz w:val="20"/>
          <w:szCs w:val="20"/>
          <w:color w:val="auto"/>
        </w:rPr>
        <w:t>transfers of intellectual property to Foreign Subsidiaries, the Equity Interests of which are directly owned by or on behalf of any Loan Party and are pledged to the Administrative Agent pursuant to the Collateral Documents (including any local law governed pledge agreement requested by the Administrative Agent);</w:t>
      </w:r>
    </w:p>
    <w:p>
      <w:pPr>
        <w:spacing w:after="0" w:line="146" w:lineRule="exact"/>
        <w:rPr>
          <w:rFonts w:ascii="Arial" w:cs="Arial" w:eastAsia="Arial" w:hAnsi="Arial"/>
          <w:sz w:val="20"/>
          <w:szCs w:val="20"/>
          <w:color w:val="auto"/>
        </w:rPr>
      </w:pPr>
    </w:p>
    <w:p>
      <w:pPr>
        <w:ind w:right="80" w:firstLine="645"/>
        <w:spacing w:after="0" w:line="278" w:lineRule="auto"/>
        <w:tabs>
          <w:tab w:leader="none" w:pos="1527" w:val="left"/>
        </w:tabs>
        <w:numPr>
          <w:ilvl w:val="0"/>
          <w:numId w:val="300"/>
        </w:numPr>
        <w:rPr>
          <w:rFonts w:ascii="Arial" w:cs="Arial" w:eastAsia="Arial" w:hAnsi="Arial"/>
          <w:sz w:val="20"/>
          <w:szCs w:val="20"/>
          <w:color w:val="auto"/>
        </w:rPr>
      </w:pPr>
      <w:r>
        <w:rPr>
          <w:rFonts w:ascii="Arial" w:cs="Arial" w:eastAsia="Arial" w:hAnsi="Arial"/>
          <w:sz w:val="20"/>
          <w:szCs w:val="20"/>
          <w:color w:val="auto"/>
        </w:rPr>
        <w:t xml:space="preserve">Exclusive Licenses from a Restricted Subsidiary that is not a Loan Party to a Loan Party of rights to a drug or other pharmaceutical products, diagnostics, delivery technologies, medical devices or biotechnology businesses;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drug or other</w:t>
      </w:r>
    </w:p>
    <w:p>
      <w:pPr>
        <w:spacing w:after="0" w:line="200" w:lineRule="exact"/>
        <w:rPr>
          <w:rFonts w:ascii="Arial" w:cs="Arial" w:eastAsia="Arial" w:hAnsi="Arial"/>
          <w:sz w:val="20"/>
          <w:szCs w:val="20"/>
          <w:color w:val="auto"/>
        </w:rPr>
      </w:pPr>
    </w:p>
    <w:p>
      <w:pPr>
        <w:spacing w:after="0" w:line="391" w:lineRule="exact"/>
        <w:rPr>
          <w:rFonts w:ascii="Arial" w:cs="Arial" w:eastAsia="Arial" w:hAnsi="Arial"/>
          <w:sz w:val="20"/>
          <w:szCs w:val="20"/>
          <w:color w:val="auto"/>
        </w:rPr>
      </w:pPr>
    </w:p>
    <w:p>
      <w:pPr>
        <w:ind w:left="4900" w:hanging="110"/>
        <w:spacing w:after="0"/>
        <w:tabs>
          <w:tab w:leader="none" w:pos="4900" w:val="left"/>
        </w:tabs>
        <w:numPr>
          <w:ilvl w:val="1"/>
          <w:numId w:val="300"/>
        </w:numPr>
        <w:rPr>
          <w:rFonts w:ascii="Arial" w:cs="Arial" w:eastAsia="Arial" w:hAnsi="Arial"/>
          <w:sz w:val="20"/>
          <w:szCs w:val="20"/>
          <w:color w:val="auto"/>
        </w:rPr>
      </w:pPr>
      <w:r>
        <w:rPr>
          <w:rFonts w:ascii="Arial" w:cs="Arial" w:eastAsia="Arial" w:hAnsi="Arial"/>
          <w:sz w:val="20"/>
          <w:szCs w:val="20"/>
          <w:color w:val="auto"/>
        </w:rPr>
        <w:t>142 -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48895</wp:posOffset>
            </wp:positionV>
            <wp:extent cx="72720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40"/>
          </w:cols>
          <w:pgMar w:left="900" w:top="379" w:right="259" w:bottom="1440" w:gutter="0" w:footer="0" w:header="0"/>
        </w:sectPr>
      </w:pPr>
    </w:p>
    <w:bookmarkStart w:id="338" w:name="page339"/>
    <w:bookmarkEnd w:id="338"/>
    <w:p>
      <w:pPr>
        <w:ind w:left="660" w:right="300"/>
        <w:spacing w:after="0" w:line="260" w:lineRule="auto"/>
        <w:rPr>
          <w:sz w:val="20"/>
          <w:szCs w:val="20"/>
          <w:color w:val="auto"/>
        </w:rPr>
      </w:pPr>
      <w:r>
        <w:rPr>
          <w:rFonts w:ascii="Arial" w:cs="Arial" w:eastAsia="Arial" w:hAnsi="Arial"/>
          <w:sz w:val="20"/>
          <w:szCs w:val="20"/>
          <w:color w:val="auto"/>
        </w:rPr>
        <w:t xml:space="preserve">pharmaceutical products, diagnostics, delivery technologies, medical devices or biotechnology businesses was not acquired by such Restricted Subsidiary in an acquisition prohibited by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150" w:lineRule="exact"/>
        <w:rPr>
          <w:sz w:val="20"/>
          <w:szCs w:val="20"/>
          <w:color w:val="auto"/>
        </w:rPr>
      </w:pPr>
    </w:p>
    <w:p>
      <w:pPr>
        <w:ind w:left="660" w:right="60" w:firstLine="645"/>
        <w:spacing w:after="0" w:line="314" w:lineRule="auto"/>
        <w:tabs>
          <w:tab w:leader="none" w:pos="218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Investments in joint ventures (including JV Subsidiaries) and acquisitions of Equity Interests that would constitute Permitted Acquisitions but for the fact that Persons in which such Equity Interests are acquired do not become Wholly Owned Subsidiaries of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sum of the aggregate amount of such Investments, plus the aggregate consideration paid in all such acquisitions, made under this clause (q) after the Closing Date shall not exceed $50,000,000 at any time outstanding;</w:t>
      </w:r>
    </w:p>
    <w:p>
      <w:pPr>
        <w:spacing w:after="0" w:line="118" w:lineRule="exact"/>
        <w:rPr>
          <w:rFonts w:ascii="Arial" w:cs="Arial" w:eastAsia="Arial" w:hAnsi="Arial"/>
          <w:sz w:val="18"/>
          <w:szCs w:val="18"/>
          <w:color w:val="auto"/>
        </w:rPr>
      </w:pPr>
    </w:p>
    <w:p>
      <w:pPr>
        <w:ind w:left="2160" w:hanging="855"/>
        <w:spacing w:after="0"/>
        <w:tabs>
          <w:tab w:leader="none" w:pos="2160" w:val="left"/>
        </w:tabs>
        <w:numPr>
          <w:ilvl w:val="0"/>
          <w:numId w:val="301"/>
        </w:numPr>
        <w:rPr>
          <w:rFonts w:ascii="Arial" w:cs="Arial" w:eastAsia="Arial" w:hAnsi="Arial"/>
          <w:sz w:val="20"/>
          <w:szCs w:val="20"/>
          <w:color w:val="auto"/>
        </w:rPr>
      </w:pPr>
      <w:r>
        <w:rPr>
          <w:rFonts w:ascii="Arial" w:cs="Arial" w:eastAsia="Arial" w:hAnsi="Arial"/>
          <w:sz w:val="20"/>
          <w:szCs w:val="20"/>
          <w:color w:val="auto"/>
        </w:rPr>
        <w:t>Permitted Foreign Loans;</w:t>
      </w:r>
    </w:p>
    <w:p>
      <w:pPr>
        <w:spacing w:after="0" w:line="202" w:lineRule="exact"/>
        <w:rPr>
          <w:rFonts w:ascii="Arial" w:cs="Arial" w:eastAsia="Arial" w:hAnsi="Arial"/>
          <w:sz w:val="20"/>
          <w:szCs w:val="20"/>
          <w:color w:val="auto"/>
        </w:rPr>
      </w:pPr>
    </w:p>
    <w:p>
      <w:pPr>
        <w:ind w:left="660" w:right="320" w:firstLine="645"/>
        <w:spacing w:after="0" w:line="278" w:lineRule="auto"/>
        <w:tabs>
          <w:tab w:leader="none" w:pos="2165" w:val="left"/>
        </w:tabs>
        <w:numPr>
          <w:ilvl w:val="0"/>
          <w:numId w:val="301"/>
        </w:numPr>
        <w:rPr>
          <w:rFonts w:ascii="Arial" w:cs="Arial" w:eastAsia="Arial" w:hAnsi="Arial"/>
          <w:sz w:val="20"/>
          <w:szCs w:val="20"/>
          <w:color w:val="auto"/>
        </w:rPr>
      </w:pPr>
      <w:r>
        <w:rPr>
          <w:rFonts w:ascii="Arial" w:cs="Arial" w:eastAsia="Arial" w:hAnsi="Arial"/>
          <w:sz w:val="20"/>
          <w:szCs w:val="20"/>
          <w:color w:val="auto"/>
        </w:rPr>
        <w:t>Investments consisting of Permitted Liens, Investments in the ordinary course of business consisting of Uniform Commercial Code Article 3 endorsements for collection or deposit and Article 4 customary trade arrangements with customers consistent with past practices;</w:t>
      </w:r>
    </w:p>
    <w:p>
      <w:pPr>
        <w:spacing w:after="0" w:line="146" w:lineRule="exact"/>
        <w:rPr>
          <w:rFonts w:ascii="Arial" w:cs="Arial" w:eastAsia="Arial" w:hAnsi="Arial"/>
          <w:sz w:val="20"/>
          <w:szCs w:val="20"/>
          <w:color w:val="auto"/>
        </w:rPr>
      </w:pPr>
    </w:p>
    <w:p>
      <w:pPr>
        <w:ind w:left="660" w:right="120" w:firstLine="645"/>
        <w:spacing w:after="0" w:line="278" w:lineRule="auto"/>
        <w:tabs>
          <w:tab w:leader="none" w:pos="2143" w:val="left"/>
        </w:tabs>
        <w:numPr>
          <w:ilvl w:val="0"/>
          <w:numId w:val="301"/>
        </w:numPr>
        <w:rPr>
          <w:rFonts w:ascii="Arial" w:cs="Arial" w:eastAsia="Arial" w:hAnsi="Arial"/>
          <w:sz w:val="20"/>
          <w:szCs w:val="20"/>
          <w:color w:val="auto"/>
        </w:rPr>
      </w:pPr>
      <w:r>
        <w:rPr>
          <w:rFonts w:ascii="Arial" w:cs="Arial" w:eastAsia="Arial" w:hAnsi="Arial"/>
          <w:sz w:val="20"/>
          <w:szCs w:val="20"/>
          <w:color w:val="auto"/>
        </w:rPr>
        <w:t xml:space="preserve">loans or advances to directors and employees of Parent or any Restricted Subsidiary made in the ordinary course of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of such loans and advances outstanding, when aggregated with the Guarantees then outstanding under </w:t>
      </w:r>
      <w:r>
        <w:rPr>
          <w:rFonts w:ascii="Arial" w:cs="Arial" w:eastAsia="Arial" w:hAnsi="Arial"/>
          <w:sz w:val="20"/>
          <w:szCs w:val="20"/>
          <w:u w:val="single" w:color="auto"/>
          <w:color w:val="auto"/>
        </w:rPr>
        <w:t>Section 7.01(k)</w:t>
      </w:r>
      <w:r>
        <w:rPr>
          <w:rFonts w:ascii="Arial" w:cs="Arial" w:eastAsia="Arial" w:hAnsi="Arial"/>
          <w:sz w:val="20"/>
          <w:szCs w:val="20"/>
          <w:color w:val="auto"/>
        </w:rPr>
        <w:t>, at any time shall not exceed $10,000,000;</w:t>
      </w:r>
    </w:p>
    <w:p>
      <w:pPr>
        <w:spacing w:after="0" w:line="146" w:lineRule="exact"/>
        <w:rPr>
          <w:rFonts w:ascii="Arial" w:cs="Arial" w:eastAsia="Arial" w:hAnsi="Arial"/>
          <w:sz w:val="20"/>
          <w:szCs w:val="20"/>
          <w:color w:val="auto"/>
        </w:rPr>
      </w:pPr>
    </w:p>
    <w:p>
      <w:pPr>
        <w:ind w:left="660" w:right="60" w:firstLine="645"/>
        <w:spacing w:after="0" w:line="289" w:lineRule="auto"/>
        <w:tabs>
          <w:tab w:leader="none" w:pos="2187" w:val="left"/>
        </w:tabs>
        <w:numPr>
          <w:ilvl w:val="0"/>
          <w:numId w:val="301"/>
        </w:numPr>
        <w:rPr>
          <w:rFonts w:ascii="Arial" w:cs="Arial" w:eastAsia="Arial" w:hAnsi="Arial"/>
          <w:sz w:val="20"/>
          <w:szCs w:val="20"/>
          <w:color w:val="auto"/>
        </w:rPr>
      </w:pPr>
      <w:r>
        <w:rPr>
          <w:rFonts w:ascii="Arial" w:cs="Arial" w:eastAsia="Arial" w:hAnsi="Arial"/>
          <w:sz w:val="20"/>
          <w:szCs w:val="20"/>
          <w:color w:val="auto"/>
        </w:rPr>
        <w:t>any other Investment so long as the aggregate amount of all such Investments made after the Closing Date does not exceed the greater of $300,000,000 and 10.0% of Consolidated Total Assets at any time outstanding;</w:t>
      </w:r>
    </w:p>
    <w:p>
      <w:pPr>
        <w:spacing w:after="0" w:line="134" w:lineRule="exact"/>
        <w:rPr>
          <w:rFonts w:ascii="Arial" w:cs="Arial" w:eastAsia="Arial" w:hAnsi="Arial"/>
          <w:sz w:val="20"/>
          <w:szCs w:val="20"/>
          <w:color w:val="auto"/>
        </w:rPr>
      </w:pPr>
    </w:p>
    <w:p>
      <w:pPr>
        <w:ind w:left="2180" w:hanging="875"/>
        <w:spacing w:after="0"/>
        <w:tabs>
          <w:tab w:leader="none" w:pos="2180" w:val="left"/>
        </w:tabs>
        <w:numPr>
          <w:ilvl w:val="0"/>
          <w:numId w:val="301"/>
        </w:numPr>
        <w:rPr>
          <w:rFonts w:ascii="Arial" w:cs="Arial" w:eastAsia="Arial" w:hAnsi="Arial"/>
          <w:sz w:val="20"/>
          <w:szCs w:val="20"/>
          <w:color w:val="auto"/>
        </w:rPr>
      </w:pPr>
      <w:r>
        <w:rPr>
          <w:rFonts w:ascii="Arial" w:cs="Arial" w:eastAsia="Arial" w:hAnsi="Arial"/>
          <w:sz w:val="20"/>
          <w:szCs w:val="20"/>
          <w:color w:val="auto"/>
        </w:rPr>
        <w:t xml:space="preserve">any Permitted Reorganization; </w:t>
      </w:r>
      <w:r>
        <w:rPr>
          <w:rFonts w:ascii="Arial" w:cs="Arial" w:eastAsia="Arial" w:hAnsi="Arial"/>
          <w:sz w:val="20"/>
          <w:szCs w:val="20"/>
          <w:color w:val="FF0000"/>
          <w:strike w:val="1"/>
        </w:rPr>
        <w:t>and</w:t>
      </w:r>
    </w:p>
    <w:p>
      <w:pPr>
        <w:spacing w:after="0" w:line="202" w:lineRule="exact"/>
        <w:rPr>
          <w:rFonts w:ascii="Arial" w:cs="Arial" w:eastAsia="Arial" w:hAnsi="Arial"/>
          <w:sz w:val="20"/>
          <w:szCs w:val="20"/>
          <w:color w:val="auto"/>
        </w:rPr>
      </w:pPr>
    </w:p>
    <w:p>
      <w:pPr>
        <w:ind w:left="660" w:right="80" w:firstLine="645"/>
        <w:spacing w:after="0" w:line="289" w:lineRule="auto"/>
        <w:tabs>
          <w:tab w:leader="none" w:pos="2231" w:val="left"/>
        </w:tabs>
        <w:numPr>
          <w:ilvl w:val="0"/>
          <w:numId w:val="301"/>
        </w:numPr>
        <w:rPr>
          <w:rFonts w:ascii="Arial" w:cs="Arial" w:eastAsia="Arial" w:hAnsi="Arial"/>
          <w:sz w:val="20"/>
          <w:szCs w:val="20"/>
          <w:color w:val="auto"/>
        </w:rPr>
      </w:pPr>
      <w:r>
        <w:rPr>
          <w:rFonts w:ascii="Arial" w:cs="Arial" w:eastAsia="Arial" w:hAnsi="Arial"/>
          <w:sz w:val="20"/>
          <w:szCs w:val="20"/>
          <w:color w:val="auto"/>
        </w:rPr>
        <w:t>Parent and its Restricted Subsidiaries may make additional Investments using the Available Amount so long as the Available Amount Conditions have been met</w:t>
      </w:r>
      <w:r>
        <w:rPr>
          <w:rFonts w:ascii="Arial" w:cs="Arial" w:eastAsia="Arial" w:hAnsi="Arial"/>
          <w:sz w:val="20"/>
          <w:szCs w:val="20"/>
          <w:color w:val="FF0000"/>
          <w:strike w:val="1"/>
        </w:rPr>
        <w:t>.</w:t>
      </w:r>
      <w:r>
        <w:rPr>
          <w:rFonts w:ascii="Arial" w:cs="Arial" w:eastAsia="Arial" w:hAnsi="Arial"/>
          <w:sz w:val="20"/>
          <w:szCs w:val="20"/>
          <w:u w:val="single" w:color="auto"/>
          <w:color w:val="0000FF"/>
        </w:rPr>
        <w:t>; and</w:t>
      </w:r>
    </w:p>
    <w:p>
      <w:pPr>
        <w:spacing w:after="0" w:line="121" w:lineRule="exact"/>
        <w:rPr>
          <w:rFonts w:ascii="Arial" w:cs="Arial" w:eastAsia="Arial" w:hAnsi="Arial"/>
          <w:sz w:val="20"/>
          <w:szCs w:val="20"/>
          <w:color w:val="auto"/>
        </w:rPr>
      </w:pPr>
    </w:p>
    <w:p>
      <w:pPr>
        <w:ind w:left="660" w:right="40" w:firstLine="645"/>
        <w:spacing w:after="0" w:line="287" w:lineRule="auto"/>
        <w:tabs>
          <w:tab w:leader="none" w:pos="2133" w:val="left"/>
        </w:tabs>
        <w:numPr>
          <w:ilvl w:val="0"/>
          <w:numId w:val="301"/>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Investments made by Jazz Financing Lux S.à r.l. in or to Arrivo purusant to the Arrivo Agreement; provided that the aggregate amount of Investments made pursuant to the Arrivo Agreement shall not exceeed $25,000,000.</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 xml:space="preserve">For purposes of covenant compliance with this </w:t>
      </w:r>
      <w:r>
        <w:rPr>
          <w:rFonts w:ascii="Arial" w:cs="Arial" w:eastAsia="Arial" w:hAnsi="Arial"/>
          <w:sz w:val="19"/>
          <w:szCs w:val="19"/>
          <w:u w:val="single" w:color="auto"/>
          <w:color w:val="auto"/>
        </w:rPr>
        <w:t>Section 7.04</w:t>
      </w:r>
      <w:r>
        <w:rPr>
          <w:rFonts w:ascii="Arial" w:cs="Arial" w:eastAsia="Arial" w:hAnsi="Arial"/>
          <w:sz w:val="19"/>
          <w:szCs w:val="19"/>
          <w:color w:val="auto"/>
        </w:rPr>
        <w:t>, the amount of any Investment shall be the amount actually invested, without adjustment for subsequent increases or decreases in the value of such Investment or accrued and unpaid interest or dividends thereon, less any amount paid, repaid, returned, distributed or otherwise received in cash in respect of such Investment. For purposes of clause (q), clause (u)</w:t>
      </w:r>
      <w:r>
        <w:rPr>
          <w:rFonts w:ascii="Arial" w:cs="Arial" w:eastAsia="Arial" w:hAnsi="Arial"/>
          <w:sz w:val="19"/>
          <w:szCs w:val="19"/>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clause (w)</w:t>
      </w:r>
      <w:r>
        <w:rPr>
          <w:rFonts w:ascii="Arial" w:cs="Arial" w:eastAsia="Arial" w:hAnsi="Arial"/>
          <w:sz w:val="19"/>
          <w:szCs w:val="19"/>
          <w:color w:val="0000FF"/>
        </w:rPr>
        <w:t xml:space="preserve"> </w:t>
      </w:r>
      <w:r>
        <w:rPr>
          <w:rFonts w:ascii="Arial" w:cs="Arial" w:eastAsia="Arial" w:hAnsi="Arial"/>
          <w:sz w:val="19"/>
          <w:szCs w:val="19"/>
          <w:color w:val="000000"/>
        </w:rPr>
        <w:t>and clause (</w:t>
      </w:r>
      <w:r>
        <w:rPr>
          <w:rFonts w:ascii="Arial" w:cs="Arial" w:eastAsia="Arial" w:hAnsi="Arial"/>
          <w:sz w:val="19"/>
          <w:szCs w:val="19"/>
          <w:color w:val="FF0000"/>
          <w:strike w:val="1"/>
        </w:rPr>
        <w:t>w</w:t>
      </w:r>
      <w:r>
        <w:rPr>
          <w:rFonts w:ascii="Arial" w:cs="Arial" w:eastAsia="Arial" w:hAnsi="Arial"/>
          <w:sz w:val="19"/>
          <w:szCs w:val="19"/>
          <w:u w:val="single" w:color="auto"/>
          <w:color w:val="0000FF"/>
        </w:rPr>
        <w:t>x</w:t>
      </w:r>
      <w:r>
        <w:rPr>
          <w:rFonts w:ascii="Arial" w:cs="Arial" w:eastAsia="Arial" w:hAnsi="Arial"/>
          <w:sz w:val="19"/>
          <w:szCs w:val="19"/>
          <w:color w:val="000000"/>
        </w:rPr>
        <w:t>) of this</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Section 7.04</w:t>
      </w:r>
      <w:r>
        <w:rPr>
          <w:rFonts w:ascii="Arial" w:cs="Arial" w:eastAsia="Arial" w:hAnsi="Arial"/>
          <w:sz w:val="19"/>
          <w:szCs w:val="19"/>
          <w:color w:val="000000"/>
        </w:rPr>
        <w:t>, the aggregate consideration payable for any Investment shall be the cash amount paid on or</w:t>
      </w:r>
      <w:r>
        <w:rPr>
          <w:rFonts w:ascii="Arial" w:cs="Arial" w:eastAsia="Arial" w:hAnsi="Arial"/>
          <w:sz w:val="19"/>
          <w:szCs w:val="19"/>
          <w:color w:val="0000FF"/>
        </w:rPr>
        <w:t xml:space="preserve"> </w:t>
      </w:r>
      <w:r>
        <w:rPr>
          <w:rFonts w:ascii="Arial" w:cs="Arial" w:eastAsia="Arial" w:hAnsi="Arial"/>
          <w:sz w:val="19"/>
          <w:szCs w:val="19"/>
          <w:color w:val="000000"/>
        </w:rPr>
        <w:t>prior to the consummation of such Investment and shall not include any purchase price adjustment, Milestone Payment, royalty, earnout, contingent payment or any other deferred payment of a similar nature that may be payable in connection therewith. Notwithstanding anything to the contrary in the foregoing, Parent will not, and will not permit any of its Restricted Subsidiaries to, acquire any Unrestricted Margin Stock except to the extent it is acquired in connection with a Permitted Acquisition.</w:t>
      </w:r>
    </w:p>
    <w:p>
      <w:pPr>
        <w:spacing w:after="0" w:line="243" w:lineRule="exact"/>
        <w:rPr>
          <w:sz w:val="20"/>
          <w:szCs w:val="20"/>
          <w:color w:val="auto"/>
        </w:rPr>
      </w:pPr>
    </w:p>
    <w:p>
      <w:pPr>
        <w:jc w:val="both"/>
        <w:ind w:right="60" w:firstLine="1297"/>
        <w:spacing w:after="0" w:line="253" w:lineRule="auto"/>
        <w:rPr>
          <w:sz w:val="20"/>
          <w:szCs w:val="20"/>
          <w:color w:val="auto"/>
        </w:rPr>
      </w:pPr>
      <w:r>
        <w:rPr>
          <w:rFonts w:ascii="Arial" w:cs="Arial" w:eastAsia="Arial" w:hAnsi="Arial"/>
          <w:sz w:val="20"/>
          <w:szCs w:val="20"/>
          <w:b w:val="1"/>
          <w:bCs w:val="1"/>
          <w:color w:val="auto"/>
        </w:rPr>
        <w:t xml:space="preserve">Section 7.05 </w:t>
      </w:r>
      <w:r>
        <w:rPr>
          <w:rFonts w:ascii="Arial" w:cs="Arial" w:eastAsia="Arial" w:hAnsi="Arial"/>
          <w:sz w:val="20"/>
          <w:szCs w:val="20"/>
          <w:u w:val="single" w:color="auto"/>
          <w:color w:val="auto"/>
        </w:rPr>
        <w:t>Transactions with Affiliates</w:t>
      </w:r>
      <w:r>
        <w:rPr>
          <w:rFonts w:ascii="Arial" w:cs="Arial" w:eastAsia="Arial" w:hAnsi="Arial"/>
          <w:sz w:val="20"/>
          <w:szCs w:val="20"/>
          <w:color w:val="auto"/>
        </w:rPr>
        <w:t>. Parent will not, and will not permit any of its Restricted Subsidiaries to, sell, lease</w:t>
      </w:r>
      <w:r>
        <w:rPr>
          <w:rFonts w:ascii="Arial" w:cs="Arial" w:eastAsia="Arial" w:hAnsi="Arial"/>
          <w:sz w:val="20"/>
          <w:szCs w:val="20"/>
          <w:b w:val="1"/>
          <w:bCs w:val="1"/>
          <w:color w:val="auto"/>
        </w:rPr>
        <w:t xml:space="preserve"> </w:t>
      </w:r>
      <w:r>
        <w:rPr>
          <w:rFonts w:ascii="Arial" w:cs="Arial" w:eastAsia="Arial" w:hAnsi="Arial"/>
          <w:sz w:val="20"/>
          <w:szCs w:val="20"/>
          <w:color w:val="auto"/>
        </w:rPr>
        <w:t>or otherwise transfer any property or assets to, or purchase, lease or otherwise acquire any property or assets from, or otherwise engage in any other transactions with, 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- 143 -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5" w:right="279" w:bottom="1440" w:gutter="0" w:footer="0" w:header="0"/>
        </w:sectPr>
      </w:pPr>
    </w:p>
    <w:bookmarkStart w:id="339" w:name="page340"/>
    <w:bookmarkEnd w:id="339"/>
    <w:p>
      <w:pPr>
        <w:spacing w:after="0" w:line="255" w:lineRule="auto"/>
        <w:rPr>
          <w:sz w:val="20"/>
          <w:szCs w:val="20"/>
          <w:color w:val="auto"/>
        </w:rPr>
      </w:pPr>
      <w:r>
        <w:rPr>
          <w:rFonts w:ascii="Arial" w:cs="Arial" w:eastAsia="Arial" w:hAnsi="Arial"/>
          <w:sz w:val="19"/>
          <w:szCs w:val="19"/>
          <w:color w:val="auto"/>
        </w:rPr>
        <w:t xml:space="preserve">of its Affiliates (other than Parent or any Restricted Subsidiary), except (a) transactions that are on terms and conditions not materially less favorable to Parent or such Restricted Subsidiary than it would obtain on an arm’s-length basis from a Person that is not an Affiliate, (b) any Restricted Payment permitted by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(c) customary fees paid and indemnifications provided to directors of Parent and its Restricted Subsidiaries, (d) any Permitted Reorganization, (e) compensation and indemnification of, and other employment agreements and arrangements, employee benefit plans, and stock incentive plans with, directors, officers and employees of Parent or any Restricted Subsidiary entered in the ordinary course of business, (f) Investments permitted by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(g) leases or subleases of property in the ordinary course of business not materially interfering with the business of Parent and the Restricted Subsidiaries taken as a whole, (h) transactions between or among Parent and/or any Restricted Subsidiary and any entity that becomes a Restricted Subsidiary as a result of such transaction; (i) transactions relating to compliance with the USAO Settlement Obligations; (j) the payment of fees, expenses and indemnities and other payments pursuant to, and the transactions pursuant to, the agreements set forth on </w:t>
      </w:r>
      <w:r>
        <w:rPr>
          <w:rFonts w:ascii="Arial" w:cs="Arial" w:eastAsia="Arial" w:hAnsi="Arial"/>
          <w:sz w:val="19"/>
          <w:szCs w:val="19"/>
          <w:u w:val="single" w:color="auto"/>
          <w:color w:val="auto"/>
        </w:rPr>
        <w:t>Schedule 7.05</w:t>
      </w:r>
      <w:r>
        <w:rPr>
          <w:rFonts w:ascii="Arial" w:cs="Arial" w:eastAsia="Arial" w:hAnsi="Arial"/>
          <w:sz w:val="19"/>
          <w:szCs w:val="19"/>
          <w:color w:val="auto"/>
        </w:rPr>
        <w:t xml:space="preserve"> (as such agreements are in effect on the Closing Date), and (k) the granting of registration and other customary rights in connection with the issuance of Equity Interests by Parent not otherwise prohibited by the Loan Documents.</w:t>
      </w:r>
    </w:p>
    <w:p>
      <w:pPr>
        <w:spacing w:after="0" w:line="139" w:lineRule="exact"/>
        <w:rPr>
          <w:sz w:val="20"/>
          <w:szCs w:val="20"/>
          <w:color w:val="auto"/>
        </w:rPr>
      </w:pPr>
    </w:p>
    <w:p>
      <w:pPr>
        <w:jc w:val="both"/>
        <w:ind w:right="120" w:firstLine="1297"/>
        <w:spacing w:after="0" w:line="253" w:lineRule="auto"/>
        <w:rPr>
          <w:sz w:val="20"/>
          <w:szCs w:val="20"/>
          <w:color w:val="auto"/>
        </w:rPr>
      </w:pPr>
      <w:r>
        <w:rPr>
          <w:rFonts w:ascii="Arial" w:cs="Arial" w:eastAsia="Arial" w:hAnsi="Arial"/>
          <w:sz w:val="20"/>
          <w:szCs w:val="20"/>
          <w:b w:val="1"/>
          <w:bCs w:val="1"/>
          <w:color w:val="auto"/>
        </w:rPr>
        <w:t xml:space="preserve">Section 7.06 </w:t>
      </w:r>
      <w:r>
        <w:rPr>
          <w:rFonts w:ascii="Arial" w:cs="Arial" w:eastAsia="Arial" w:hAnsi="Arial"/>
          <w:sz w:val="20"/>
          <w:szCs w:val="20"/>
          <w:u w:val="single" w:color="auto"/>
          <w:color w:val="auto"/>
        </w:rPr>
        <w:t>Restricted Payments</w:t>
      </w:r>
      <w:r>
        <w:rPr>
          <w:rFonts w:ascii="Arial" w:cs="Arial" w:eastAsia="Arial" w:hAnsi="Arial"/>
          <w:sz w:val="20"/>
          <w:szCs w:val="20"/>
          <w:color w:val="auto"/>
        </w:rPr>
        <w:t>. Parent will not, and will not permit any of its Restricted Subsidiaries to, declare or make,</w:t>
      </w:r>
      <w:r>
        <w:rPr>
          <w:rFonts w:ascii="Arial" w:cs="Arial" w:eastAsia="Arial" w:hAnsi="Arial"/>
          <w:sz w:val="20"/>
          <w:szCs w:val="20"/>
          <w:b w:val="1"/>
          <w:bCs w:val="1"/>
          <w:color w:val="auto"/>
        </w:rPr>
        <w:t xml:space="preserve"> </w:t>
      </w:r>
      <w:r>
        <w:rPr>
          <w:rFonts w:ascii="Arial" w:cs="Arial" w:eastAsia="Arial" w:hAnsi="Arial"/>
          <w:sz w:val="20"/>
          <w:szCs w:val="20"/>
          <w:color w:val="auto"/>
        </w:rPr>
        <w:t>or agree to pay or make (unless such agreement is contingent upon such Restricted Payment not being prohibited by this Agreement), directly or indirectly, any Restricted Payment, except:</w:t>
      </w:r>
    </w:p>
    <w:p>
      <w:pPr>
        <w:spacing w:after="0" w:line="157" w:lineRule="exact"/>
        <w:rPr>
          <w:sz w:val="20"/>
          <w:szCs w:val="20"/>
          <w:color w:val="auto"/>
        </w:rPr>
      </w:pPr>
    </w:p>
    <w:p>
      <w:pPr>
        <w:ind w:left="660" w:right="220" w:firstLine="645"/>
        <w:spacing w:after="0" w:line="289" w:lineRule="auto"/>
        <w:tabs>
          <w:tab w:leader="none" w:pos="2176" w:val="left"/>
        </w:tabs>
        <w:numPr>
          <w:ilvl w:val="0"/>
          <w:numId w:val="302"/>
        </w:numPr>
        <w:rPr>
          <w:rFonts w:ascii="Arial" w:cs="Arial" w:eastAsia="Arial" w:hAnsi="Arial"/>
          <w:sz w:val="20"/>
          <w:szCs w:val="20"/>
          <w:color w:val="auto"/>
        </w:rPr>
      </w:pPr>
      <w:r>
        <w:rPr>
          <w:rFonts w:ascii="Arial" w:cs="Arial" w:eastAsia="Arial" w:hAnsi="Arial"/>
          <w:sz w:val="20"/>
          <w:szCs w:val="20"/>
          <w:color w:val="auto"/>
        </w:rPr>
        <w:t>Parent may declare and pay dividends or make other Restricted Payments with respect to Equity Interests payable solely in additional Equity Interests of Parent (other than Disqualified Capital Stock);</w:t>
      </w:r>
    </w:p>
    <w:p>
      <w:pPr>
        <w:spacing w:after="0" w:line="134" w:lineRule="exact"/>
        <w:rPr>
          <w:rFonts w:ascii="Arial" w:cs="Arial" w:eastAsia="Arial" w:hAnsi="Arial"/>
          <w:sz w:val="20"/>
          <w:szCs w:val="20"/>
          <w:color w:val="auto"/>
        </w:rPr>
      </w:pPr>
    </w:p>
    <w:p>
      <w:pPr>
        <w:ind w:left="660" w:right="20" w:firstLine="645"/>
        <w:spacing w:after="0" w:line="274" w:lineRule="auto"/>
        <w:tabs>
          <w:tab w:leader="none" w:pos="2187" w:val="left"/>
        </w:tabs>
        <w:numPr>
          <w:ilvl w:val="0"/>
          <w:numId w:val="302"/>
        </w:numPr>
        <w:rPr>
          <w:rFonts w:ascii="Arial" w:cs="Arial" w:eastAsia="Arial" w:hAnsi="Arial"/>
          <w:sz w:val="20"/>
          <w:szCs w:val="20"/>
          <w:color w:val="auto"/>
        </w:rPr>
      </w:pPr>
      <w:r>
        <w:rPr>
          <w:rFonts w:ascii="Arial" w:cs="Arial" w:eastAsia="Arial" w:hAnsi="Arial"/>
          <w:sz w:val="20"/>
          <w:szCs w:val="20"/>
          <w:color w:val="auto"/>
        </w:rPr>
        <w:t>Parent and any Restricted Subsidiaries may repurchase (i) Equity Interests upon the exercise of Equity Equivalents if such Equity Interests represent a portion of the exercise price of such Equity Equivalents and (ii) Equity Interests from any current or former officer, director, employee or consultant to comply with Tax withholding obligations relating to Taxes payable by such person upon the grant or award of such Equity Interests (or upon vesting thereof);</w:t>
      </w:r>
    </w:p>
    <w:p>
      <w:pPr>
        <w:spacing w:after="0" w:line="151" w:lineRule="exact"/>
        <w:rPr>
          <w:rFonts w:ascii="Arial" w:cs="Arial" w:eastAsia="Arial" w:hAnsi="Arial"/>
          <w:sz w:val="20"/>
          <w:szCs w:val="20"/>
          <w:color w:val="auto"/>
        </w:rPr>
      </w:pPr>
    </w:p>
    <w:p>
      <w:pPr>
        <w:ind w:left="660" w:right="560" w:firstLine="645"/>
        <w:spacing w:after="0" w:line="289" w:lineRule="auto"/>
        <w:tabs>
          <w:tab w:leader="none" w:pos="2176" w:val="left"/>
        </w:tabs>
        <w:numPr>
          <w:ilvl w:val="0"/>
          <w:numId w:val="302"/>
        </w:numPr>
        <w:rPr>
          <w:rFonts w:ascii="Arial" w:cs="Arial" w:eastAsia="Arial" w:hAnsi="Arial"/>
          <w:sz w:val="20"/>
          <w:szCs w:val="20"/>
          <w:color w:val="auto"/>
        </w:rPr>
      </w:pPr>
      <w:r>
        <w:rPr>
          <w:rFonts w:ascii="Arial" w:cs="Arial" w:eastAsia="Arial" w:hAnsi="Arial"/>
          <w:sz w:val="20"/>
          <w:szCs w:val="20"/>
          <w:color w:val="auto"/>
        </w:rPr>
        <w:t>Parent and any Restricted Subsidiaries may make cash payments in lieu of the issuance of fractional shares in connection with the exercise or conversion of Equity Equivalents;</w:t>
      </w:r>
    </w:p>
    <w:p>
      <w:pPr>
        <w:spacing w:after="0" w:line="134" w:lineRule="exact"/>
        <w:rPr>
          <w:rFonts w:ascii="Arial" w:cs="Arial" w:eastAsia="Arial" w:hAnsi="Arial"/>
          <w:sz w:val="20"/>
          <w:szCs w:val="20"/>
          <w:color w:val="auto"/>
        </w:rPr>
      </w:pPr>
    </w:p>
    <w:p>
      <w:pPr>
        <w:ind w:left="660" w:right="60" w:firstLine="645"/>
        <w:spacing w:after="0" w:line="278" w:lineRule="auto"/>
        <w:tabs>
          <w:tab w:leader="none" w:pos="2187" w:val="left"/>
        </w:tabs>
        <w:numPr>
          <w:ilvl w:val="0"/>
          <w:numId w:val="302"/>
        </w:numPr>
        <w:rPr>
          <w:rFonts w:ascii="Arial" w:cs="Arial" w:eastAsia="Arial" w:hAnsi="Arial"/>
          <w:sz w:val="20"/>
          <w:szCs w:val="20"/>
          <w:color w:val="auto"/>
        </w:rPr>
      </w:pPr>
      <w:r>
        <w:rPr>
          <w:rFonts w:ascii="Arial" w:cs="Arial" w:eastAsia="Arial" w:hAnsi="Arial"/>
          <w:sz w:val="20"/>
          <w:szCs w:val="20"/>
          <w:color w:val="auto"/>
        </w:rPr>
        <w:t xml:space="preserve">Any Restricted Subsidiary may declare and pay dividends or make other distributions to the holders of its Equity Interests;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a dividend or other distribution by a non-Wholly Owned Restricted Subsidiary, such dividends or distributions shall be made ratably with respect to their Equity Interests;</w:t>
      </w:r>
    </w:p>
    <w:p>
      <w:pPr>
        <w:spacing w:after="0" w:line="146" w:lineRule="exact"/>
        <w:rPr>
          <w:rFonts w:ascii="Arial" w:cs="Arial" w:eastAsia="Arial" w:hAnsi="Arial"/>
          <w:sz w:val="20"/>
          <w:szCs w:val="20"/>
          <w:color w:val="auto"/>
        </w:rPr>
      </w:pPr>
    </w:p>
    <w:p>
      <w:pPr>
        <w:ind w:left="660" w:right="360" w:firstLine="645"/>
        <w:spacing w:after="0" w:line="347" w:lineRule="auto"/>
        <w:tabs>
          <w:tab w:leader="none" w:pos="2176" w:val="left"/>
        </w:tabs>
        <w:numPr>
          <w:ilvl w:val="0"/>
          <w:numId w:val="302"/>
        </w:numPr>
        <w:rPr>
          <w:rFonts w:ascii="Arial" w:cs="Arial" w:eastAsia="Arial" w:hAnsi="Arial"/>
          <w:sz w:val="18"/>
          <w:szCs w:val="18"/>
          <w:color w:val="auto"/>
        </w:rPr>
      </w:pPr>
      <w:r>
        <w:rPr>
          <w:rFonts w:ascii="Arial" w:cs="Arial" w:eastAsia="Arial" w:hAnsi="Arial"/>
          <w:sz w:val="18"/>
          <w:szCs w:val="18"/>
          <w:color w:val="auto"/>
        </w:rPr>
        <w:t>Parent and any Restricted Subsidiaries may make Restricted Payments pursuant to and in accordance with stock incentive plans or other employee benefit plans for directors, officers or employees of Parent and its Subsidiaries;</w:t>
      </w:r>
    </w:p>
    <w:p>
      <w:pPr>
        <w:spacing w:after="0" w:line="90" w:lineRule="exact"/>
        <w:rPr>
          <w:rFonts w:ascii="Arial" w:cs="Arial" w:eastAsia="Arial" w:hAnsi="Arial"/>
          <w:sz w:val="18"/>
          <w:szCs w:val="18"/>
          <w:color w:val="auto"/>
        </w:rPr>
      </w:pPr>
    </w:p>
    <w:p>
      <w:pPr>
        <w:ind w:left="660" w:firstLine="645"/>
        <w:spacing w:after="0" w:line="314" w:lineRule="auto"/>
        <w:tabs>
          <w:tab w:leader="none" w:pos="215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or would arise after giving effect (including pro forma effect) thereto, Parent and any Restricted Subsidiaries may purchase Equity Interests from present or former officers, directors or employees of Parent or any Subsidiary upon the death, disability, retirement or termination of employment or service of such officer, director or employee, in an aggregate amount not exceeding $10,000,000 in any fiscal year of Parent;</w:t>
      </w:r>
    </w:p>
    <w:p>
      <w:pPr>
        <w:spacing w:after="0" w:line="200" w:lineRule="exact"/>
        <w:rPr>
          <w:rFonts w:ascii="Arial" w:cs="Arial" w:eastAsia="Arial" w:hAnsi="Arial"/>
          <w:sz w:val="18"/>
          <w:szCs w:val="18"/>
          <w:color w:val="auto"/>
        </w:rPr>
      </w:pPr>
    </w:p>
    <w:p>
      <w:pPr>
        <w:spacing w:after="0" w:line="364" w:lineRule="exact"/>
        <w:rPr>
          <w:rFonts w:ascii="Arial" w:cs="Arial" w:eastAsia="Arial" w:hAnsi="Arial"/>
          <w:sz w:val="18"/>
          <w:szCs w:val="18"/>
          <w:color w:val="auto"/>
        </w:rPr>
      </w:pPr>
    </w:p>
    <w:p>
      <w:pPr>
        <w:ind w:left="5560" w:hanging="110"/>
        <w:spacing w:after="0"/>
        <w:tabs>
          <w:tab w:leader="none" w:pos="5560" w:val="left"/>
        </w:tabs>
        <w:numPr>
          <w:ilvl w:val="1"/>
          <w:numId w:val="302"/>
        </w:numPr>
        <w:rPr>
          <w:rFonts w:ascii="Arial" w:cs="Arial" w:eastAsia="Arial" w:hAnsi="Arial"/>
          <w:sz w:val="20"/>
          <w:szCs w:val="20"/>
          <w:color w:val="auto"/>
        </w:rPr>
      </w:pPr>
      <w:r>
        <w:rPr>
          <w:rFonts w:ascii="Arial" w:cs="Arial" w:eastAsia="Arial" w:hAnsi="Arial"/>
          <w:sz w:val="20"/>
          <w:szCs w:val="20"/>
          <w:color w:val="auto"/>
        </w:rPr>
        <w:t>144 -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74" w:right="259" w:bottom="1440" w:gutter="0" w:footer="0" w:header="0"/>
        </w:sectPr>
      </w:pPr>
    </w:p>
    <w:bookmarkStart w:id="340" w:name="page341"/>
    <w:bookmarkEnd w:id="340"/>
    <w:p>
      <w:pPr>
        <w:ind w:left="660" w:right="360" w:firstLine="645"/>
        <w:spacing w:after="0" w:line="334" w:lineRule="auto"/>
        <w:tabs>
          <w:tab w:leader="none" w:pos="2187" w:val="left"/>
        </w:tabs>
        <w:numPr>
          <w:ilvl w:val="0"/>
          <w:numId w:val="303"/>
        </w:numPr>
        <w:rPr>
          <w:rFonts w:ascii="Arial" w:cs="Arial" w:eastAsia="Arial" w:hAnsi="Arial"/>
          <w:sz w:val="16"/>
          <w:szCs w:val="16"/>
          <w:color w:val="auto"/>
        </w:rPr>
      </w:pPr>
      <w:r>
        <w:rPr>
          <w:rFonts w:ascii="Arial" w:cs="Arial" w:eastAsia="Arial" w:hAnsi="Arial"/>
          <w:sz w:val="16"/>
          <w:szCs w:val="16"/>
          <w:color w:val="auto"/>
        </w:rPr>
        <w:t xml:space="preserve">Parent or any Restricted Subsidiary may purchase any call option (or similar instrument) to purchase Equity Interests (other than Disqualified Capital Stock) of Parent permitted under </w:t>
      </w:r>
      <w:r>
        <w:rPr>
          <w:rFonts w:ascii="Arial" w:cs="Arial" w:eastAsia="Arial" w:hAnsi="Arial"/>
          <w:sz w:val="16"/>
          <w:szCs w:val="16"/>
          <w:u w:val="single" w:color="auto"/>
          <w:color w:val="auto"/>
        </w:rPr>
        <w:t>Section 7.04(m)</w:t>
      </w:r>
      <w:r>
        <w:rPr>
          <w:rFonts w:ascii="Arial" w:cs="Arial" w:eastAsia="Arial" w:hAnsi="Arial"/>
          <w:sz w:val="16"/>
          <w:szCs w:val="16"/>
          <w:color w:val="auto"/>
        </w:rPr>
        <w:t xml:space="preserve"> and exercise any call or similar rights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the issuance of the convertible or exchangeable debt securities referred to in </w:t>
      </w:r>
      <w:r>
        <w:rPr>
          <w:rFonts w:ascii="Arial" w:cs="Arial" w:eastAsia="Arial" w:hAnsi="Arial"/>
          <w:sz w:val="16"/>
          <w:szCs w:val="16"/>
          <w:u w:val="single" w:color="auto"/>
          <w:color w:val="auto"/>
        </w:rPr>
        <w:t>Section</w:t>
      </w:r>
    </w:p>
    <w:p>
      <w:pPr>
        <w:spacing w:after="0" w:line="1" w:lineRule="exact"/>
        <w:rPr>
          <w:rFonts w:ascii="Arial" w:cs="Arial" w:eastAsia="Arial" w:hAnsi="Arial"/>
          <w:sz w:val="16"/>
          <w:szCs w:val="16"/>
          <w:color w:val="auto"/>
        </w:rPr>
      </w:pPr>
    </w:p>
    <w:p>
      <w:pPr>
        <w:jc w:val="both"/>
        <w:ind w:left="660" w:right="20"/>
        <w:spacing w:after="0" w:line="278" w:lineRule="auto"/>
        <w:rPr>
          <w:rFonts w:ascii="Arial" w:cs="Arial" w:eastAsia="Arial" w:hAnsi="Arial"/>
          <w:sz w:val="16"/>
          <w:szCs w:val="16"/>
          <w:color w:val="auto"/>
        </w:rPr>
      </w:pPr>
      <w:r>
        <w:rPr>
          <w:rFonts w:ascii="Arial" w:cs="Arial" w:eastAsia="Arial" w:hAnsi="Arial"/>
          <w:sz w:val="20"/>
          <w:szCs w:val="20"/>
          <w:u w:val="single" w:color="auto"/>
          <w:color w:val="auto"/>
        </w:rPr>
        <w:t>7.04(m)</w:t>
      </w:r>
      <w:r>
        <w:rPr>
          <w:rFonts w:ascii="Arial" w:cs="Arial" w:eastAsia="Arial" w:hAnsi="Arial"/>
          <w:sz w:val="20"/>
          <w:szCs w:val="20"/>
          <w:color w:val="auto"/>
        </w:rPr>
        <w:t xml:space="preserve">, (x) the Total Leverage Ratio shall be less than or equal to 3.00 to 1.00 and (y) the Secured Leverage Ratio shall be less than or equal to 2.25 to 1.00, in each case as of the end of the most recently completed Test Period and on a pro forma basis in accordance with </w:t>
      </w:r>
      <w:r>
        <w:rPr>
          <w:rFonts w:ascii="Arial" w:cs="Arial" w:eastAsia="Arial" w:hAnsi="Arial"/>
          <w:sz w:val="20"/>
          <w:szCs w:val="20"/>
          <w:u w:val="single" w:color="auto"/>
          <w:color w:val="auto"/>
        </w:rPr>
        <w:t>Section 1.03(c)</w:t>
      </w:r>
      <w:r>
        <w:rPr>
          <w:rFonts w:ascii="Arial" w:cs="Arial" w:eastAsia="Arial" w:hAnsi="Arial"/>
          <w:sz w:val="20"/>
          <w:szCs w:val="20"/>
          <w:color w:val="auto"/>
        </w:rPr>
        <w:t>;</w:t>
      </w:r>
    </w:p>
    <w:p>
      <w:pPr>
        <w:spacing w:after="0" w:line="146" w:lineRule="exact"/>
        <w:rPr>
          <w:rFonts w:ascii="Arial" w:cs="Arial" w:eastAsia="Arial" w:hAnsi="Arial"/>
          <w:sz w:val="16"/>
          <w:szCs w:val="16"/>
          <w:color w:val="auto"/>
        </w:rPr>
      </w:pPr>
    </w:p>
    <w:p>
      <w:pPr>
        <w:ind w:left="660" w:right="80" w:firstLine="645"/>
        <w:spacing w:after="0" w:line="274" w:lineRule="auto"/>
        <w:tabs>
          <w:tab w:leader="none" w:pos="2187" w:val="left"/>
        </w:tabs>
        <w:numPr>
          <w:ilvl w:val="0"/>
          <w:numId w:val="303"/>
        </w:numPr>
        <w:rPr>
          <w:rFonts w:ascii="Arial" w:cs="Arial" w:eastAsia="Arial" w:hAnsi="Arial"/>
          <w:sz w:val="20"/>
          <w:szCs w:val="20"/>
          <w:color w:val="auto"/>
        </w:rPr>
      </w:pPr>
      <w:r>
        <w:rPr>
          <w:rFonts w:ascii="Arial" w:cs="Arial" w:eastAsia="Arial" w:hAnsi="Arial"/>
          <w:sz w:val="20"/>
          <w:szCs w:val="20"/>
          <w:color w:val="auto"/>
        </w:rPr>
        <w:t xml:space="preserve">the payment of any dividend or distribution, or the consummation of any irrevocable redemption, within 60 days after the date of declaration of the dividend or distribution or giving of the redemption notice, as the case may be, if at such date of declaration or redemption notice such dividend, distribution or redemption, as the case may be, would have complied with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7.06</w:t>
      </w:r>
      <w:r>
        <w:rPr>
          <w:rFonts w:ascii="Arial" w:cs="Arial" w:eastAsia="Arial" w:hAnsi="Arial"/>
          <w:sz w:val="20"/>
          <w:szCs w:val="20"/>
          <w:color w:val="auto"/>
        </w:rPr>
        <w:t>;</w:t>
      </w:r>
    </w:p>
    <w:p>
      <w:pPr>
        <w:spacing w:after="0" w:line="151" w:lineRule="exact"/>
        <w:rPr>
          <w:rFonts w:ascii="Arial" w:cs="Arial" w:eastAsia="Arial" w:hAnsi="Arial"/>
          <w:sz w:val="20"/>
          <w:szCs w:val="20"/>
          <w:color w:val="auto"/>
        </w:rPr>
      </w:pPr>
    </w:p>
    <w:p>
      <w:pPr>
        <w:ind w:left="660" w:right="20" w:firstLine="645"/>
        <w:spacing w:after="0" w:line="273" w:lineRule="auto"/>
        <w:tabs>
          <w:tab w:leader="none" w:pos="2143" w:val="left"/>
        </w:tabs>
        <w:numPr>
          <w:ilvl w:val="0"/>
          <w:numId w:val="303"/>
        </w:numPr>
        <w:rPr>
          <w:rFonts w:ascii="Arial" w:cs="Arial" w:eastAsia="Arial" w:hAnsi="Arial"/>
          <w:sz w:val="20"/>
          <w:szCs w:val="20"/>
          <w:color w:val="auto"/>
        </w:rPr>
      </w:pPr>
      <w:r>
        <w:rPr>
          <w:rFonts w:ascii="Arial" w:cs="Arial" w:eastAsia="Arial" w:hAnsi="Arial"/>
          <w:sz w:val="20"/>
          <w:szCs w:val="20"/>
          <w:color w:val="auto"/>
        </w:rPr>
        <w:t xml:space="preserve">so long as no Default or Event of Default has occurred and is continuing or would arise after giving effect (including pro form effect) thereto, Parent and its Restricted Subsidiaries may make Restricted Payments; </w:t>
      </w:r>
      <w:r>
        <w:rPr>
          <w:rFonts w:ascii="Arial" w:cs="Arial" w:eastAsia="Arial" w:hAnsi="Arial"/>
          <w:sz w:val="20"/>
          <w:szCs w:val="20"/>
          <w:u w:val="single" w:color="auto"/>
          <w:color w:val="auto"/>
        </w:rPr>
        <w:t>provided however</w:t>
      </w:r>
      <w:r>
        <w:rPr>
          <w:rFonts w:ascii="Arial" w:cs="Arial" w:eastAsia="Arial" w:hAnsi="Arial"/>
          <w:sz w:val="20"/>
          <w:szCs w:val="20"/>
          <w:color w:val="auto"/>
        </w:rPr>
        <w:t xml:space="preserve"> to the extent, after giving effect (including pro forma effect) to any such Restricted Payments, the Total Leverage Ratio is in excess of 2:00:1.00, the aggregate amount of such Restricted Payments shall not exceed the sum of (i) $100,000,000 and (ii) if the Available Amount Conditions have been met, the Available Amount;</w:t>
      </w:r>
    </w:p>
    <w:p>
      <w:pPr>
        <w:spacing w:after="0" w:line="150" w:lineRule="exact"/>
        <w:rPr>
          <w:rFonts w:ascii="Arial" w:cs="Arial" w:eastAsia="Arial" w:hAnsi="Arial"/>
          <w:sz w:val="20"/>
          <w:szCs w:val="20"/>
          <w:color w:val="auto"/>
        </w:rPr>
      </w:pPr>
    </w:p>
    <w:p>
      <w:pPr>
        <w:ind w:left="2140" w:hanging="835"/>
        <w:spacing w:after="0"/>
        <w:tabs>
          <w:tab w:leader="none" w:pos="214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other Restricted Payments of Parent and its Restricted Subsidiaries in an aggregate amount not to exceed</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$30,000,000 during the term of this Agreement; and</w:t>
      </w:r>
    </w:p>
    <w:p>
      <w:pPr>
        <w:spacing w:after="0" w:line="202" w:lineRule="exact"/>
        <w:rPr>
          <w:sz w:val="20"/>
          <w:szCs w:val="20"/>
          <w:color w:val="auto"/>
        </w:rPr>
      </w:pPr>
    </w:p>
    <w:p>
      <w:pPr>
        <w:ind w:left="660" w:right="240" w:firstLine="645"/>
        <w:spacing w:after="0" w:line="299" w:lineRule="auto"/>
        <w:tabs>
          <w:tab w:leader="none" w:pos="2187" w:val="left"/>
        </w:tabs>
        <w:numPr>
          <w:ilvl w:val="0"/>
          <w:numId w:val="304"/>
        </w:numPr>
        <w:rPr>
          <w:rFonts w:ascii="Arial" w:cs="Arial" w:eastAsia="Arial" w:hAnsi="Arial"/>
          <w:sz w:val="19"/>
          <w:szCs w:val="19"/>
          <w:color w:val="auto"/>
        </w:rPr>
      </w:pPr>
      <w:r>
        <w:rPr>
          <w:rFonts w:ascii="Arial" w:cs="Arial" w:eastAsia="Arial" w:hAnsi="Arial"/>
          <w:sz w:val="19"/>
          <w:szCs w:val="19"/>
          <w:color w:val="auto"/>
        </w:rPr>
        <w:t xml:space="preserve">Parent and its Restricted Subsidiaries may purchase any remaining outstanding Equity Interests (and any Equity Equivalents) of any Subsidiary acquired in an Investment made in compliance with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that was structured as a tender offer pursuant to which not less than a majority of such Subsidiary’s Equity Interests was acquired.</w:t>
      </w:r>
    </w:p>
    <w:p>
      <w:pPr>
        <w:spacing w:after="0" w:line="271" w:lineRule="exact"/>
        <w:rPr>
          <w:sz w:val="20"/>
          <w:szCs w:val="20"/>
          <w:color w:val="auto"/>
        </w:rPr>
      </w:pPr>
    </w:p>
    <w:p>
      <w:pPr>
        <w:ind w:right="80" w:firstLine="1297"/>
        <w:spacing w:after="0" w:line="260" w:lineRule="auto"/>
        <w:rPr>
          <w:sz w:val="20"/>
          <w:szCs w:val="20"/>
          <w:color w:val="auto"/>
        </w:rPr>
      </w:pPr>
      <w:r>
        <w:rPr>
          <w:rFonts w:ascii="Arial" w:cs="Arial" w:eastAsia="Arial" w:hAnsi="Arial"/>
          <w:sz w:val="19"/>
          <w:szCs w:val="19"/>
          <w:b w:val="1"/>
          <w:bCs w:val="1"/>
          <w:color w:val="auto"/>
        </w:rPr>
        <w:t xml:space="preserve">Section 7.07 </w:t>
      </w:r>
      <w:r>
        <w:rPr>
          <w:rFonts w:ascii="Arial" w:cs="Arial" w:eastAsia="Arial" w:hAnsi="Arial"/>
          <w:sz w:val="19"/>
          <w:szCs w:val="19"/>
          <w:u w:val="single" w:color="auto"/>
          <w:color w:val="auto"/>
        </w:rPr>
        <w:t>Restrictive Agreements</w:t>
      </w:r>
      <w:r>
        <w:rPr>
          <w:rFonts w:ascii="Arial" w:cs="Arial" w:eastAsia="Arial" w:hAnsi="Arial"/>
          <w:sz w:val="19"/>
          <w:szCs w:val="19"/>
          <w:color w:val="auto"/>
        </w:rPr>
        <w:t>. Parent will not, and will not permit any of its Restricted Subsidiaries to, directly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indirectly, enter into, incur or permit to exist any agreement or other arrangement that prohibits, restricts or imposes any condition upon (a) the ability of Parent or any Restricted Subsidiary to create, incur or permit to exist any Lien upon any of its property or assets (other than Unrestricted Margin Stock), or (b) the ability of any Restricted Subsidiary to pay dividends or other distributions with respect to holders of its Equity Interests or to make or repay loans or advances to Parent or any other Restricted Subsidiary or to Guarantee Indebtedness of Parent or any other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foregoing shall not apply to:</w:t>
      </w:r>
    </w:p>
    <w:p>
      <w:pPr>
        <w:spacing w:after="0" w:line="152" w:lineRule="exact"/>
        <w:rPr>
          <w:sz w:val="20"/>
          <w:szCs w:val="20"/>
          <w:color w:val="auto"/>
        </w:rPr>
      </w:pPr>
    </w:p>
    <w:p>
      <w:pPr>
        <w:ind w:left="2180" w:hanging="875"/>
        <w:spacing w:after="0"/>
        <w:tabs>
          <w:tab w:leader="none" w:pos="218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restrictions and conditions imposed by Law or by any Loan Document;</w:t>
      </w:r>
    </w:p>
    <w:p>
      <w:pPr>
        <w:spacing w:after="0" w:line="202" w:lineRule="exact"/>
        <w:rPr>
          <w:rFonts w:ascii="Arial" w:cs="Arial" w:eastAsia="Arial" w:hAnsi="Arial"/>
          <w:sz w:val="20"/>
          <w:szCs w:val="20"/>
          <w:color w:val="auto"/>
        </w:rPr>
      </w:pPr>
    </w:p>
    <w:p>
      <w:pPr>
        <w:ind w:left="660" w:firstLine="645"/>
        <w:spacing w:after="0" w:line="347" w:lineRule="auto"/>
        <w:tabs>
          <w:tab w:leader="none" w:pos="218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restrictions and conditions existing on the </w:t>
      </w:r>
      <w:r>
        <w:rPr>
          <w:rFonts w:ascii="Arial" w:cs="Arial" w:eastAsia="Arial" w:hAnsi="Arial"/>
          <w:sz w:val="18"/>
          <w:szCs w:val="18"/>
          <w:color w:val="FF0000"/>
          <w:strike w:val="1"/>
        </w:rPr>
        <w:t>date hereof</w:t>
      </w:r>
      <w:r>
        <w:rPr>
          <w:rFonts w:ascii="Arial" w:cs="Arial" w:eastAsia="Arial" w:hAnsi="Arial"/>
          <w:sz w:val="18"/>
          <w:szCs w:val="18"/>
          <w:u w:val="single" w:color="auto"/>
          <w:color w:val="0000FF"/>
        </w:rPr>
        <w:t>Closing Date</w:t>
      </w:r>
      <w:r>
        <w:rPr>
          <w:rFonts w:ascii="Arial" w:cs="Arial" w:eastAsia="Arial" w:hAnsi="Arial"/>
          <w:sz w:val="18"/>
          <w:szCs w:val="18"/>
          <w:color w:val="auto"/>
        </w:rPr>
        <w:t xml:space="preserve"> identified on </w:t>
      </w:r>
      <w:r>
        <w:rPr>
          <w:rFonts w:ascii="Arial" w:cs="Arial" w:eastAsia="Arial" w:hAnsi="Arial"/>
          <w:sz w:val="18"/>
          <w:szCs w:val="18"/>
          <w:u w:val="single" w:color="auto"/>
          <w:color w:val="auto"/>
        </w:rPr>
        <w:t>Schedule 7.07</w:t>
      </w:r>
      <w:r>
        <w:rPr>
          <w:rFonts w:ascii="Arial" w:cs="Arial" w:eastAsia="Arial" w:hAnsi="Arial"/>
          <w:sz w:val="18"/>
          <w:szCs w:val="18"/>
          <w:color w:val="auto"/>
        </w:rPr>
        <w:t xml:space="preserve"> and any amendments or modifications thereof that do not materially expand the scope of any such restriction or condition taken as a whole;</w:t>
      </w:r>
    </w:p>
    <w:p>
      <w:pPr>
        <w:spacing w:after="0" w:line="90" w:lineRule="exact"/>
        <w:rPr>
          <w:rFonts w:ascii="Arial" w:cs="Arial" w:eastAsia="Arial" w:hAnsi="Arial"/>
          <w:sz w:val="18"/>
          <w:szCs w:val="18"/>
          <w:color w:val="auto"/>
        </w:rPr>
      </w:pPr>
    </w:p>
    <w:p>
      <w:pPr>
        <w:ind w:left="660" w:right="40" w:firstLine="645"/>
        <w:spacing w:after="0" w:line="274" w:lineRule="auto"/>
        <w:tabs>
          <w:tab w:leader="none" w:pos="2176" w:val="left"/>
        </w:tabs>
        <w:numPr>
          <w:ilvl w:val="0"/>
          <w:numId w:val="305"/>
        </w:numPr>
        <w:rPr>
          <w:rFonts w:ascii="Arial" w:cs="Arial" w:eastAsia="Arial" w:hAnsi="Arial"/>
          <w:sz w:val="20"/>
          <w:szCs w:val="20"/>
          <w:color w:val="auto"/>
        </w:rPr>
      </w:pPr>
      <w:r>
        <w:rPr>
          <w:rFonts w:ascii="Arial" w:cs="Arial" w:eastAsia="Arial" w:hAnsi="Arial"/>
          <w:sz w:val="20"/>
          <w:szCs w:val="20"/>
          <w:color w:val="auto"/>
        </w:rPr>
        <w:t xml:space="preserve">restrictions and conditions imposed by agreements of any Restricted Subsidiary in existence at the time such Restricted Subsidiary became a Restricted Subsidiary and any amendments or modifications thereof that do not materially expand the scope of any such restriction or condition taken as a whole,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restrictions and conditions apply only to such Restricted Subsidiary;</w:t>
      </w:r>
    </w:p>
    <w:p>
      <w:pPr>
        <w:spacing w:after="0" w:line="200" w:lineRule="exact"/>
        <w:rPr>
          <w:rFonts w:ascii="Arial" w:cs="Arial" w:eastAsia="Arial" w:hAnsi="Arial"/>
          <w:sz w:val="20"/>
          <w:szCs w:val="20"/>
          <w:color w:val="auto"/>
        </w:rPr>
      </w:pPr>
    </w:p>
    <w:p>
      <w:pPr>
        <w:spacing w:after="0" w:line="397" w:lineRule="exact"/>
        <w:rPr>
          <w:rFonts w:ascii="Arial" w:cs="Arial" w:eastAsia="Arial" w:hAnsi="Arial"/>
          <w:sz w:val="20"/>
          <w:szCs w:val="20"/>
          <w:color w:val="auto"/>
        </w:rPr>
      </w:pPr>
    </w:p>
    <w:p>
      <w:pPr>
        <w:ind w:left="5560" w:hanging="110"/>
        <w:spacing w:after="0"/>
        <w:tabs>
          <w:tab w:leader="none" w:pos="5560" w:val="left"/>
        </w:tabs>
        <w:numPr>
          <w:ilvl w:val="1"/>
          <w:numId w:val="305"/>
        </w:numPr>
        <w:rPr>
          <w:rFonts w:ascii="Arial" w:cs="Arial" w:eastAsia="Arial" w:hAnsi="Arial"/>
          <w:sz w:val="20"/>
          <w:szCs w:val="20"/>
          <w:color w:val="auto"/>
        </w:rPr>
      </w:pPr>
      <w:r>
        <w:rPr>
          <w:rFonts w:ascii="Arial" w:cs="Arial" w:eastAsia="Arial" w:hAnsi="Arial"/>
          <w:sz w:val="20"/>
          <w:szCs w:val="20"/>
          <w:color w:val="auto"/>
        </w:rPr>
        <w:t>145 -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79" w:right="259" w:bottom="1440" w:gutter="0" w:footer="0" w:header="0"/>
        </w:sectPr>
      </w:pPr>
    </w:p>
    <w:bookmarkStart w:id="341" w:name="page342"/>
    <w:bookmarkEnd w:id="341"/>
    <w:p>
      <w:pPr>
        <w:jc w:val="both"/>
        <w:ind w:left="660" w:firstLine="645"/>
        <w:spacing w:after="0" w:line="278" w:lineRule="auto"/>
        <w:tabs>
          <w:tab w:leader="none" w:pos="2187" w:val="left"/>
        </w:tabs>
        <w:numPr>
          <w:ilvl w:val="0"/>
          <w:numId w:val="306"/>
        </w:numPr>
        <w:rPr>
          <w:rFonts w:ascii="Arial" w:cs="Arial" w:eastAsia="Arial" w:hAnsi="Arial"/>
          <w:sz w:val="20"/>
          <w:szCs w:val="20"/>
          <w:color w:val="auto"/>
        </w:rPr>
      </w:pPr>
      <w:r>
        <w:rPr>
          <w:rFonts w:ascii="Arial" w:cs="Arial" w:eastAsia="Arial" w:hAnsi="Arial"/>
          <w:sz w:val="20"/>
          <w:szCs w:val="20"/>
          <w:color w:val="auto"/>
        </w:rPr>
        <w:t xml:space="preserve">customary restrictions and conditions contained in agreements relating to the sale of a Subsidiary pending such sale,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restrictions and conditions apply only to the Subsidiary (or the Equity Interests thereof) that is to be sold and such sale is permitted hereunder;</w:t>
      </w:r>
    </w:p>
    <w:p>
      <w:pPr>
        <w:spacing w:after="0" w:line="146" w:lineRule="exact"/>
        <w:rPr>
          <w:rFonts w:ascii="Arial" w:cs="Arial" w:eastAsia="Arial" w:hAnsi="Arial"/>
          <w:sz w:val="20"/>
          <w:szCs w:val="20"/>
          <w:color w:val="auto"/>
        </w:rPr>
      </w:pPr>
    </w:p>
    <w:p>
      <w:pPr>
        <w:ind w:left="660" w:right="100" w:firstLine="645"/>
        <w:spacing w:after="0" w:line="278" w:lineRule="auto"/>
        <w:tabs>
          <w:tab w:leader="none" w:pos="2176" w:val="left"/>
        </w:tabs>
        <w:numPr>
          <w:ilvl w:val="0"/>
          <w:numId w:val="306"/>
        </w:numPr>
        <w:rPr>
          <w:rFonts w:ascii="Arial" w:cs="Arial" w:eastAsia="Arial" w:hAnsi="Arial"/>
          <w:sz w:val="20"/>
          <w:szCs w:val="20"/>
          <w:color w:val="auto"/>
        </w:rPr>
      </w:pPr>
      <w:r>
        <w:rPr>
          <w:rFonts w:ascii="Arial" w:cs="Arial" w:eastAsia="Arial" w:hAnsi="Arial"/>
          <w:sz w:val="20"/>
          <w:szCs w:val="20"/>
          <w:color w:val="auto"/>
        </w:rPr>
        <w:t xml:space="preserve">restrictions imposed by any amendment or refinancings that are otherwise permitted by the Loan Documents or the contracts, instruments or obligations referred to in clauses (A), (B) or (C) of this </w:t>
      </w:r>
      <w:r>
        <w:rPr>
          <w:rFonts w:ascii="Arial" w:cs="Arial" w:eastAsia="Arial" w:hAnsi="Arial"/>
          <w:sz w:val="20"/>
          <w:szCs w:val="20"/>
          <w:u w:val="single" w:color="auto"/>
          <w:color w:val="auto"/>
        </w:rPr>
        <w:t>Section 7.07</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amendments or refinancings do not materially expand the scope of any such restriction or condition;</w:t>
      </w:r>
    </w:p>
    <w:p>
      <w:pPr>
        <w:spacing w:after="0" w:line="146" w:lineRule="exact"/>
        <w:rPr>
          <w:rFonts w:ascii="Arial" w:cs="Arial" w:eastAsia="Arial" w:hAnsi="Arial"/>
          <w:sz w:val="20"/>
          <w:szCs w:val="20"/>
          <w:color w:val="auto"/>
        </w:rPr>
      </w:pPr>
    </w:p>
    <w:p>
      <w:pPr>
        <w:ind w:left="660" w:right="240" w:firstLine="645"/>
        <w:spacing w:after="0" w:line="347" w:lineRule="auto"/>
        <w:tabs>
          <w:tab w:leader="none" w:pos="215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any restriction arising under or in connection with any agreement or instrument governing Equity Interests of any joint venture (including any JV Subsidiary) </w:t>
      </w:r>
      <w:r>
        <w:rPr>
          <w:rFonts w:ascii="Arial" w:cs="Arial" w:eastAsia="Arial" w:hAnsi="Arial"/>
          <w:sz w:val="18"/>
          <w:szCs w:val="18"/>
          <w:u w:val="single" w:color="auto"/>
          <w:color w:val="0000FF"/>
        </w:rPr>
        <w:t>or Person that is not a Subsidiary</w:t>
      </w:r>
      <w:r>
        <w:rPr>
          <w:rFonts w:ascii="Arial" w:cs="Arial" w:eastAsia="Arial" w:hAnsi="Arial"/>
          <w:sz w:val="18"/>
          <w:szCs w:val="18"/>
          <w:color w:val="auto"/>
        </w:rPr>
        <w:t xml:space="preserve"> that is formed or acquired after the Closing Date;</w:t>
      </w:r>
    </w:p>
    <w:p>
      <w:pPr>
        <w:spacing w:after="0" w:line="90" w:lineRule="exact"/>
        <w:rPr>
          <w:rFonts w:ascii="Arial" w:cs="Arial" w:eastAsia="Arial" w:hAnsi="Arial"/>
          <w:sz w:val="18"/>
          <w:szCs w:val="18"/>
          <w:color w:val="auto"/>
        </w:rPr>
      </w:pPr>
    </w:p>
    <w:p>
      <w:pPr>
        <w:ind w:left="660" w:right="620" w:firstLine="645"/>
        <w:spacing w:after="0" w:line="289" w:lineRule="auto"/>
        <w:tabs>
          <w:tab w:leader="none" w:pos="2187" w:val="left"/>
        </w:tabs>
        <w:numPr>
          <w:ilvl w:val="0"/>
          <w:numId w:val="306"/>
        </w:numPr>
        <w:rPr>
          <w:rFonts w:ascii="Arial" w:cs="Arial" w:eastAsia="Arial" w:hAnsi="Arial"/>
          <w:sz w:val="20"/>
          <w:szCs w:val="20"/>
          <w:color w:val="auto"/>
        </w:rPr>
      </w:pPr>
      <w:r>
        <w:rPr>
          <w:rFonts w:ascii="Arial" w:cs="Arial" w:eastAsia="Arial" w:hAnsi="Arial"/>
          <w:sz w:val="20"/>
          <w:szCs w:val="20"/>
          <w:color w:val="auto"/>
        </w:rPr>
        <w:t xml:space="preserve">customary restrictions and conditions contained in any agreement relating to the Disposition of any property permitted by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pending the consummation of such Disposition;</w:t>
      </w:r>
    </w:p>
    <w:p>
      <w:pPr>
        <w:spacing w:after="0" w:line="134" w:lineRule="exact"/>
        <w:rPr>
          <w:rFonts w:ascii="Arial" w:cs="Arial" w:eastAsia="Arial" w:hAnsi="Arial"/>
          <w:sz w:val="20"/>
          <w:szCs w:val="20"/>
          <w:color w:val="auto"/>
        </w:rPr>
      </w:pPr>
    </w:p>
    <w:p>
      <w:pPr>
        <w:ind w:left="2180" w:hanging="875"/>
        <w:spacing w:after="0"/>
        <w:tabs>
          <w:tab w:leader="none" w:pos="21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customary provisions restricting the transfer or encumbrance of the specific property subject to a Permitted Lien;</w:t>
      </w:r>
    </w:p>
    <w:p>
      <w:pPr>
        <w:spacing w:after="0" w:line="225" w:lineRule="exact"/>
        <w:rPr>
          <w:rFonts w:ascii="Arial" w:cs="Arial" w:eastAsia="Arial" w:hAnsi="Arial"/>
          <w:sz w:val="18"/>
          <w:szCs w:val="18"/>
          <w:color w:val="auto"/>
        </w:rPr>
      </w:pPr>
    </w:p>
    <w:p>
      <w:pPr>
        <w:ind w:left="660" w:right="100" w:firstLine="645"/>
        <w:spacing w:after="0" w:line="293" w:lineRule="auto"/>
        <w:tabs>
          <w:tab w:leader="none" w:pos="2143" w:val="left"/>
        </w:tabs>
        <w:numPr>
          <w:ilvl w:val="0"/>
          <w:numId w:val="306"/>
        </w:numPr>
        <w:rPr>
          <w:rFonts w:ascii="Arial" w:cs="Arial" w:eastAsia="Arial" w:hAnsi="Arial"/>
          <w:sz w:val="19"/>
          <w:szCs w:val="19"/>
          <w:color w:val="auto"/>
        </w:rPr>
      </w:pPr>
      <w:r>
        <w:rPr>
          <w:rFonts w:ascii="Arial" w:cs="Arial" w:eastAsia="Arial" w:hAnsi="Arial"/>
          <w:sz w:val="19"/>
          <w:szCs w:val="19"/>
          <w:color w:val="auto"/>
        </w:rPr>
        <w:t xml:space="preserve">restrictions or conditions set forth in any agreement governing Indebtedness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(including any Permitted External Credit Agreement Refinancing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restrictions and conditions are customary for such Indebtedness and are no more restrictive, taken as a whole, than the comparable restrictions and conditions set forth in this Agreement as determined in the good faith judgment of the Board of Directors of Parent;</w:t>
      </w:r>
    </w:p>
    <w:p>
      <w:pPr>
        <w:spacing w:after="0" w:line="135" w:lineRule="exact"/>
        <w:rPr>
          <w:rFonts w:ascii="Arial" w:cs="Arial" w:eastAsia="Arial" w:hAnsi="Arial"/>
          <w:sz w:val="19"/>
          <w:szCs w:val="19"/>
          <w:color w:val="auto"/>
        </w:rPr>
      </w:pPr>
    </w:p>
    <w:p>
      <w:pPr>
        <w:ind w:left="2140" w:hanging="835"/>
        <w:spacing w:after="0"/>
        <w:tabs>
          <w:tab w:leader="none" w:pos="21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customary provisions restricting assignment of any agreement entered into in the ordinary course of business; and</w:t>
      </w:r>
    </w:p>
    <w:p>
      <w:pPr>
        <w:spacing w:after="0" w:line="225" w:lineRule="exact"/>
        <w:rPr>
          <w:rFonts w:ascii="Arial" w:cs="Arial" w:eastAsia="Arial" w:hAnsi="Arial"/>
          <w:sz w:val="18"/>
          <w:szCs w:val="18"/>
          <w:color w:val="auto"/>
        </w:rPr>
      </w:pPr>
    </w:p>
    <w:p>
      <w:pPr>
        <w:ind w:left="660" w:right="100" w:firstLine="645"/>
        <w:spacing w:after="0" w:line="289" w:lineRule="auto"/>
        <w:tabs>
          <w:tab w:leader="none" w:pos="2187" w:val="left"/>
        </w:tabs>
        <w:numPr>
          <w:ilvl w:val="0"/>
          <w:numId w:val="306"/>
        </w:numPr>
        <w:rPr>
          <w:rFonts w:ascii="Arial" w:cs="Arial" w:eastAsia="Arial" w:hAnsi="Arial"/>
          <w:sz w:val="20"/>
          <w:szCs w:val="20"/>
          <w:color w:val="auto"/>
        </w:rPr>
      </w:pPr>
      <w:r>
        <w:rPr>
          <w:rFonts w:ascii="Arial" w:cs="Arial" w:eastAsia="Arial" w:hAnsi="Arial"/>
          <w:sz w:val="20"/>
          <w:szCs w:val="20"/>
          <w:color w:val="auto"/>
        </w:rPr>
        <w:t>restrictions on cash or other deposits (including escrowed funds) or net worth imposed under contracts entered into in the ordinary course of business;</w:t>
      </w:r>
    </w:p>
    <w:p>
      <w:pPr>
        <w:spacing w:after="0" w:line="121"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and (ii) clause (a) of the foregoing shall not apply to (1) restrictions or conditions imposed by any agreement relating to secured Indebtedness permitted by this Agreement secured by specific assets if such restrictions or conditions apply only to the specific assets securing such Indebtedness and (2) customary provisions in leases, subleases, licenses, sublicenses and other agreements entered into in the ordinary course of business.</w:t>
      </w:r>
    </w:p>
    <w:p>
      <w:pPr>
        <w:spacing w:after="0" w:line="307"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7.08</w:t>
      </w:r>
      <w:r>
        <w:rPr>
          <w:sz w:val="20"/>
          <w:szCs w:val="20"/>
          <w:color w:val="auto"/>
        </w:rPr>
        <w:tab/>
      </w:r>
      <w:r>
        <w:rPr>
          <w:rFonts w:ascii="Arial" w:cs="Arial" w:eastAsia="Arial" w:hAnsi="Arial"/>
          <w:sz w:val="16"/>
          <w:szCs w:val="16"/>
          <w:u w:val="single" w:color="auto"/>
          <w:color w:val="auto"/>
        </w:rPr>
        <w:t>Amendments to Subordinated Indebtedness Documents or Organization Documents; Prepayments of</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Indebtedness</w:t>
      </w:r>
      <w:r>
        <w:rPr>
          <w:rFonts w:ascii="Arial" w:cs="Arial" w:eastAsia="Arial" w:hAnsi="Arial"/>
          <w:sz w:val="20"/>
          <w:szCs w:val="20"/>
          <w:color w:val="auto"/>
        </w:rPr>
        <w:t>.</w:t>
      </w:r>
    </w:p>
    <w:p>
      <w:pPr>
        <w:spacing w:after="0" w:line="173" w:lineRule="exact"/>
        <w:rPr>
          <w:sz w:val="20"/>
          <w:szCs w:val="20"/>
          <w:color w:val="auto"/>
        </w:rPr>
      </w:pPr>
    </w:p>
    <w:p>
      <w:pPr>
        <w:ind w:right="20" w:firstLine="1305"/>
        <w:spacing w:after="0" w:line="307" w:lineRule="auto"/>
        <w:tabs>
          <w:tab w:leader="none" w:pos="216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Neither Parent nor any Restricted Subsidiary will (i) amend, modify or waive any of its rights under any agreement or instrument governing or evidencing any Subordinated Indebtedness to the extent such amendment, modification or waiver would reasonably be expected to be adverse in any material respect to the Lenders or (ii) amend or otherwise modify any of their Organization Documents to the extent such amendment or modification would reasonably be expected to be adverse in any material respect to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re-domiciling of any Restricted Subsidiary in connection with any Permitted Reorganization, and amendments to the Organization Documents thereof in connection therewith, shall not be deemed to be adverse to the Lenders.</w:t>
      </w:r>
    </w:p>
    <w:p>
      <w:pPr>
        <w:spacing w:after="0" w:line="200" w:lineRule="exact"/>
        <w:rPr>
          <w:rFonts w:ascii="Arial" w:cs="Arial" w:eastAsia="Arial" w:hAnsi="Arial"/>
          <w:sz w:val="18"/>
          <w:szCs w:val="18"/>
          <w:color w:val="auto"/>
        </w:rPr>
      </w:pPr>
    </w:p>
    <w:p>
      <w:pPr>
        <w:spacing w:after="0" w:line="372" w:lineRule="exact"/>
        <w:rPr>
          <w:rFonts w:ascii="Arial" w:cs="Arial" w:eastAsia="Arial" w:hAnsi="Arial"/>
          <w:sz w:val="18"/>
          <w:szCs w:val="18"/>
          <w:color w:val="auto"/>
        </w:rPr>
      </w:pPr>
    </w:p>
    <w:p>
      <w:pPr>
        <w:ind w:left="5560" w:hanging="110"/>
        <w:spacing w:after="0"/>
        <w:tabs>
          <w:tab w:leader="none" w:pos="5560" w:val="left"/>
        </w:tabs>
        <w:numPr>
          <w:ilvl w:val="1"/>
          <w:numId w:val="307"/>
        </w:numPr>
        <w:rPr>
          <w:rFonts w:ascii="Arial" w:cs="Arial" w:eastAsia="Arial" w:hAnsi="Arial"/>
          <w:sz w:val="20"/>
          <w:szCs w:val="20"/>
          <w:color w:val="auto"/>
        </w:rPr>
      </w:pPr>
      <w:r>
        <w:rPr>
          <w:rFonts w:ascii="Arial" w:cs="Arial" w:eastAsia="Arial" w:hAnsi="Arial"/>
          <w:sz w:val="20"/>
          <w:szCs w:val="20"/>
          <w:color w:val="auto"/>
        </w:rPr>
        <w:t>146 -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79" w:right="279" w:bottom="1440" w:gutter="0" w:footer="0" w:header="0"/>
        </w:sectPr>
      </w:pPr>
    </w:p>
    <w:bookmarkStart w:id="342" w:name="page343"/>
    <w:bookmarkEnd w:id="342"/>
    <w:p>
      <w:pPr>
        <w:ind w:right="40" w:firstLine="1305"/>
        <w:spacing w:after="0" w:line="285" w:lineRule="auto"/>
        <w:tabs>
          <w:tab w:leader="none" w:pos="2175" w:val="left"/>
        </w:tabs>
        <w:numPr>
          <w:ilvl w:val="0"/>
          <w:numId w:val="308"/>
        </w:numPr>
        <w:rPr>
          <w:rFonts w:ascii="Arial" w:cs="Arial" w:eastAsia="Arial" w:hAnsi="Arial"/>
          <w:sz w:val="19"/>
          <w:szCs w:val="19"/>
          <w:color w:val="auto"/>
        </w:rPr>
      </w:pPr>
      <w:r>
        <w:rPr>
          <w:rFonts w:ascii="Arial" w:cs="Arial" w:eastAsia="Arial" w:hAnsi="Arial"/>
          <w:sz w:val="19"/>
          <w:szCs w:val="19"/>
          <w:color w:val="auto"/>
        </w:rPr>
        <w:t>Neither Parent nor any of its Restricted Subsidiaries will (i) voluntarily redeem, purchase, prepay, retire, defease or otherwise acquire for value prior to scheduled maturity, scheduled repayment or scheduled sinking fund payment any Subordinated Indebtedness or unsecured Indebtedness for borrowed money (in each case other than intercompany Indebtedness among Parent, any Borrower and the Restricted Subsidiaries), or set aside any funds for such purpose, except any purchase, prepayment, retirement, defeasance or acquisition of such Indebtedness in connection with a refinancing of such Indebtedness with Permitted Refinancing Indebtedness thereof or (ii) make any cash interest payment in respect of Subordinated Indebtedness (other than regularly scheduled interest payments as and when due in respect of Subordinated Indebtedness permitted under this Agreement if such payments are not then prohibited by the subordination provisions thereof, which shall be permitted) (all such payments set forth in clauses (i) and (ii), “</w:t>
      </w:r>
      <w:r>
        <w:rPr>
          <w:rFonts w:ascii="Arial" w:cs="Arial" w:eastAsia="Arial" w:hAnsi="Arial"/>
          <w:sz w:val="19"/>
          <w:szCs w:val="19"/>
          <w:u w:val="single" w:color="auto"/>
          <w:color w:val="auto"/>
        </w:rPr>
        <w:t>Junior Debt Payments</w:t>
      </w:r>
      <w:r>
        <w:rPr>
          <w:rFonts w:ascii="Arial" w:cs="Arial" w:eastAsia="Arial" w:hAnsi="Arial"/>
          <w:sz w:val="19"/>
          <w:szCs w:val="19"/>
          <w:color w:val="auto"/>
        </w:rPr>
        <w:t>”), except Parent and its Restricted Subsidiaries may make additional Junior Debt Payments using the Available Amount so long as the Available Amount Conditions have been met.</w:t>
      </w:r>
    </w:p>
    <w:p>
      <w:pPr>
        <w:spacing w:after="0" w:line="147" w:lineRule="exact"/>
        <w:rPr>
          <w:rFonts w:ascii="Arial" w:cs="Arial" w:eastAsia="Arial" w:hAnsi="Arial"/>
          <w:sz w:val="19"/>
          <w:szCs w:val="19"/>
          <w:color w:val="auto"/>
        </w:rPr>
      </w:pPr>
    </w:p>
    <w:p>
      <w:pPr>
        <w:ind w:right="180" w:firstLine="1305"/>
        <w:spacing w:after="0" w:line="299" w:lineRule="auto"/>
        <w:tabs>
          <w:tab w:leader="none" w:pos="2164" w:val="left"/>
        </w:tabs>
        <w:numPr>
          <w:ilvl w:val="0"/>
          <w:numId w:val="308"/>
        </w:numPr>
        <w:rPr>
          <w:rFonts w:ascii="Arial" w:cs="Arial" w:eastAsia="Arial" w:hAnsi="Arial"/>
          <w:sz w:val="19"/>
          <w:szCs w:val="19"/>
          <w:color w:val="auto"/>
        </w:rPr>
      </w:pPr>
      <w:r>
        <w:rPr>
          <w:rFonts w:ascii="Arial" w:cs="Arial" w:eastAsia="Arial" w:hAnsi="Arial"/>
          <w:sz w:val="19"/>
          <w:szCs w:val="19"/>
          <w:color w:val="auto"/>
        </w:rPr>
        <w:t xml:space="preserve">Neither Parent nor any of its restricted Subsidiaries will release, cancel, compromise or forgive in whole or in part any Indebtedness evidenced by any Intercompany Note (unless either a Loan Party is the obligor with respect to such Indebtedness or the release, cancellation, compromise or forgiveness thereof is otherwise permitted pursuant to </w:t>
      </w:r>
      <w:r>
        <w:rPr>
          <w:rFonts w:ascii="Arial" w:cs="Arial" w:eastAsia="Arial" w:hAnsi="Arial"/>
          <w:sz w:val="19"/>
          <w:szCs w:val="19"/>
          <w:u w:val="single" w:color="auto"/>
          <w:color w:val="auto"/>
        </w:rPr>
        <w:t>Section 7.04</w:t>
      </w:r>
      <w:r>
        <w:rPr>
          <w:rFonts w:ascii="Arial" w:cs="Arial" w:eastAsia="Arial" w:hAnsi="Arial"/>
          <w:sz w:val="19"/>
          <w:szCs w:val="19"/>
          <w:color w:val="auto"/>
        </w:rPr>
        <w:t>).</w:t>
      </w:r>
    </w:p>
    <w:p>
      <w:pPr>
        <w:spacing w:after="0" w:line="217" w:lineRule="exact"/>
        <w:rPr>
          <w:sz w:val="20"/>
          <w:szCs w:val="20"/>
          <w:color w:val="auto"/>
        </w:rPr>
      </w:pPr>
    </w:p>
    <w:p>
      <w:pPr>
        <w:ind w:right="220" w:firstLine="1297"/>
        <w:spacing w:after="0" w:line="246" w:lineRule="auto"/>
        <w:rPr>
          <w:sz w:val="20"/>
          <w:szCs w:val="20"/>
          <w:color w:val="auto"/>
        </w:rPr>
      </w:pPr>
      <w:r>
        <w:rPr>
          <w:rFonts w:ascii="Arial" w:cs="Arial" w:eastAsia="Arial" w:hAnsi="Arial"/>
          <w:sz w:val="20"/>
          <w:szCs w:val="20"/>
          <w:b w:val="1"/>
          <w:bCs w:val="1"/>
          <w:color w:val="auto"/>
        </w:rPr>
        <w:t xml:space="preserve">Section 7.09 </w:t>
      </w:r>
      <w:r>
        <w:rPr>
          <w:rFonts w:ascii="Arial" w:cs="Arial" w:eastAsia="Arial" w:hAnsi="Arial"/>
          <w:sz w:val="20"/>
          <w:szCs w:val="20"/>
          <w:u w:val="single" w:color="auto"/>
          <w:color w:val="auto"/>
        </w:rPr>
        <w:t>Sale/Leaseback Transactions</w:t>
      </w:r>
      <w:r>
        <w:rPr>
          <w:rFonts w:ascii="Arial" w:cs="Arial" w:eastAsia="Arial" w:hAnsi="Arial"/>
          <w:sz w:val="20"/>
          <w:szCs w:val="20"/>
          <w:color w:val="auto"/>
        </w:rPr>
        <w:t>. None of Parent or any Restricted Subsidiary will enter into any Sale/Leaseback</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Transaction unless (a) the sale or transfer of the property thereunder is permitted by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(b) any Capital Lease Obligations and Synthetic Lease Obligations arising in connection therewith are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and (c) any Liens arising in connection therewith (including Liens deemed to arise in connection with any such Capital Lease Obligations and Synthetic Lease Obligations) are permitted by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280"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7.10</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35" w:lineRule="exact"/>
        <w:rPr>
          <w:sz w:val="20"/>
          <w:szCs w:val="20"/>
          <w:color w:val="auto"/>
        </w:rPr>
      </w:pPr>
    </w:p>
    <w:p>
      <w:pPr>
        <w:ind w:right="300" w:firstLine="1305"/>
        <w:spacing w:after="0" w:line="387" w:lineRule="auto"/>
        <w:tabs>
          <w:tab w:leader="none" w:pos="2164" w:val="left"/>
        </w:tabs>
        <w:numPr>
          <w:ilvl w:val="0"/>
          <w:numId w:val="309"/>
        </w:numPr>
        <w:rPr>
          <w:rFonts w:ascii="Arial" w:cs="Arial" w:eastAsia="Arial" w:hAnsi="Arial"/>
          <w:sz w:val="16"/>
          <w:szCs w:val="16"/>
          <w:color w:val="auto"/>
        </w:rPr>
      </w:pPr>
      <w:r>
        <w:rPr>
          <w:rFonts w:ascii="Arial" w:cs="Arial" w:eastAsia="Arial" w:hAnsi="Arial"/>
          <w:sz w:val="16"/>
          <w:szCs w:val="16"/>
          <w:i w:val="1"/>
          <w:iCs w:val="1"/>
          <w:color w:val="auto"/>
        </w:rPr>
        <w:t>Maximum Secured Leverage Ratio</w:t>
      </w:r>
      <w:r>
        <w:rPr>
          <w:rFonts w:ascii="Arial" w:cs="Arial" w:eastAsia="Arial" w:hAnsi="Arial"/>
          <w:sz w:val="16"/>
          <w:szCs w:val="16"/>
          <w:color w:val="auto"/>
        </w:rPr>
        <w:t>. Parent will not permit the Secured Leverage Ratio with respect to any Test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Period (commencing with the Test Period ending September 30, 2015) to be greater than 3.00:1.00;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Parent shall be permitted, upon written notice to the Administrative Agent, up to two times during the period commencing on the Closing Date and ending on the Maturity Date, solely in connection with any Permitted Acquisition that involves the payment of aggregate consideration by Parent and its Restricted Subsidiaries in excess of $250,000,000 (a “</w:t>
      </w:r>
      <w:r>
        <w:rPr>
          <w:rFonts w:ascii="Arial" w:cs="Arial" w:eastAsia="Arial" w:hAnsi="Arial"/>
          <w:sz w:val="16"/>
          <w:szCs w:val="16"/>
          <w:u w:val="single" w:color="auto"/>
          <w:color w:val="auto"/>
        </w:rPr>
        <w:t>Relevant Acquisition</w:t>
      </w:r>
      <w:r>
        <w:rPr>
          <w:rFonts w:ascii="Arial" w:cs="Arial" w:eastAsia="Arial" w:hAnsi="Arial"/>
          <w:sz w:val="16"/>
          <w:szCs w:val="16"/>
          <w:color w:val="auto"/>
        </w:rPr>
        <w:t>”), to increase such maximum Secured Leverage Ratio to 3.50 to</w:t>
      </w:r>
    </w:p>
    <w:p>
      <w:pPr>
        <w:spacing w:after="0" w:line="2" w:lineRule="exact"/>
        <w:rPr>
          <w:rFonts w:ascii="Arial" w:cs="Arial" w:eastAsia="Arial" w:hAnsi="Arial"/>
          <w:sz w:val="16"/>
          <w:szCs w:val="16"/>
          <w:color w:val="auto"/>
        </w:rPr>
      </w:pPr>
    </w:p>
    <w:p>
      <w:pPr>
        <w:ind w:right="20"/>
        <w:spacing w:after="0" w:line="344" w:lineRule="auto"/>
        <w:rPr>
          <w:rFonts w:ascii="Arial" w:cs="Arial" w:eastAsia="Arial" w:hAnsi="Arial"/>
          <w:sz w:val="16"/>
          <w:szCs w:val="16"/>
          <w:color w:val="auto"/>
        </w:rPr>
      </w:pPr>
      <w:r>
        <w:rPr>
          <w:rFonts w:ascii="Arial" w:cs="Arial" w:eastAsia="Arial" w:hAnsi="Arial"/>
          <w:sz w:val="18"/>
          <w:szCs w:val="18"/>
          <w:color w:val="auto"/>
        </w:rPr>
        <w:t>1.00 for the next two Test Periods following the closing date of such Material Acquisition (and for the current period in connection with testing compliance with this Section for any such Relevant Acquisition pursuant to the definition of Permitted Acquisition), stepping down to 3.25 to</w:t>
      </w:r>
    </w:p>
    <w:p>
      <w:pPr>
        <w:spacing w:after="0" w:line="394" w:lineRule="auto"/>
        <w:rPr>
          <w:rFonts w:ascii="Arial" w:cs="Arial" w:eastAsia="Arial" w:hAnsi="Arial"/>
          <w:sz w:val="16"/>
          <w:szCs w:val="16"/>
          <w:color w:val="auto"/>
        </w:rPr>
      </w:pPr>
      <w:r>
        <w:rPr>
          <w:rFonts w:ascii="Arial" w:cs="Arial" w:eastAsia="Arial" w:hAnsi="Arial"/>
          <w:sz w:val="18"/>
          <w:szCs w:val="18"/>
          <w:color w:val="auto"/>
        </w:rPr>
        <w:t>1.00 for the next two succeeding Test Periods and further stepping down to 3.00 to 1.00 after completion of the first four Test Periods following the closing date of such Relevant Acquisition (such increase in the Secured Leverage Ratio level, the “</w:t>
      </w:r>
      <w:r>
        <w:rPr>
          <w:rFonts w:ascii="Arial" w:cs="Arial" w:eastAsia="Arial" w:hAnsi="Arial"/>
          <w:sz w:val="18"/>
          <w:szCs w:val="18"/>
          <w:u w:val="single" w:color="auto"/>
          <w:color w:val="auto"/>
        </w:rPr>
        <w:t>Secured Leverage Holiday</w:t>
      </w:r>
      <w:r>
        <w:rPr>
          <w:rFonts w:ascii="Arial" w:cs="Arial" w:eastAsia="Arial" w:hAnsi="Arial"/>
          <w:sz w:val="18"/>
          <w:szCs w:val="18"/>
          <w:color w:val="auto"/>
        </w:rPr>
        <w:t>”).</w:t>
      </w:r>
    </w:p>
    <w:p>
      <w:pPr>
        <w:spacing w:after="0" w:line="90" w:lineRule="exact"/>
        <w:rPr>
          <w:rFonts w:ascii="Arial" w:cs="Arial" w:eastAsia="Arial" w:hAnsi="Arial"/>
          <w:sz w:val="16"/>
          <w:szCs w:val="16"/>
          <w:color w:val="auto"/>
        </w:rPr>
      </w:pPr>
    </w:p>
    <w:p>
      <w:pPr>
        <w:ind w:right="520" w:firstLine="1305"/>
        <w:spacing w:after="0" w:line="331" w:lineRule="auto"/>
        <w:tabs>
          <w:tab w:leader="none" w:pos="2175" w:val="left"/>
        </w:tabs>
        <w:numPr>
          <w:ilvl w:val="0"/>
          <w:numId w:val="309"/>
        </w:numPr>
        <w:rPr>
          <w:rFonts w:ascii="Arial" w:cs="Arial" w:eastAsia="Arial" w:hAnsi="Arial"/>
          <w:sz w:val="20"/>
          <w:szCs w:val="20"/>
          <w:color w:val="auto"/>
        </w:rPr>
      </w:pPr>
      <w:r>
        <w:rPr>
          <w:rFonts w:ascii="Arial" w:cs="Arial" w:eastAsia="Arial" w:hAnsi="Arial"/>
          <w:sz w:val="20"/>
          <w:szCs w:val="20"/>
          <w:i w:val="1"/>
          <w:iCs w:val="1"/>
          <w:color w:val="auto"/>
        </w:rPr>
        <w:t>Minimum Interest Coverage Ratio</w:t>
      </w:r>
      <w:r>
        <w:rPr>
          <w:rFonts w:ascii="Arial" w:cs="Arial" w:eastAsia="Arial" w:hAnsi="Arial"/>
          <w:sz w:val="20"/>
          <w:szCs w:val="20"/>
          <w:color w:val="auto"/>
        </w:rPr>
        <w:t>. Parent will not permit the Interest Coverage Ratio with respect to any Test</w:t>
      </w:r>
      <w:r>
        <w:rPr>
          <w:rFonts w:ascii="Arial" w:cs="Arial" w:eastAsia="Arial" w:hAnsi="Arial"/>
          <w:sz w:val="20"/>
          <w:szCs w:val="20"/>
          <w:i w:val="1"/>
          <w:iCs w:val="1"/>
          <w:color w:val="auto"/>
        </w:rPr>
        <w:t xml:space="preserve"> </w:t>
      </w:r>
      <w:r>
        <w:rPr>
          <w:rFonts w:ascii="Arial" w:cs="Arial" w:eastAsia="Arial" w:hAnsi="Arial"/>
          <w:sz w:val="20"/>
          <w:szCs w:val="20"/>
          <w:color w:val="auto"/>
        </w:rPr>
        <w:t>Period (commencing with the Test Period ending September 30, 2015) to be less than 3.50:1.00.</w:t>
      </w:r>
    </w:p>
    <w:p>
      <w:pPr>
        <w:spacing w:after="0" w:line="200" w:lineRule="exact"/>
        <w:rPr>
          <w:rFonts w:ascii="Arial" w:cs="Arial" w:eastAsia="Arial" w:hAnsi="Arial"/>
          <w:sz w:val="20"/>
          <w:szCs w:val="20"/>
          <w:color w:val="auto"/>
        </w:rPr>
      </w:pPr>
    </w:p>
    <w:p>
      <w:pPr>
        <w:spacing w:after="0" w:line="354" w:lineRule="exact"/>
        <w:rPr>
          <w:rFonts w:ascii="Arial" w:cs="Arial" w:eastAsia="Arial" w:hAnsi="Arial"/>
          <w:sz w:val="20"/>
          <w:szCs w:val="20"/>
          <w:color w:val="auto"/>
        </w:rPr>
      </w:pPr>
    </w:p>
    <w:p>
      <w:pPr>
        <w:ind w:left="5560" w:hanging="110"/>
        <w:spacing w:after="0"/>
        <w:tabs>
          <w:tab w:leader="none" w:pos="5560" w:val="left"/>
        </w:tabs>
        <w:numPr>
          <w:ilvl w:val="1"/>
          <w:numId w:val="309"/>
        </w:numPr>
        <w:rPr>
          <w:rFonts w:ascii="Arial" w:cs="Arial" w:eastAsia="Arial" w:hAnsi="Arial"/>
          <w:sz w:val="20"/>
          <w:szCs w:val="20"/>
          <w:color w:val="auto"/>
        </w:rPr>
      </w:pPr>
      <w:r>
        <w:rPr>
          <w:rFonts w:ascii="Arial" w:cs="Arial" w:eastAsia="Arial" w:hAnsi="Arial"/>
          <w:sz w:val="20"/>
          <w:szCs w:val="20"/>
          <w:color w:val="auto"/>
        </w:rPr>
        <w:t>147 -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79" w:right="279" w:bottom="1440" w:gutter="0" w:footer="0" w:header="0"/>
        </w:sectPr>
      </w:pPr>
    </w:p>
    <w:bookmarkStart w:id="343" w:name="page344"/>
    <w:bookmarkEnd w:id="343"/>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EVENTS OF DEFAULT</w:t>
      </w:r>
    </w:p>
    <w:p>
      <w:pPr>
        <w:spacing w:after="0" w:line="229" w:lineRule="exact"/>
        <w:rPr>
          <w:sz w:val="20"/>
          <w:szCs w:val="20"/>
          <w:color w:val="auto"/>
        </w:rPr>
      </w:pPr>
    </w:p>
    <w:p>
      <w:pPr>
        <w:ind w:right="100" w:firstLine="1297"/>
        <w:spacing w:after="0" w:line="267" w:lineRule="auto"/>
        <w:rPr>
          <w:sz w:val="20"/>
          <w:szCs w:val="20"/>
          <w:color w:val="auto"/>
        </w:rPr>
      </w:pPr>
      <w:r>
        <w:rPr>
          <w:rFonts w:ascii="Arial" w:cs="Arial" w:eastAsia="Arial" w:hAnsi="Arial"/>
          <w:sz w:val="20"/>
          <w:szCs w:val="20"/>
          <w:b w:val="1"/>
          <w:bCs w:val="1"/>
          <w:color w:val="auto"/>
        </w:rPr>
        <w:t xml:space="preserve">Section 8.01 </w:t>
      </w:r>
      <w:r>
        <w:rPr>
          <w:rFonts w:ascii="Arial" w:cs="Arial" w:eastAsia="Arial" w:hAnsi="Arial"/>
          <w:sz w:val="20"/>
          <w:szCs w:val="20"/>
          <w:u w:val="single" w:color="auto"/>
          <w:color w:val="auto"/>
        </w:rPr>
        <w:t>Events of Default</w:t>
      </w:r>
      <w:r>
        <w:rPr>
          <w:rFonts w:ascii="Arial" w:cs="Arial" w:eastAsia="Arial" w:hAnsi="Arial"/>
          <w:sz w:val="20"/>
          <w:szCs w:val="20"/>
          <w:color w:val="auto"/>
        </w:rPr>
        <w:t>. An Event of Default shall exist upon the occurrence of any of the following specified events</w:t>
      </w:r>
      <w:r>
        <w:rPr>
          <w:rFonts w:ascii="Arial" w:cs="Arial" w:eastAsia="Arial" w:hAnsi="Arial"/>
          <w:sz w:val="20"/>
          <w:szCs w:val="20"/>
          <w:b w:val="1"/>
          <w:bCs w:val="1"/>
          <w:color w:val="auto"/>
        </w:rPr>
        <w:t xml:space="preserve"> </w:t>
      </w:r>
      <w:r>
        <w:rPr>
          <w:rFonts w:ascii="Arial" w:cs="Arial" w:eastAsia="Arial" w:hAnsi="Arial"/>
          <w:sz w:val="20"/>
          <w:szCs w:val="20"/>
          <w:color w:val="auto"/>
        </w:rPr>
        <w:t>or conditions (each, an “</w:t>
      </w:r>
      <w:r>
        <w:rPr>
          <w:rFonts w:ascii="Arial" w:cs="Arial" w:eastAsia="Arial" w:hAnsi="Arial"/>
          <w:sz w:val="20"/>
          <w:szCs w:val="20"/>
          <w:u w:val="single" w:color="auto"/>
          <w:color w:val="auto"/>
        </w:rPr>
        <w:t>Event of Default</w:t>
      </w:r>
      <w:r>
        <w:rPr>
          <w:rFonts w:ascii="Arial" w:cs="Arial" w:eastAsia="Arial" w:hAnsi="Arial"/>
          <w:sz w:val="20"/>
          <w:szCs w:val="20"/>
          <w:color w:val="auto"/>
        </w:rPr>
        <w:t>”):</w:t>
      </w:r>
    </w:p>
    <w:p>
      <w:pPr>
        <w:spacing w:after="0" w:line="143" w:lineRule="exact"/>
        <w:rPr>
          <w:sz w:val="20"/>
          <w:szCs w:val="20"/>
          <w:color w:val="auto"/>
        </w:rPr>
      </w:pPr>
    </w:p>
    <w:p>
      <w:pPr>
        <w:ind w:left="660" w:right="280" w:firstLine="645"/>
        <w:spacing w:after="0" w:line="278" w:lineRule="auto"/>
        <w:tabs>
          <w:tab w:leader="none" w:pos="2176" w:val="left"/>
        </w:tabs>
        <w:numPr>
          <w:ilvl w:val="0"/>
          <w:numId w:val="310"/>
        </w:numPr>
        <w:rPr>
          <w:rFonts w:ascii="Arial" w:cs="Arial" w:eastAsia="Arial" w:hAnsi="Arial"/>
          <w:sz w:val="20"/>
          <w:szCs w:val="20"/>
          <w:color w:val="auto"/>
        </w:rPr>
      </w:pPr>
      <w:r>
        <w:rPr>
          <w:rFonts w:ascii="Arial" w:cs="Arial" w:eastAsia="Arial" w:hAnsi="Arial"/>
          <w:sz w:val="20"/>
          <w:szCs w:val="20"/>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46" w:lineRule="exact"/>
        <w:rPr>
          <w:rFonts w:ascii="Arial" w:cs="Arial" w:eastAsia="Arial" w:hAnsi="Arial"/>
          <w:sz w:val="20"/>
          <w:szCs w:val="20"/>
          <w:color w:val="auto"/>
        </w:rPr>
      </w:pPr>
    </w:p>
    <w:p>
      <w:pPr>
        <w:ind w:left="660" w:right="240" w:firstLine="645"/>
        <w:spacing w:after="0" w:line="322" w:lineRule="auto"/>
        <w:tabs>
          <w:tab w:leader="none" w:pos="218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any Borrower shall fail to pay any interest on any Loan or any fee or any other amount (other than an amount referred to in clause (a) of this </w:t>
      </w:r>
      <w:r>
        <w:rPr>
          <w:rFonts w:ascii="Arial" w:cs="Arial" w:eastAsia="Arial" w:hAnsi="Arial"/>
          <w:sz w:val="18"/>
          <w:szCs w:val="18"/>
          <w:u w:val="single" w:color="auto"/>
          <w:color w:val="auto"/>
        </w:rPr>
        <w:t>Section 8.01</w:t>
      </w:r>
      <w:r>
        <w:rPr>
          <w:rFonts w:ascii="Arial" w:cs="Arial" w:eastAsia="Arial" w:hAnsi="Arial"/>
          <w:sz w:val="18"/>
          <w:szCs w:val="18"/>
          <w:color w:val="auto"/>
        </w:rPr>
        <w:t>) payable under this Agreement or any other Loan Document, when and as the same shall become due and payable, and such failure shall continue unremedied for a period of three (3) Business Days;</w:t>
      </w:r>
    </w:p>
    <w:p>
      <w:pPr>
        <w:spacing w:after="0" w:line="112" w:lineRule="exact"/>
        <w:rPr>
          <w:rFonts w:ascii="Arial" w:cs="Arial" w:eastAsia="Arial" w:hAnsi="Arial"/>
          <w:sz w:val="18"/>
          <w:szCs w:val="18"/>
          <w:color w:val="auto"/>
        </w:rPr>
      </w:pPr>
    </w:p>
    <w:p>
      <w:pPr>
        <w:ind w:left="660" w:right="40" w:firstLine="645"/>
        <w:spacing w:after="0" w:line="290" w:lineRule="auto"/>
        <w:tabs>
          <w:tab w:leader="none" w:pos="2176" w:val="left"/>
        </w:tabs>
        <w:numPr>
          <w:ilvl w:val="0"/>
          <w:numId w:val="310"/>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or on behalf of any Borrower or any other Loan Party in or in connection with this Agreement or any other Loan Document or any amendment or modification hereof or thereof or waiver hereunder or thereunder, or in any certificate, financial statement or other instrument furnished pursuant to or in connection with this Agreement or any other Loan Document or any amendment or modification thereof or waiver thereunder, shall prove to have been incorrect in any material respect when made or deemed made;</w:t>
      </w:r>
    </w:p>
    <w:p>
      <w:pPr>
        <w:spacing w:after="0" w:line="138" w:lineRule="exact"/>
        <w:rPr>
          <w:rFonts w:ascii="Arial" w:cs="Arial" w:eastAsia="Arial" w:hAnsi="Arial"/>
          <w:sz w:val="19"/>
          <w:szCs w:val="19"/>
          <w:color w:val="auto"/>
        </w:rPr>
      </w:pPr>
    </w:p>
    <w:p>
      <w:pPr>
        <w:ind w:left="660" w:right="160" w:firstLine="645"/>
        <w:spacing w:after="0" w:line="289" w:lineRule="auto"/>
        <w:tabs>
          <w:tab w:leader="none" w:pos="2187" w:val="left"/>
        </w:tabs>
        <w:numPr>
          <w:ilvl w:val="0"/>
          <w:numId w:val="310"/>
        </w:numPr>
        <w:rPr>
          <w:rFonts w:ascii="Arial" w:cs="Arial" w:eastAsia="Arial" w:hAnsi="Arial"/>
          <w:sz w:val="20"/>
          <w:szCs w:val="20"/>
          <w:color w:val="auto"/>
        </w:rPr>
      </w:pPr>
      <w:r>
        <w:rPr>
          <w:rFonts w:ascii="Arial" w:cs="Arial" w:eastAsia="Arial" w:hAnsi="Arial"/>
          <w:sz w:val="20"/>
          <w:szCs w:val="20"/>
          <w:color w:val="auto"/>
        </w:rPr>
        <w:t xml:space="preserve">any Loan Party shall fail to observe or perform any covenant, condition or agreement contained in </w:t>
      </w:r>
      <w:r>
        <w:rPr>
          <w:rFonts w:ascii="Arial" w:cs="Arial" w:eastAsia="Arial" w:hAnsi="Arial"/>
          <w:sz w:val="20"/>
          <w:szCs w:val="20"/>
          <w:u w:val="single" w:color="auto"/>
          <w:color w:val="auto"/>
        </w:rPr>
        <w:t>Section 6.02(a)</w:t>
      </w:r>
      <w:r>
        <w:rPr>
          <w:rFonts w:ascii="Arial" w:cs="Arial" w:eastAsia="Arial" w:hAnsi="Arial"/>
          <w:sz w:val="20"/>
          <w:szCs w:val="20"/>
          <w:color w:val="auto"/>
        </w:rPr>
        <w:t xml:space="preserve">, </w:t>
      </w:r>
      <w:r>
        <w:rPr>
          <w:rFonts w:ascii="Arial" w:cs="Arial" w:eastAsia="Arial" w:hAnsi="Arial"/>
          <w:sz w:val="20"/>
          <w:szCs w:val="20"/>
          <w:u w:val="single" w:color="auto"/>
          <w:color w:val="auto"/>
        </w:rPr>
        <w:t>6.03</w:t>
      </w:r>
      <w:r>
        <w:rPr>
          <w:rFonts w:ascii="Arial" w:cs="Arial" w:eastAsia="Arial" w:hAnsi="Arial"/>
          <w:sz w:val="20"/>
          <w:szCs w:val="20"/>
          <w:color w:val="auto"/>
        </w:rPr>
        <w:t xml:space="preserve"> (with respect to Parent’s or any Borrower’s existence), </w:t>
      </w:r>
      <w:r>
        <w:rPr>
          <w:rFonts w:ascii="Arial" w:cs="Arial" w:eastAsia="Arial" w:hAnsi="Arial"/>
          <w:sz w:val="20"/>
          <w:szCs w:val="20"/>
          <w:u w:val="single" w:color="auto"/>
          <w:color w:val="auto"/>
        </w:rPr>
        <w:t>6.08</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6.09</w:t>
      </w:r>
      <w:r>
        <w:rPr>
          <w:rFonts w:ascii="Arial" w:cs="Arial" w:eastAsia="Arial" w:hAnsi="Arial"/>
          <w:sz w:val="20"/>
          <w:szCs w:val="20"/>
          <w:color w:val="auto"/>
        </w:rPr>
        <w:t xml:space="preserve"> or in </w:t>
      </w:r>
      <w:r>
        <w:rPr>
          <w:rFonts w:ascii="Arial" w:cs="Arial" w:eastAsia="Arial" w:hAnsi="Arial"/>
          <w:sz w:val="20"/>
          <w:szCs w:val="20"/>
          <w:u w:val="single" w:color="auto"/>
          <w:color w:val="auto"/>
        </w:rPr>
        <w:t>Article VII</w:t>
      </w:r>
      <w:r>
        <w:rPr>
          <w:rFonts w:ascii="Arial" w:cs="Arial" w:eastAsia="Arial" w:hAnsi="Arial"/>
          <w:sz w:val="20"/>
          <w:szCs w:val="20"/>
          <w:color w:val="auto"/>
        </w:rPr>
        <w:t>;</w:t>
      </w:r>
    </w:p>
    <w:p>
      <w:pPr>
        <w:spacing w:after="0" w:line="134" w:lineRule="exact"/>
        <w:rPr>
          <w:rFonts w:ascii="Arial" w:cs="Arial" w:eastAsia="Arial" w:hAnsi="Arial"/>
          <w:sz w:val="20"/>
          <w:szCs w:val="20"/>
          <w:color w:val="auto"/>
        </w:rPr>
      </w:pPr>
    </w:p>
    <w:p>
      <w:pPr>
        <w:jc w:val="both"/>
        <w:ind w:left="660" w:firstLine="645"/>
        <w:spacing w:after="0" w:line="293" w:lineRule="auto"/>
        <w:tabs>
          <w:tab w:leader="none" w:pos="2176" w:val="left"/>
        </w:tabs>
        <w:numPr>
          <w:ilvl w:val="0"/>
          <w:numId w:val="310"/>
        </w:numPr>
        <w:rPr>
          <w:rFonts w:ascii="Arial" w:cs="Arial" w:eastAsia="Arial" w:hAnsi="Arial"/>
          <w:sz w:val="19"/>
          <w:szCs w:val="19"/>
          <w:color w:val="auto"/>
        </w:rPr>
      </w:pPr>
      <w:r>
        <w:rPr>
          <w:rFonts w:ascii="Arial" w:cs="Arial" w:eastAsia="Arial" w:hAnsi="Arial"/>
          <w:sz w:val="19"/>
          <w:szCs w:val="19"/>
          <w:color w:val="auto"/>
        </w:rPr>
        <w:t>Parent, any Borrower or any Subsidiary Guarantor, as applicable, shall fail to observe or perform any covenant, condition or agreement contained in this Agreement (other than those specified in clause (a), (b) or (d) of this Article) or any other Loan Document, and such failure shall continue unremedied for a period of thirty (30) days after notice thereof from the Administrative Agent to the Lead Borrower (which notice will be given at the request of the Required Lender);</w:t>
      </w:r>
    </w:p>
    <w:p>
      <w:pPr>
        <w:spacing w:after="0" w:line="135" w:lineRule="exact"/>
        <w:rPr>
          <w:rFonts w:ascii="Arial" w:cs="Arial" w:eastAsia="Arial" w:hAnsi="Arial"/>
          <w:sz w:val="19"/>
          <w:szCs w:val="19"/>
          <w:color w:val="auto"/>
        </w:rPr>
      </w:pPr>
    </w:p>
    <w:p>
      <w:pPr>
        <w:ind w:left="660" w:right="20" w:firstLine="645"/>
        <w:spacing w:after="0" w:line="289" w:lineRule="auto"/>
        <w:tabs>
          <w:tab w:leader="none" w:pos="2154" w:val="left"/>
        </w:tabs>
        <w:numPr>
          <w:ilvl w:val="0"/>
          <w:numId w:val="310"/>
        </w:numPr>
        <w:rPr>
          <w:rFonts w:ascii="Arial" w:cs="Arial" w:eastAsia="Arial" w:hAnsi="Arial"/>
          <w:sz w:val="20"/>
          <w:szCs w:val="20"/>
          <w:color w:val="auto"/>
        </w:rPr>
      </w:pPr>
      <w:r>
        <w:rPr>
          <w:rFonts w:ascii="Arial" w:cs="Arial" w:eastAsia="Arial" w:hAnsi="Arial"/>
          <w:sz w:val="20"/>
          <w:szCs w:val="20"/>
          <w:color w:val="auto"/>
        </w:rPr>
        <w:t>Parent or any Restricted Subsidiary shall fail to make any payment (whether of principal or interest and regardless of amount) in respect of any Material Indebtedness, when and as the same shall become due and payable;</w:t>
      </w:r>
    </w:p>
    <w:p>
      <w:pPr>
        <w:spacing w:after="0" w:line="134" w:lineRule="exact"/>
        <w:rPr>
          <w:rFonts w:ascii="Arial" w:cs="Arial" w:eastAsia="Arial" w:hAnsi="Arial"/>
          <w:sz w:val="20"/>
          <w:szCs w:val="20"/>
          <w:color w:val="auto"/>
        </w:rPr>
      </w:pPr>
    </w:p>
    <w:p>
      <w:pPr>
        <w:ind w:left="660" w:firstLine="645"/>
        <w:spacing w:after="0" w:line="286" w:lineRule="auto"/>
        <w:tabs>
          <w:tab w:leader="none" w:pos="2187" w:val="left"/>
        </w:tabs>
        <w:numPr>
          <w:ilvl w:val="0"/>
          <w:numId w:val="310"/>
        </w:numPr>
        <w:rPr>
          <w:rFonts w:ascii="Arial" w:cs="Arial" w:eastAsia="Arial" w:hAnsi="Arial"/>
          <w:sz w:val="19"/>
          <w:szCs w:val="19"/>
          <w:color w:val="auto"/>
        </w:rPr>
      </w:pPr>
      <w:r>
        <w:rPr>
          <w:rFonts w:ascii="Arial" w:cs="Arial" w:eastAsia="Arial" w:hAnsi="Arial"/>
          <w:sz w:val="19"/>
          <w:szCs w:val="19"/>
          <w:color w:val="auto"/>
        </w:rPr>
        <w:t xml:space="preserve">any event or condition that results in any Material Indebtedness becoming due prior to its scheduled maturity or that enables or permits, after the expiration of any applicable grace period provided in the applicable agreement or instrument under which such Indebtedness was created,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(g) shall not apply to (i) secured Indebtedness that becomes due as a result of the voluntary sale or transfer of the property or assets securing such Indebtedness or, with respect to any Material Indebtedness consisting of Swap Agreements, termination events or equivalent events pursuant to the terms of such Swap Agreements and not as a result of any default thereunder by Parent or any of its Restricted Subsidiaries, (ii) any Indebtedness that becomes due as a result of a default under any agreement with a Lender or an Affiliate of a Lender to the</w:t>
      </w:r>
    </w:p>
    <w:p>
      <w:pPr>
        <w:spacing w:after="0" w:line="200" w:lineRule="exact"/>
        <w:rPr>
          <w:rFonts w:ascii="Arial" w:cs="Arial" w:eastAsia="Arial" w:hAnsi="Arial"/>
          <w:sz w:val="19"/>
          <w:szCs w:val="19"/>
          <w:color w:val="auto"/>
        </w:rPr>
      </w:pPr>
    </w:p>
    <w:p>
      <w:pPr>
        <w:spacing w:after="0" w:line="387" w:lineRule="exact"/>
        <w:rPr>
          <w:rFonts w:ascii="Arial" w:cs="Arial" w:eastAsia="Arial" w:hAnsi="Arial"/>
          <w:sz w:val="19"/>
          <w:szCs w:val="19"/>
          <w:color w:val="auto"/>
        </w:rPr>
      </w:pPr>
    </w:p>
    <w:p>
      <w:pPr>
        <w:ind w:left="5560" w:hanging="110"/>
        <w:spacing w:after="0"/>
        <w:tabs>
          <w:tab w:leader="none" w:pos="5560" w:val="left"/>
        </w:tabs>
        <w:numPr>
          <w:ilvl w:val="1"/>
          <w:numId w:val="310"/>
        </w:numPr>
        <w:rPr>
          <w:rFonts w:ascii="Arial" w:cs="Arial" w:eastAsia="Arial" w:hAnsi="Arial"/>
          <w:sz w:val="20"/>
          <w:szCs w:val="20"/>
          <w:color w:val="auto"/>
        </w:rPr>
      </w:pPr>
      <w:r>
        <w:rPr>
          <w:rFonts w:ascii="Arial" w:cs="Arial" w:eastAsia="Arial" w:hAnsi="Arial"/>
          <w:sz w:val="20"/>
          <w:szCs w:val="20"/>
          <w:color w:val="auto"/>
        </w:rPr>
        <w:t>148 -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344" w:name="page345"/>
    <w:bookmarkEnd w:id="344"/>
    <w:p>
      <w:pPr>
        <w:ind w:right="80"/>
        <w:spacing w:after="0" w:line="244" w:lineRule="auto"/>
        <w:rPr>
          <w:sz w:val="20"/>
          <w:szCs w:val="20"/>
          <w:color w:val="auto"/>
        </w:rPr>
      </w:pPr>
      <w:r>
        <w:rPr>
          <w:rFonts w:ascii="Arial" w:cs="Arial" w:eastAsia="Arial" w:hAnsi="Arial"/>
          <w:sz w:val="20"/>
          <w:szCs w:val="20"/>
          <w:color w:val="auto"/>
        </w:rPr>
        <w:t>extent such default results from a sale, pledge or other disposition or encumbrance of Unrestricted Margin Stock or any other breach or contravention of any provision of any Indebtedness which provision prohibits or otherwise restricts the ability of Parent or any Restricted Subsidiary to sell, pledge or otherwise dispose of or encumber Unrestricted Margin Stock and (iii) any conversion or exchange of any convertible or exchangeable debt securities and any conversion or exchange trigger that results in such debt securities becoming convertible or exchangeable, as applicable;</w:t>
      </w:r>
    </w:p>
    <w:p>
      <w:pPr>
        <w:spacing w:after="0" w:line="168" w:lineRule="exact"/>
        <w:rPr>
          <w:sz w:val="20"/>
          <w:szCs w:val="20"/>
          <w:color w:val="auto"/>
        </w:rPr>
      </w:pPr>
    </w:p>
    <w:p>
      <w:pPr>
        <w:ind w:right="100" w:firstLine="645"/>
        <w:spacing w:after="0" w:line="287" w:lineRule="auto"/>
        <w:tabs>
          <w:tab w:leader="none" w:pos="1527" w:val="left"/>
        </w:tabs>
        <w:numPr>
          <w:ilvl w:val="0"/>
          <w:numId w:val="311"/>
        </w:numPr>
        <w:rPr>
          <w:rFonts w:ascii="Arial" w:cs="Arial" w:eastAsia="Arial" w:hAnsi="Arial"/>
          <w:sz w:val="19"/>
          <w:szCs w:val="19"/>
          <w:color w:val="auto"/>
        </w:rPr>
      </w:pPr>
      <w:r>
        <w:rPr>
          <w:rFonts w:ascii="Arial" w:cs="Arial" w:eastAsia="Arial" w:hAnsi="Arial"/>
          <w:sz w:val="19"/>
          <w:szCs w:val="19"/>
          <w:color w:val="auto"/>
        </w:rPr>
        <w:t>an involuntary proceeding shall be commenced or an involuntary petition shall be filed seeking (i) liquidation, examination, composition, assignment, arrangement, moratorium of any indebtedness, reorganization, winding up, dissolution or other relief in respect of Parent, any Borrower or any Material Restricted Subsidiary or its debts, or of a substantial part of its assets, under any Bankruptcy Law now or hereafter in effect or (ii) the appointment of a receiver, liquidator, examiner, trustee, custodian, sequestrator, conservator or similar official for Parent, any Borrower or any Material Restricted Subsidiary or for a substantial part of its assets, and, in any such case, such proceeding or petition shall continue undismissed for sixty (60) days or an order or decree approving or ordering any of the foregoing shall be entered;</w:t>
      </w:r>
    </w:p>
    <w:p>
      <w:pPr>
        <w:spacing w:after="0" w:line="142" w:lineRule="exact"/>
        <w:rPr>
          <w:rFonts w:ascii="Arial" w:cs="Arial" w:eastAsia="Arial" w:hAnsi="Arial"/>
          <w:sz w:val="19"/>
          <w:szCs w:val="19"/>
          <w:color w:val="auto"/>
        </w:rPr>
      </w:pPr>
    </w:p>
    <w:p>
      <w:pPr>
        <w:ind w:right="60" w:firstLine="645"/>
        <w:spacing w:after="0" w:line="286" w:lineRule="auto"/>
        <w:tabs>
          <w:tab w:leader="none" w:pos="1483" w:val="left"/>
        </w:tabs>
        <w:numPr>
          <w:ilvl w:val="0"/>
          <w:numId w:val="311"/>
        </w:numPr>
        <w:rPr>
          <w:rFonts w:ascii="Arial" w:cs="Arial" w:eastAsia="Arial" w:hAnsi="Arial"/>
          <w:sz w:val="19"/>
          <w:szCs w:val="19"/>
          <w:color w:val="auto"/>
        </w:rPr>
      </w:pPr>
      <w:r>
        <w:rPr>
          <w:rFonts w:ascii="Arial" w:cs="Arial" w:eastAsia="Arial" w:hAnsi="Arial"/>
          <w:sz w:val="19"/>
          <w:szCs w:val="19"/>
          <w:color w:val="auto"/>
        </w:rPr>
        <w:t xml:space="preserve">Parent, any Borrower or any Material Restricted Subsidiary shall (i) voluntarily commence any proceeding or file any petition seeking liquidation, examination, reorganization compromise, composition, assignment, arrangement with any creditor or other relief under any Bankruptcy Law now or hereafter in effect, (ii) consent to the institution of, or fail to contest in a timely and appropriate manner, any proceeding or petition described in clause (h) of this </w:t>
      </w:r>
      <w:r>
        <w:rPr>
          <w:rFonts w:ascii="Arial" w:cs="Arial" w:eastAsia="Arial" w:hAnsi="Arial"/>
          <w:sz w:val="19"/>
          <w:szCs w:val="19"/>
          <w:u w:val="single" w:color="auto"/>
          <w:color w:val="auto"/>
        </w:rPr>
        <w:t>Section 8.01</w:t>
      </w:r>
      <w:r>
        <w:rPr>
          <w:rFonts w:ascii="Arial" w:cs="Arial" w:eastAsia="Arial" w:hAnsi="Arial"/>
          <w:sz w:val="19"/>
          <w:szCs w:val="19"/>
          <w:color w:val="auto"/>
        </w:rPr>
        <w:t>, (iii) apply for or consent to the appointment of a receiver, examiner, liquidator, trustee, custodian, sequestrator, conservator or similar official for Parent, any Borrower or any Material Restricted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45" w:lineRule="exact"/>
        <w:rPr>
          <w:rFonts w:ascii="Arial" w:cs="Arial" w:eastAsia="Arial" w:hAnsi="Arial"/>
          <w:sz w:val="19"/>
          <w:szCs w:val="19"/>
          <w:color w:val="auto"/>
        </w:rPr>
      </w:pPr>
    </w:p>
    <w:p>
      <w:pPr>
        <w:ind w:right="300" w:firstLine="645"/>
        <w:spacing w:after="0" w:line="421" w:lineRule="auto"/>
        <w:tabs>
          <w:tab w:leader="none" w:pos="1483" w:val="left"/>
        </w:tabs>
        <w:numPr>
          <w:ilvl w:val="0"/>
          <w:numId w:val="311"/>
        </w:numPr>
        <w:rPr>
          <w:rFonts w:ascii="Arial" w:cs="Arial" w:eastAsia="Arial" w:hAnsi="Arial"/>
          <w:sz w:val="16"/>
          <w:szCs w:val="16"/>
          <w:color w:val="auto"/>
        </w:rPr>
      </w:pPr>
      <w:r>
        <w:rPr>
          <w:rFonts w:ascii="Arial" w:cs="Arial" w:eastAsia="Arial" w:hAnsi="Arial"/>
          <w:sz w:val="16"/>
          <w:szCs w:val="16"/>
          <w:color w:val="auto"/>
        </w:rPr>
        <w:t>Parent, any Borrower or any Material Restricted Subsidiary shall become unable, is deemed under any applicable law to be unable or is declared to be unable, admit in writing its inability or fail generally to pay its debts as they become due;</w:t>
      </w:r>
    </w:p>
    <w:p>
      <w:pPr>
        <w:spacing w:after="0" w:line="43" w:lineRule="exact"/>
        <w:rPr>
          <w:rFonts w:ascii="Arial" w:cs="Arial" w:eastAsia="Arial" w:hAnsi="Arial"/>
          <w:sz w:val="16"/>
          <w:szCs w:val="16"/>
          <w:color w:val="auto"/>
        </w:rPr>
      </w:pPr>
    </w:p>
    <w:p>
      <w:pPr>
        <w:ind w:firstLine="645"/>
        <w:spacing w:after="0" w:line="287" w:lineRule="auto"/>
        <w:tabs>
          <w:tab w:leader="none" w:pos="1527" w:val="left"/>
        </w:tabs>
        <w:numPr>
          <w:ilvl w:val="0"/>
          <w:numId w:val="311"/>
        </w:numPr>
        <w:rPr>
          <w:rFonts w:ascii="Arial" w:cs="Arial" w:eastAsia="Arial" w:hAnsi="Arial"/>
          <w:sz w:val="19"/>
          <w:szCs w:val="19"/>
          <w:color w:val="auto"/>
        </w:rPr>
      </w:pPr>
      <w:r>
        <w:rPr>
          <w:rFonts w:ascii="Arial" w:cs="Arial" w:eastAsia="Arial" w:hAnsi="Arial"/>
          <w:sz w:val="19"/>
          <w:szCs w:val="19"/>
          <w:color w:val="auto"/>
        </w:rPr>
        <w:t>one or more judgments for the payment of money in an aggregate amount in excess of $</w:t>
      </w:r>
      <w:r>
        <w:rPr>
          <w:rFonts w:ascii="Arial" w:cs="Arial" w:eastAsia="Arial" w:hAnsi="Arial"/>
          <w:sz w:val="19"/>
          <w:szCs w:val="19"/>
          <w:color w:val="FF0000"/>
          <w:strike w:val="1"/>
        </w:rPr>
        <w:t>20,000,000</w:t>
      </w:r>
      <w:r>
        <w:rPr>
          <w:rFonts w:ascii="Arial" w:cs="Arial" w:eastAsia="Arial" w:hAnsi="Arial"/>
          <w:sz w:val="19"/>
          <w:szCs w:val="19"/>
          <w:u w:val="single" w:color="auto"/>
          <w:color w:val="0000FF"/>
        </w:rPr>
        <w:t>50,000,000</w:t>
      </w:r>
      <w:r>
        <w:rPr>
          <w:rFonts w:ascii="Arial" w:cs="Arial" w:eastAsia="Arial" w:hAnsi="Arial"/>
          <w:sz w:val="19"/>
          <w:szCs w:val="19"/>
          <w:color w:val="auto"/>
        </w:rPr>
        <w:t xml:space="preserve"> shall be rendered against Parent, any Restricted Subsidiary or any combination thereof and the same shall remain undischarged for a period of sixty (60) consecutive days during which execution shall not be effectively stayed;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amount shall be calculated after deducting from the sum so payable any amount of such judgment or order that is covered by a valid and binding policy of insurance in favor of Parent or such Restricted Subsidiary (but only if the applicable insurer shall have been advised of such judgment and of the intent of Parent or such Restricted Subsidiary to make a claim in respect of any amount payable by it in connection therewith and such insurer shall not have disputed coverage);</w:t>
      </w:r>
    </w:p>
    <w:p>
      <w:pPr>
        <w:spacing w:after="0" w:line="142" w:lineRule="exact"/>
        <w:rPr>
          <w:rFonts w:ascii="Arial" w:cs="Arial" w:eastAsia="Arial" w:hAnsi="Arial"/>
          <w:sz w:val="19"/>
          <w:szCs w:val="19"/>
          <w:color w:val="auto"/>
        </w:rPr>
      </w:pPr>
    </w:p>
    <w:p>
      <w:pPr>
        <w:jc w:val="both"/>
        <w:ind w:right="200" w:firstLine="645"/>
        <w:spacing w:after="0" w:line="299" w:lineRule="auto"/>
        <w:tabs>
          <w:tab w:leader="none" w:pos="1483" w:val="left"/>
        </w:tabs>
        <w:numPr>
          <w:ilvl w:val="0"/>
          <w:numId w:val="311"/>
        </w:numPr>
        <w:rPr>
          <w:rFonts w:ascii="Arial" w:cs="Arial" w:eastAsia="Arial" w:hAnsi="Arial"/>
          <w:sz w:val="19"/>
          <w:szCs w:val="19"/>
          <w:color w:val="auto"/>
        </w:rPr>
      </w:pPr>
      <w:r>
        <w:rPr>
          <w:rFonts w:ascii="Arial" w:cs="Arial" w:eastAsia="Arial" w:hAnsi="Arial"/>
          <w:sz w:val="19"/>
          <w:szCs w:val="19"/>
          <w:color w:val="auto"/>
        </w:rPr>
        <w:t>an ERISA Event or similar event with respect to a Foreign Pension Plan shall have occurred that, in the reasonable opinion of the Required Lenders, when taken together with all other ERISA Events or similar events with respect to Foreign Pension Plans that have occurred, could reasonably be expected to result in a Material Adverse Effect;</w:t>
      </w:r>
    </w:p>
    <w:p>
      <w:pPr>
        <w:spacing w:after="0" w:line="128" w:lineRule="exact"/>
        <w:rPr>
          <w:rFonts w:ascii="Arial" w:cs="Arial" w:eastAsia="Arial" w:hAnsi="Arial"/>
          <w:sz w:val="19"/>
          <w:szCs w:val="19"/>
          <w:color w:val="auto"/>
        </w:rPr>
      </w:pPr>
    </w:p>
    <w:p>
      <w:pPr>
        <w:ind w:left="1580" w:hanging="935"/>
        <w:spacing w:after="0"/>
        <w:tabs>
          <w:tab w:leader="none" w:pos="1580" w:val="left"/>
        </w:tabs>
        <w:numPr>
          <w:ilvl w:val="0"/>
          <w:numId w:val="311"/>
        </w:numPr>
        <w:rPr>
          <w:rFonts w:ascii="Arial" w:cs="Arial" w:eastAsia="Arial" w:hAnsi="Arial"/>
          <w:sz w:val="20"/>
          <w:szCs w:val="20"/>
          <w:color w:val="auto"/>
        </w:rPr>
      </w:pPr>
      <w:r>
        <w:rPr>
          <w:rFonts w:ascii="Arial" w:cs="Arial" w:eastAsia="Arial" w:hAnsi="Arial"/>
          <w:sz w:val="20"/>
          <w:szCs w:val="20"/>
          <w:color w:val="auto"/>
        </w:rPr>
        <w:t>a Change of Control shall occur;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7" w:lineRule="exact"/>
        <w:rPr>
          <w:rFonts w:ascii="Arial" w:cs="Arial" w:eastAsia="Arial" w:hAnsi="Arial"/>
          <w:sz w:val="20"/>
          <w:szCs w:val="20"/>
          <w:color w:val="auto"/>
        </w:rPr>
      </w:pPr>
    </w:p>
    <w:p>
      <w:pPr>
        <w:ind w:left="4900" w:hanging="110"/>
        <w:spacing w:after="0"/>
        <w:tabs>
          <w:tab w:leader="none" w:pos="4900" w:val="left"/>
        </w:tabs>
        <w:numPr>
          <w:ilvl w:val="1"/>
          <w:numId w:val="311"/>
        </w:numPr>
        <w:rPr>
          <w:rFonts w:ascii="Arial" w:cs="Arial" w:eastAsia="Arial" w:hAnsi="Arial"/>
          <w:sz w:val="20"/>
          <w:szCs w:val="20"/>
          <w:color w:val="auto"/>
        </w:rPr>
      </w:pPr>
      <w:r>
        <w:rPr>
          <w:rFonts w:ascii="Arial" w:cs="Arial" w:eastAsia="Arial" w:hAnsi="Arial"/>
          <w:sz w:val="20"/>
          <w:szCs w:val="20"/>
          <w:color w:val="auto"/>
        </w:rPr>
        <w:t>149 -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48895</wp:posOffset>
            </wp:positionV>
            <wp:extent cx="72720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366" w:right="239" w:bottom="1440" w:gutter="0" w:footer="0" w:header="0"/>
        </w:sectPr>
      </w:pPr>
    </w:p>
    <w:bookmarkStart w:id="345" w:name="page346"/>
    <w:bookmarkEnd w:id="345"/>
    <w:p>
      <w:pPr>
        <w:ind w:left="660" w:right="40" w:firstLine="645"/>
        <w:spacing w:after="0" w:line="272" w:lineRule="auto"/>
        <w:tabs>
          <w:tab w:leader="none" w:pos="2187" w:val="left"/>
        </w:tabs>
        <w:numPr>
          <w:ilvl w:val="0"/>
          <w:numId w:val="312"/>
        </w:numPr>
        <w:rPr>
          <w:rFonts w:ascii="Arial" w:cs="Arial" w:eastAsia="Arial" w:hAnsi="Arial"/>
          <w:sz w:val="20"/>
          <w:szCs w:val="20"/>
          <w:color w:val="auto"/>
        </w:rPr>
      </w:pPr>
      <w:r>
        <w:rPr>
          <w:rFonts w:ascii="Arial" w:cs="Arial" w:eastAsia="Arial" w:hAnsi="Arial"/>
          <w:sz w:val="20"/>
          <w:szCs w:val="20"/>
          <w:color w:val="auto"/>
        </w:rPr>
        <w:t xml:space="preserve">any material provision of any Loan Document for any reason ceases to be valid, binding and enforceable in accordance with its terms (except pursuant to the terms hereof or thereof, including as a result of a transaction permitted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7.03</w:t>
      </w:r>
      <w:r>
        <w:rPr>
          <w:rFonts w:ascii="Arial" w:cs="Arial" w:eastAsia="Arial" w:hAnsi="Arial"/>
          <w:sz w:val="20"/>
          <w:szCs w:val="20"/>
          <w:color w:val="auto"/>
        </w:rPr>
        <w:t>) or Parent or any Restricted Subsidiary shall contest in writing the enforceability of any material provision of any Loan Document (except as result of the Discharge of Senior Credit Obligations and exclusive of questions of interpretation of any provision thereof) or shall deny in writing it has any or further liability or obligation under any Loan Document (except as a result of the Discharge of the Senior Credit Obligations); or</w:t>
      </w:r>
    </w:p>
    <w:p>
      <w:pPr>
        <w:spacing w:after="0" w:line="151" w:lineRule="exact"/>
        <w:rPr>
          <w:rFonts w:ascii="Arial" w:cs="Arial" w:eastAsia="Arial" w:hAnsi="Arial"/>
          <w:sz w:val="20"/>
          <w:szCs w:val="20"/>
          <w:color w:val="auto"/>
        </w:rPr>
      </w:pPr>
    </w:p>
    <w:p>
      <w:pPr>
        <w:ind w:left="660" w:firstLine="645"/>
        <w:spacing w:after="0" w:line="290" w:lineRule="auto"/>
        <w:tabs>
          <w:tab w:leader="none" w:pos="2187" w:val="left"/>
        </w:tabs>
        <w:numPr>
          <w:ilvl w:val="0"/>
          <w:numId w:val="312"/>
        </w:numPr>
        <w:rPr>
          <w:rFonts w:ascii="Arial" w:cs="Arial" w:eastAsia="Arial" w:hAnsi="Arial"/>
          <w:sz w:val="19"/>
          <w:szCs w:val="19"/>
          <w:color w:val="auto"/>
        </w:rPr>
      </w:pPr>
      <w:r>
        <w:rPr>
          <w:rFonts w:ascii="Arial" w:cs="Arial" w:eastAsia="Arial" w:hAnsi="Arial"/>
          <w:sz w:val="19"/>
          <w:szCs w:val="19"/>
          <w:color w:val="auto"/>
        </w:rPr>
        <w:t xml:space="preserve">any Collateral Document shall for any reason fail to create a valid and perfected first priority security interest in any material portion of the Collateral purported to be covered thereby (and to the extent required thereby), except (i) as permitted by the terms of any Loan Document, including as a result of a transaction permitted by </w:t>
      </w:r>
      <w:r>
        <w:rPr>
          <w:rFonts w:ascii="Arial" w:cs="Arial" w:eastAsia="Arial" w:hAnsi="Arial"/>
          <w:sz w:val="19"/>
          <w:szCs w:val="19"/>
          <w:u w:val="single" w:color="auto"/>
          <w:color w:val="auto"/>
        </w:rPr>
        <w:t>Section 7.03</w:t>
      </w:r>
      <w:r>
        <w:rPr>
          <w:rFonts w:ascii="Arial" w:cs="Arial" w:eastAsia="Arial" w:hAnsi="Arial"/>
          <w:sz w:val="19"/>
          <w:szCs w:val="19"/>
          <w:color w:val="auto"/>
        </w:rPr>
        <w:t>, (ii) and the extent that any such loss of perfection or priority results solely from the failure of the Administrative Agent to maintain possession of certificates actually delivered to it representing securities pledged under the Collateral Documents.</w:t>
      </w:r>
    </w:p>
    <w:p>
      <w:pPr>
        <w:spacing w:after="0" w:line="119" w:lineRule="exact"/>
        <w:rPr>
          <w:sz w:val="20"/>
          <w:szCs w:val="20"/>
          <w:color w:val="auto"/>
        </w:rPr>
      </w:pPr>
    </w:p>
    <w:p>
      <w:pPr>
        <w:ind w:right="260" w:firstLine="1297"/>
        <w:spacing w:after="0" w:line="253" w:lineRule="auto"/>
        <w:rPr>
          <w:sz w:val="20"/>
          <w:szCs w:val="20"/>
          <w:color w:val="auto"/>
        </w:rPr>
      </w:pPr>
      <w:r>
        <w:rPr>
          <w:rFonts w:ascii="Arial" w:cs="Arial" w:eastAsia="Arial" w:hAnsi="Arial"/>
          <w:sz w:val="20"/>
          <w:szCs w:val="20"/>
          <w:b w:val="1"/>
          <w:bCs w:val="1"/>
          <w:color w:val="auto"/>
        </w:rPr>
        <w:t xml:space="preserve">Section 8.02 </w:t>
      </w:r>
      <w:r>
        <w:rPr>
          <w:rFonts w:ascii="Arial" w:cs="Arial" w:eastAsia="Arial" w:hAnsi="Arial"/>
          <w:sz w:val="20"/>
          <w:szCs w:val="20"/>
          <w:u w:val="single" w:color="auto"/>
          <w:color w:val="auto"/>
        </w:rPr>
        <w:t>Acceleration; Remedies</w:t>
      </w:r>
      <w:r>
        <w:rPr>
          <w:rFonts w:ascii="Arial" w:cs="Arial" w:eastAsia="Arial" w:hAnsi="Arial"/>
          <w:sz w:val="20"/>
          <w:szCs w:val="20"/>
          <w:color w:val="auto"/>
        </w:rPr>
        <w:t>. Upon the occurrence of and during the continuation of an Event of Default, the</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Administrative Agent (or the Collateral Agent, as applicable) shall, at the request of, or may, with the consent of, the Required Lenders, take any or all of the following actions:</w:t>
      </w:r>
    </w:p>
    <w:p>
      <w:pPr>
        <w:spacing w:after="0" w:line="157" w:lineRule="exact"/>
        <w:rPr>
          <w:sz w:val="20"/>
          <w:szCs w:val="20"/>
          <w:color w:val="auto"/>
        </w:rPr>
      </w:pPr>
    </w:p>
    <w:p>
      <w:pPr>
        <w:ind w:left="660" w:right="800" w:firstLine="645"/>
        <w:spacing w:after="0" w:line="289" w:lineRule="auto"/>
        <w:tabs>
          <w:tab w:leader="none" w:pos="2176" w:val="left"/>
        </w:tabs>
        <w:numPr>
          <w:ilvl w:val="0"/>
          <w:numId w:val="313"/>
        </w:numPr>
        <w:rPr>
          <w:rFonts w:ascii="Arial" w:cs="Arial" w:eastAsia="Arial" w:hAnsi="Arial"/>
          <w:sz w:val="20"/>
          <w:szCs w:val="20"/>
          <w:color w:val="auto"/>
        </w:rPr>
      </w:pPr>
      <w:r>
        <w:rPr>
          <w:rFonts w:ascii="Arial" w:cs="Arial" w:eastAsia="Arial" w:hAnsi="Arial"/>
          <w:sz w:val="20"/>
          <w:szCs w:val="20"/>
          <w:i w:val="1"/>
          <w:iCs w:val="1"/>
          <w:u w:val="single" w:color="auto"/>
          <w:color w:val="auto"/>
        </w:rPr>
        <w:t>Termination of Commitments</w:t>
      </w:r>
      <w:r>
        <w:rPr>
          <w:rFonts w:ascii="Arial" w:cs="Arial" w:eastAsia="Arial" w:hAnsi="Arial"/>
          <w:sz w:val="20"/>
          <w:szCs w:val="20"/>
          <w:color w:val="auto"/>
        </w:rPr>
        <w:t>. Declare the Commitments terminated whereupon the Commitments shall be</w:t>
      </w:r>
      <w:r>
        <w:rPr>
          <w:rFonts w:ascii="Arial" w:cs="Arial" w:eastAsia="Arial" w:hAnsi="Arial"/>
          <w:sz w:val="20"/>
          <w:szCs w:val="20"/>
          <w:i w:val="1"/>
          <w:iCs w:val="1"/>
          <w:color w:val="auto"/>
        </w:rPr>
        <w:t xml:space="preserve"> </w:t>
      </w:r>
      <w:r>
        <w:rPr>
          <w:rFonts w:ascii="Arial" w:cs="Arial" w:eastAsia="Arial" w:hAnsi="Arial"/>
          <w:sz w:val="20"/>
          <w:szCs w:val="20"/>
          <w:color w:val="auto"/>
        </w:rPr>
        <w:t>immediately terminated.</w:t>
      </w:r>
    </w:p>
    <w:p>
      <w:pPr>
        <w:spacing w:after="0" w:line="134" w:lineRule="exact"/>
        <w:rPr>
          <w:rFonts w:ascii="Arial" w:cs="Arial" w:eastAsia="Arial" w:hAnsi="Arial"/>
          <w:sz w:val="20"/>
          <w:szCs w:val="20"/>
          <w:color w:val="auto"/>
        </w:rPr>
      </w:pPr>
    </w:p>
    <w:p>
      <w:pPr>
        <w:ind w:left="660" w:right="60" w:firstLine="645"/>
        <w:spacing w:after="0" w:line="273" w:lineRule="auto"/>
        <w:tabs>
          <w:tab w:leader="none" w:pos="2187" w:val="left"/>
        </w:tabs>
        <w:numPr>
          <w:ilvl w:val="0"/>
          <w:numId w:val="313"/>
        </w:numPr>
        <w:rPr>
          <w:rFonts w:ascii="Arial" w:cs="Arial" w:eastAsia="Arial" w:hAnsi="Arial"/>
          <w:sz w:val="20"/>
          <w:szCs w:val="20"/>
          <w:color w:val="auto"/>
        </w:rPr>
      </w:pPr>
      <w:r>
        <w:rPr>
          <w:rFonts w:ascii="Arial" w:cs="Arial" w:eastAsia="Arial" w:hAnsi="Arial"/>
          <w:sz w:val="20"/>
          <w:szCs w:val="20"/>
          <w:i w:val="1"/>
          <w:iCs w:val="1"/>
          <w:u w:val="single" w:color="auto"/>
          <w:color w:val="auto"/>
        </w:rPr>
        <w:t>Acceleration of Loans</w:t>
      </w:r>
      <w:r>
        <w:rPr>
          <w:rFonts w:ascii="Arial" w:cs="Arial" w:eastAsia="Arial" w:hAnsi="Arial"/>
          <w:sz w:val="20"/>
          <w:szCs w:val="20"/>
          <w:color w:val="auto"/>
        </w:rPr>
        <w:t>. Declare the unpaid principal of and any accrued interest in respect of all Loans, any</w:t>
      </w:r>
      <w:r>
        <w:rPr>
          <w:rFonts w:ascii="Arial" w:cs="Arial" w:eastAsia="Arial" w:hAnsi="Arial"/>
          <w:sz w:val="20"/>
          <w:szCs w:val="20"/>
          <w:i w:val="1"/>
          <w:iCs w:val="1"/>
          <w:color w:val="auto"/>
        </w:rPr>
        <w:t xml:space="preserve"> </w:t>
      </w:r>
      <w:r>
        <w:rPr>
          <w:rFonts w:ascii="Arial" w:cs="Arial" w:eastAsia="Arial" w:hAnsi="Arial"/>
          <w:sz w:val="20"/>
          <w:szCs w:val="20"/>
          <w:color w:val="auto"/>
        </w:rPr>
        <w:t>Reimbursement Obligations arising from drawings under Letters of Credit and any and all other indebtedness or obligations of any and every kind (other than contingent indemnification obligations) owing by a Loan Party to any of the Lenders hereunder to be due whereupon the same shall be immediately due and payable without presentment, demand, protest or other notice of any kind, all of which are hereby waived by the Loan Parties.</w:t>
      </w:r>
    </w:p>
    <w:p>
      <w:pPr>
        <w:spacing w:after="0" w:line="150" w:lineRule="exact"/>
        <w:rPr>
          <w:rFonts w:ascii="Arial" w:cs="Arial" w:eastAsia="Arial" w:hAnsi="Arial"/>
          <w:sz w:val="20"/>
          <w:szCs w:val="20"/>
          <w:color w:val="auto"/>
        </w:rPr>
      </w:pPr>
    </w:p>
    <w:p>
      <w:pPr>
        <w:ind w:left="660" w:right="60" w:firstLine="645"/>
        <w:spacing w:after="0" w:line="310" w:lineRule="auto"/>
        <w:tabs>
          <w:tab w:leader="none" w:pos="2176" w:val="left"/>
        </w:tabs>
        <w:numPr>
          <w:ilvl w:val="0"/>
          <w:numId w:val="313"/>
        </w:numPr>
        <w:rPr>
          <w:rFonts w:ascii="Arial" w:cs="Arial" w:eastAsia="Arial" w:hAnsi="Arial"/>
          <w:sz w:val="18"/>
          <w:szCs w:val="18"/>
          <w:color w:val="auto"/>
        </w:rPr>
      </w:pPr>
      <w:r>
        <w:rPr>
          <w:rFonts w:ascii="Arial" w:cs="Arial" w:eastAsia="Arial" w:hAnsi="Arial"/>
          <w:sz w:val="18"/>
          <w:szCs w:val="18"/>
          <w:i w:val="1"/>
          <w:iCs w:val="1"/>
          <w:u w:val="single" w:color="auto"/>
          <w:color w:val="auto"/>
        </w:rPr>
        <w:t>Cash Collateral</w:t>
      </w:r>
      <w:r>
        <w:rPr>
          <w:rFonts w:ascii="Arial" w:cs="Arial" w:eastAsia="Arial" w:hAnsi="Arial"/>
          <w:sz w:val="18"/>
          <w:szCs w:val="18"/>
          <w:color w:val="auto"/>
        </w:rPr>
        <w:t>. Direct the applicable Borrower to pay (and such Borrower agrees that upon receipt of such notice,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upon the occurrence of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it will immediately pay) to the Collateral Agent additional cash, to be held by the Collateral Agent, for the benefit of the Lenders, in a cash collateral account as additional security for the L/C Obligations in respect of subsequent drawings under all then outstanding Letters of Credit in an amount equal to the maximum aggregate amount which may be drawn under all Letters of Credit then outstanding plus all accrued interest and fees thereon.</w:t>
      </w:r>
    </w:p>
    <w:p>
      <w:pPr>
        <w:spacing w:after="0" w:line="121" w:lineRule="exact"/>
        <w:rPr>
          <w:rFonts w:ascii="Arial" w:cs="Arial" w:eastAsia="Arial" w:hAnsi="Arial"/>
          <w:sz w:val="18"/>
          <w:szCs w:val="18"/>
          <w:color w:val="auto"/>
        </w:rPr>
      </w:pPr>
    </w:p>
    <w:p>
      <w:pPr>
        <w:ind w:left="660" w:right="200" w:firstLine="645"/>
        <w:spacing w:after="0" w:line="278" w:lineRule="auto"/>
        <w:tabs>
          <w:tab w:leader="none" w:pos="2187" w:val="left"/>
        </w:tabs>
        <w:numPr>
          <w:ilvl w:val="0"/>
          <w:numId w:val="313"/>
        </w:numPr>
        <w:rPr>
          <w:rFonts w:ascii="Arial" w:cs="Arial" w:eastAsia="Arial" w:hAnsi="Arial"/>
          <w:sz w:val="20"/>
          <w:szCs w:val="20"/>
          <w:color w:val="auto"/>
        </w:rPr>
      </w:pPr>
      <w:r>
        <w:rPr>
          <w:rFonts w:ascii="Arial" w:cs="Arial" w:eastAsia="Arial" w:hAnsi="Arial"/>
          <w:sz w:val="20"/>
          <w:szCs w:val="20"/>
          <w:i w:val="1"/>
          <w:iCs w:val="1"/>
          <w:u w:val="single" w:color="auto"/>
          <w:color w:val="auto"/>
        </w:rPr>
        <w:t>Enforcement of Rights</w:t>
      </w:r>
      <w:r>
        <w:rPr>
          <w:rFonts w:ascii="Arial" w:cs="Arial" w:eastAsia="Arial" w:hAnsi="Arial"/>
          <w:sz w:val="20"/>
          <w:szCs w:val="20"/>
          <w:color w:val="auto"/>
        </w:rPr>
        <w:t>. Enforce any and all rights and interests created and existing under the Loan Documents,</w:t>
      </w:r>
      <w:r>
        <w:rPr>
          <w:rFonts w:ascii="Arial" w:cs="Arial" w:eastAsia="Arial" w:hAnsi="Arial"/>
          <w:sz w:val="20"/>
          <w:szCs w:val="20"/>
          <w:i w:val="1"/>
          <w:iCs w:val="1"/>
          <w:color w:val="auto"/>
        </w:rPr>
        <w:t xml:space="preserve"> </w:t>
      </w:r>
      <w:r>
        <w:rPr>
          <w:rFonts w:ascii="Arial" w:cs="Arial" w:eastAsia="Arial" w:hAnsi="Arial"/>
          <w:sz w:val="20"/>
          <w:szCs w:val="20"/>
          <w:color w:val="auto"/>
        </w:rPr>
        <w:t>including, without limitation, all rights and remedies existing under the Loan Documents, all rights and remedies against a Guarantor and all rights of setoff.</w:t>
      </w:r>
    </w:p>
    <w:p>
      <w:pPr>
        <w:spacing w:after="0" w:line="146" w:lineRule="exact"/>
        <w:rPr>
          <w:rFonts w:ascii="Arial" w:cs="Arial" w:eastAsia="Arial" w:hAnsi="Arial"/>
          <w:sz w:val="20"/>
          <w:szCs w:val="20"/>
          <w:color w:val="auto"/>
        </w:rPr>
      </w:pPr>
    </w:p>
    <w:p>
      <w:pPr>
        <w:ind w:left="660" w:right="60" w:firstLine="645"/>
        <w:spacing w:after="0" w:line="274" w:lineRule="auto"/>
        <w:tabs>
          <w:tab w:leader="none" w:pos="2176" w:val="left"/>
        </w:tabs>
        <w:numPr>
          <w:ilvl w:val="0"/>
          <w:numId w:val="313"/>
        </w:numPr>
        <w:rPr>
          <w:rFonts w:ascii="Arial" w:cs="Arial" w:eastAsia="Arial" w:hAnsi="Arial"/>
          <w:sz w:val="20"/>
          <w:szCs w:val="20"/>
          <w:color w:val="auto"/>
        </w:rPr>
      </w:pPr>
      <w:r>
        <w:rPr>
          <w:rFonts w:ascii="Arial" w:cs="Arial" w:eastAsia="Arial" w:hAnsi="Arial"/>
          <w:sz w:val="20"/>
          <w:szCs w:val="20"/>
          <w:i w:val="1"/>
          <w:iCs w:val="1"/>
          <w:u w:val="single" w:color="auto"/>
          <w:color w:val="auto"/>
        </w:rPr>
        <w:t>Enforcement Rights Vested Solely in Administrative Agent and Collateral Agent</w:t>
      </w:r>
      <w:r>
        <w:rPr>
          <w:rFonts w:ascii="Arial" w:cs="Arial" w:eastAsia="Arial" w:hAnsi="Arial"/>
          <w:sz w:val="20"/>
          <w:szCs w:val="20"/>
          <w:color w:val="auto"/>
        </w:rPr>
        <w:t>. The Lenders agree that this</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may be enforced only by the action of the Administrative Agent, acting upon the instructions of the Required Lenders, and, with respect to the Collateral, the Collateral Agent, and that no other Finance Party shall have any right individually to seek to enforce any Loan Document or to realize upon the security to be granted hereby.</w:t>
      </w:r>
    </w:p>
    <w:p>
      <w:pPr>
        <w:spacing w:after="0" w:line="200" w:lineRule="exact"/>
        <w:rPr>
          <w:rFonts w:ascii="Arial" w:cs="Arial" w:eastAsia="Arial" w:hAnsi="Arial"/>
          <w:sz w:val="20"/>
          <w:szCs w:val="20"/>
          <w:color w:val="auto"/>
        </w:rPr>
      </w:pPr>
    </w:p>
    <w:p>
      <w:pPr>
        <w:spacing w:after="0" w:line="397" w:lineRule="exact"/>
        <w:rPr>
          <w:rFonts w:ascii="Arial" w:cs="Arial" w:eastAsia="Arial" w:hAnsi="Arial"/>
          <w:sz w:val="20"/>
          <w:szCs w:val="20"/>
          <w:color w:val="auto"/>
        </w:rPr>
      </w:pPr>
    </w:p>
    <w:p>
      <w:pPr>
        <w:ind w:left="5560" w:hanging="110"/>
        <w:spacing w:after="0"/>
        <w:tabs>
          <w:tab w:leader="none" w:pos="5560" w:val="left"/>
        </w:tabs>
        <w:numPr>
          <w:ilvl w:val="1"/>
          <w:numId w:val="313"/>
        </w:numPr>
        <w:rPr>
          <w:rFonts w:ascii="Arial" w:cs="Arial" w:eastAsia="Arial" w:hAnsi="Arial"/>
          <w:sz w:val="20"/>
          <w:szCs w:val="20"/>
          <w:color w:val="auto"/>
        </w:rPr>
      </w:pPr>
      <w:r>
        <w:rPr>
          <w:rFonts w:ascii="Arial" w:cs="Arial" w:eastAsia="Arial" w:hAnsi="Arial"/>
          <w:sz w:val="20"/>
          <w:szCs w:val="20"/>
          <w:color w:val="auto"/>
        </w:rPr>
        <w:t>150 -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79" w:right="259" w:bottom="1440" w:gutter="0" w:footer="0" w:header="0"/>
        </w:sectPr>
      </w:pPr>
    </w:p>
    <w:bookmarkStart w:id="346" w:name="page347"/>
    <w:bookmarkEnd w:id="346"/>
    <w:p>
      <w:pPr>
        <w:ind w:firstLine="1297"/>
        <w:spacing w:after="0" w:line="243" w:lineRule="auto"/>
        <w:rPr>
          <w:sz w:val="20"/>
          <w:szCs w:val="20"/>
          <w:color w:val="auto"/>
        </w:rPr>
      </w:pPr>
      <w:r>
        <w:rPr>
          <w:rFonts w:ascii="Arial" w:cs="Arial" w:eastAsia="Arial" w:hAnsi="Arial"/>
          <w:sz w:val="20"/>
          <w:szCs w:val="20"/>
          <w:color w:val="auto"/>
        </w:rPr>
        <w:t xml:space="preserve">Notwithstanding the foregoing, if an Event of Default specified in </w:t>
      </w:r>
      <w:r>
        <w:rPr>
          <w:rFonts w:ascii="Arial" w:cs="Arial" w:eastAsia="Arial" w:hAnsi="Arial"/>
          <w:sz w:val="20"/>
          <w:szCs w:val="20"/>
          <w:u w:val="single" w:color="auto"/>
          <w:color w:val="auto"/>
        </w:rPr>
        <w:t>Section 8.01(h)</w:t>
      </w:r>
      <w:r>
        <w:rPr>
          <w:rFonts w:ascii="Arial" w:cs="Arial" w:eastAsia="Arial" w:hAnsi="Arial"/>
          <w:sz w:val="20"/>
          <w:szCs w:val="20"/>
          <w:color w:val="auto"/>
        </w:rPr>
        <w:t xml:space="preserve">, </w:t>
      </w:r>
      <w:r>
        <w:rPr>
          <w:rFonts w:ascii="Arial" w:cs="Arial" w:eastAsia="Arial" w:hAnsi="Arial"/>
          <w:sz w:val="20"/>
          <w:szCs w:val="20"/>
          <w:u w:val="single" w:color="auto"/>
          <w:color w:val="auto"/>
        </w:rPr>
        <w:t>(i)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(j)</w:t>
      </w:r>
      <w:r>
        <w:rPr>
          <w:rFonts w:ascii="Arial" w:cs="Arial" w:eastAsia="Arial" w:hAnsi="Arial"/>
          <w:sz w:val="20"/>
          <w:szCs w:val="20"/>
          <w:color w:val="auto"/>
        </w:rPr>
        <w:t xml:space="preserve"> shall occur, then the Commitments shall automatically terminate, all Loans, all Reimbursement Obligations under Letters of Credit, all accrued interest in respect thereof and all accrued and unpaid fees and other indebtedness or obligations owing to the Lenders hereunder and under the other Loan Documents shall immediately become due and payable and the obligation of any Borrower to Cash Collateralize the L/C Obligations, as aforesaid shall automatically become effective, in each case without the giving of any notice or other action by the Administrative Agent or the Lenders, which notice or other action is expressly waived by the Loan Parties.</w:t>
      </w:r>
    </w:p>
    <w:p>
      <w:pPr>
        <w:spacing w:after="0" w:line="191"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8.03</w:t>
      </w:r>
      <w:r>
        <w:rPr>
          <w:sz w:val="20"/>
          <w:szCs w:val="20"/>
          <w:color w:val="auto"/>
        </w:rPr>
        <w:tab/>
      </w:r>
      <w:r>
        <w:rPr>
          <w:rFonts w:ascii="Arial" w:cs="Arial" w:eastAsia="Arial" w:hAnsi="Arial"/>
          <w:sz w:val="18"/>
          <w:szCs w:val="18"/>
          <w:u w:val="single" w:color="auto"/>
          <w:color w:val="auto"/>
        </w:rPr>
        <w:t>Allocation of Payments After Event of Default</w:t>
      </w:r>
      <w:r>
        <w:rPr>
          <w:rFonts w:ascii="Arial" w:cs="Arial" w:eastAsia="Arial" w:hAnsi="Arial"/>
          <w:sz w:val="18"/>
          <w:szCs w:val="18"/>
          <w:color w:val="auto"/>
        </w:rPr>
        <w:t>.</w:t>
      </w:r>
    </w:p>
    <w:p>
      <w:pPr>
        <w:spacing w:after="0" w:line="195" w:lineRule="exact"/>
        <w:rPr>
          <w:sz w:val="20"/>
          <w:szCs w:val="20"/>
          <w:color w:val="auto"/>
        </w:rPr>
      </w:pPr>
    </w:p>
    <w:p>
      <w:pPr>
        <w:ind w:firstLine="1305"/>
        <w:spacing w:after="0" w:line="288" w:lineRule="auto"/>
        <w:tabs>
          <w:tab w:leader="none" w:pos="2164" w:val="left"/>
        </w:tabs>
        <w:numPr>
          <w:ilvl w:val="0"/>
          <w:numId w:val="314"/>
        </w:numPr>
        <w:rPr>
          <w:rFonts w:ascii="Arial" w:cs="Arial" w:eastAsia="Arial" w:hAnsi="Arial"/>
          <w:sz w:val="19"/>
          <w:szCs w:val="19"/>
          <w:color w:val="auto"/>
        </w:rPr>
      </w:pPr>
      <w:r>
        <w:rPr>
          <w:rFonts w:ascii="Arial" w:cs="Arial" w:eastAsia="Arial" w:hAnsi="Arial"/>
          <w:sz w:val="19"/>
          <w:szCs w:val="19"/>
          <w:i w:val="1"/>
          <w:iCs w:val="1"/>
          <w:u w:val="single" w:color="auto"/>
          <w:color w:val="auto"/>
        </w:rPr>
        <w:t>Priority of Distributions</w:t>
      </w:r>
      <w:r>
        <w:rPr>
          <w:rFonts w:ascii="Arial" w:cs="Arial" w:eastAsia="Arial" w:hAnsi="Arial"/>
          <w:sz w:val="19"/>
          <w:szCs w:val="19"/>
          <w:color w:val="auto"/>
        </w:rPr>
        <w:t>. Parent and each Borrower hereby irrevocably waive the right to direct the application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any and all payments in respect of their Finance Obligations and any proceeds of Collateral after the occurrence and during the continuance of an Event of Default and agree that, notwithstanding the provisions of </w:t>
      </w:r>
      <w:r>
        <w:rPr>
          <w:rFonts w:ascii="Arial" w:cs="Arial" w:eastAsia="Arial" w:hAnsi="Arial"/>
          <w:sz w:val="19"/>
          <w:szCs w:val="19"/>
          <w:u w:val="single" w:color="auto"/>
          <w:color w:val="auto"/>
        </w:rPr>
        <w:t>Sections 2.09(c)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after the exercise of remedies provided for in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after the Loans have automatically become immediately due and payable and the L/C Obligations have been required to be Cash Collateralized), all amounts collected or received on account of any Finance Obligation shall, subject to the provisions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2.17</w:t>
      </w:r>
      <w:r>
        <w:rPr>
          <w:rFonts w:ascii="Arial" w:cs="Arial" w:eastAsia="Arial" w:hAnsi="Arial"/>
          <w:sz w:val="19"/>
          <w:szCs w:val="19"/>
          <w:color w:val="auto"/>
        </w:rPr>
        <w:t>, be applied by the Administrative Agent in the following order:</w:t>
      </w:r>
    </w:p>
    <w:p>
      <w:pPr>
        <w:spacing w:after="0" w:line="129" w:lineRule="exact"/>
        <w:rPr>
          <w:sz w:val="20"/>
          <w:szCs w:val="20"/>
          <w:color w:val="auto"/>
        </w:rPr>
      </w:pPr>
    </w:p>
    <w:p>
      <w:pPr>
        <w:ind w:left="660" w:right="160" w:firstLine="648"/>
        <w:spacing w:after="0" w:line="316" w:lineRule="auto"/>
        <w:rPr>
          <w:sz w:val="20"/>
          <w:szCs w:val="20"/>
          <w:color w:val="auto"/>
        </w:rPr>
      </w:pPr>
      <w:r>
        <w:rPr>
          <w:rFonts w:ascii="Arial" w:cs="Arial" w:eastAsia="Arial" w:hAnsi="Arial"/>
          <w:sz w:val="18"/>
          <w:szCs w:val="18"/>
          <w:color w:val="auto"/>
        </w:rPr>
        <w:t>FIRST, to pay interest on and then principal of any portion of the Loans that the Administrative Agent may have advanced on behalf of any Lender for which the Administrative Agent has not then been reimbursed by such Lender or a Borrower;</w:t>
      </w:r>
    </w:p>
    <w:p>
      <w:pPr>
        <w:spacing w:after="0" w:line="90" w:lineRule="exact"/>
        <w:rPr>
          <w:sz w:val="20"/>
          <w:szCs w:val="20"/>
          <w:color w:val="auto"/>
        </w:rPr>
      </w:pPr>
    </w:p>
    <w:p>
      <w:pPr>
        <w:ind w:left="660" w:right="200" w:firstLine="648"/>
        <w:spacing w:after="0" w:line="259" w:lineRule="auto"/>
        <w:rPr>
          <w:sz w:val="20"/>
          <w:szCs w:val="20"/>
          <w:color w:val="auto"/>
        </w:rPr>
      </w:pPr>
      <w:r>
        <w:rPr>
          <w:rFonts w:ascii="Arial" w:cs="Arial" w:eastAsia="Arial" w:hAnsi="Arial"/>
          <w:sz w:val="19"/>
          <w:szCs w:val="19"/>
          <w:color w:val="auto"/>
        </w:rPr>
        <w:t>SECOND, to the payment of all reasonable out-of-pocket costs and expenses (including reasonable attorneys’ fees) of the Administrative Agent or the Collateral Agent in connection with enforcing the rights of the Finance Parties under the Finance Documents, including all expenses of sale or other realization of or in respect of the Collateral, including reasonable compensation to the agents and counsel for the Collateral Agent, and all expenses, liabilities and advances incurred or made by the Collateral Agent in connection therewith, and any other obligations owing to the Collateral Agent in respect of sums advanced by the Collateral Agent to preserve the Collateral or to preserve its security interest in the Collateral;</w:t>
      </w:r>
    </w:p>
    <w:p>
      <w:pPr>
        <w:spacing w:after="0" w:line="138" w:lineRule="exact"/>
        <w:rPr>
          <w:sz w:val="20"/>
          <w:szCs w:val="20"/>
          <w:color w:val="auto"/>
        </w:rPr>
      </w:pPr>
    </w:p>
    <w:p>
      <w:pPr>
        <w:ind w:left="660" w:right="20" w:firstLine="648"/>
        <w:spacing w:after="0" w:line="278" w:lineRule="auto"/>
        <w:rPr>
          <w:sz w:val="20"/>
          <w:szCs w:val="20"/>
          <w:color w:val="auto"/>
        </w:rPr>
      </w:pPr>
      <w:r>
        <w:rPr>
          <w:rFonts w:ascii="Arial" w:cs="Arial" w:eastAsia="Arial" w:hAnsi="Arial"/>
          <w:sz w:val="18"/>
          <w:szCs w:val="18"/>
          <w:color w:val="auto"/>
        </w:rPr>
        <w:t>THIRD, to the payment of all reasonable out-of-pocket costs and expenses (including reasonable attorneys’ fees) of (i) each of the Lenders (including any L/C Issuer in their capacities as such) in connection with enforcing its rights under the Loan Documents or otherwise with respect to the Senior Credit Obligations owing to such Lender, (ii) each Swap Creditor in connection with enforcing any of its rights under the Swap Agreements or otherwise with respect to the Swap Obligations owing to such Swap Creditor and (iii) each Cash Management Bank in connection with enforcing any of its rights under any Secured Cash Management Agreement;</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FOURTH, to the payment of all of the Senior Credit Obligations consisting of accrued fees and interest;</w:t>
      </w:r>
    </w:p>
    <w:p>
      <w:pPr>
        <w:spacing w:after="0" w:line="175" w:lineRule="exact"/>
        <w:rPr>
          <w:sz w:val="20"/>
          <w:szCs w:val="20"/>
          <w:color w:val="auto"/>
        </w:rPr>
      </w:pPr>
    </w:p>
    <w:p>
      <w:pPr>
        <w:ind w:left="660" w:right="40" w:firstLine="648"/>
        <w:spacing w:after="0" w:line="244" w:lineRule="auto"/>
        <w:rPr>
          <w:sz w:val="20"/>
          <w:szCs w:val="20"/>
          <w:color w:val="auto"/>
        </w:rPr>
      </w:pPr>
      <w:r>
        <w:rPr>
          <w:rFonts w:ascii="Arial" w:cs="Arial" w:eastAsia="Arial" w:hAnsi="Arial"/>
          <w:sz w:val="20"/>
          <w:szCs w:val="20"/>
          <w:color w:val="auto"/>
        </w:rPr>
        <w:t>FIFTH, except as set forth in clauses FIRST through FOURTH above, to the payment of the outstanding Finance Obligations owing to any Finance Party, pro rata, as set forth below, with (i) an amount equal to the Senior Credit Obligations being paid to the Collateral Agent (in the case of Senior Credit Obligations owing to the Collateral Agent) or to the Administrative Agent (in the case of all other Senior Credit Obligations) for the account of the Lenders or any Agent, with the Collateral Agent, each Lender and the Agents receiving an amount equal to its outstanding Senior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color w:val="auto"/>
        </w:rPr>
        <w:t>Credit Obligations, or, if the proceeds are insufficient to pay in full all Senior Credit Obligations, its Pro rata Share of the amount remaining to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be distributed, (ii) an amount equal to the Swap Obligations being paid to the trustee, paying agent or other similar representative (each,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for the Swap Creditors, with each Swap Creditor receiving an amount equal to the outstanding Swap Obligations owed to 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the Loan Parties or, if the proceeds are insufficient to pay in full all such Swap Obligations, its Pro rata Share of the amount remaining to 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distributed (iii) an amount equal to the Cash Management Obligations being paid to Cash Management Banks, with each Cash Management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receiving an amount equal to the outstanding Cash Management Obligations it entered into with a Loan Party or, if the proceeds are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insufficient to pay in full all such obligations, its Pro rata Share of the amount remaining to be distributed; and</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SIXTH, to the payment of the surplus, if any, to whoever may be lawfully entitled to receive such surplus.</w:t>
      </w:r>
    </w:p>
    <w:p>
      <w:pPr>
        <w:spacing w:after="0" w:line="175" w:lineRule="exact"/>
        <w:rPr>
          <w:sz w:val="20"/>
          <w:szCs w:val="20"/>
          <w:color w:val="auto"/>
        </w:rPr>
      </w:pPr>
    </w:p>
    <w:p>
      <w:pPr>
        <w:ind w:right="40" w:firstLine="1297"/>
        <w:spacing w:after="0" w:line="271" w:lineRule="auto"/>
        <w:rPr>
          <w:sz w:val="20"/>
          <w:szCs w:val="20"/>
          <w:color w:val="auto"/>
        </w:rPr>
      </w:pPr>
      <w:r>
        <w:rPr>
          <w:rFonts w:ascii="Arial" w:cs="Arial" w:eastAsia="Arial" w:hAnsi="Arial"/>
          <w:sz w:val="18"/>
          <w:szCs w:val="18"/>
          <w:color w:val="auto"/>
        </w:rPr>
        <w:t xml:space="preserve">In carrying out the foregoing, (i) amounts received shall be applied in the numerical order provided until exhausted prior to application to the next succeeding category; (ii) each of the Finance Parties shall receive an amount equal to its Pro rata Share of amounts available to be applied pursuant to clauses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above; and (iii) to the extent that any amounts available for distribution pursuant to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above are attributable to the issued but undrawn amount of outstanding Letters of Credit to the extent not otherwise Cash Collateralized by a Borrower pursuant to </w:t>
      </w:r>
      <w:r>
        <w:rPr>
          <w:rFonts w:ascii="Arial" w:cs="Arial" w:eastAsia="Arial" w:hAnsi="Arial"/>
          <w:sz w:val="18"/>
          <w:szCs w:val="18"/>
          <w:u w:val="single" w:color="auto"/>
          <w:color w:val="auto"/>
        </w:rPr>
        <w:t>Sections 2.05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such amounts shall be held by the Collateral Agent in a cash collateral account and applied (x) first, to reimburse the L/C Issuer from time to time for any drawings under such Letters of Credit and (y) then, following the expiration of all Letters of Credit, to all other obligations of the types described in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above in the manner provided in this </w:t>
      </w:r>
      <w:r>
        <w:rPr>
          <w:rFonts w:ascii="Arial" w:cs="Arial" w:eastAsia="Arial" w:hAnsi="Arial"/>
          <w:sz w:val="18"/>
          <w:szCs w:val="18"/>
          <w:u w:val="single" w:color="auto"/>
          <w:color w:val="auto"/>
        </w:rPr>
        <w:t>Section 8.03</w:t>
      </w:r>
      <w:r>
        <w:rPr>
          <w:rFonts w:ascii="Arial" w:cs="Arial" w:eastAsia="Arial" w:hAnsi="Arial"/>
          <w:sz w:val="18"/>
          <w:szCs w:val="18"/>
          <w:color w:val="auto"/>
        </w:rPr>
        <w:t>. Notwithstanding the foregoing, Swap Creditors shall not be entitled to receive any such payments from, or any proceeds of Collateral of, a Guarantor that is not an “eligible contract participant” (as defined in the definition of “Excluded Swap Obligation”) to the extent it would be considered a payment on account of Excluded Swap Obligations.</w:t>
      </w:r>
    </w:p>
    <w:p>
      <w:pPr>
        <w:spacing w:after="0" w:line="188" w:lineRule="exact"/>
        <w:rPr>
          <w:sz w:val="20"/>
          <w:szCs w:val="20"/>
          <w:color w:val="auto"/>
        </w:rPr>
      </w:pPr>
    </w:p>
    <w:p>
      <w:pPr>
        <w:ind w:firstLine="1305"/>
        <w:spacing w:after="0" w:line="302" w:lineRule="auto"/>
        <w:tabs>
          <w:tab w:leader="none" w:pos="2175" w:val="left"/>
        </w:tabs>
        <w:numPr>
          <w:ilvl w:val="0"/>
          <w:numId w:val="315"/>
        </w:numPr>
        <w:rPr>
          <w:rFonts w:ascii="Arial" w:cs="Arial" w:eastAsia="Arial" w:hAnsi="Arial"/>
          <w:sz w:val="18"/>
          <w:szCs w:val="18"/>
          <w:color w:val="auto"/>
        </w:rPr>
      </w:pPr>
      <w:r>
        <w:rPr>
          <w:rFonts w:ascii="Arial" w:cs="Arial" w:eastAsia="Arial" w:hAnsi="Arial"/>
          <w:sz w:val="18"/>
          <w:szCs w:val="18"/>
          <w:i w:val="1"/>
          <w:iCs w:val="1"/>
          <w:u w:val="single" w:color="auto"/>
          <w:color w:val="auto"/>
        </w:rPr>
        <w:t>Pro rata Treatment</w:t>
      </w:r>
      <w:r>
        <w:rPr>
          <w:rFonts w:ascii="Arial" w:cs="Arial" w:eastAsia="Arial" w:hAnsi="Arial"/>
          <w:sz w:val="18"/>
          <w:szCs w:val="18"/>
          <w:color w:val="auto"/>
        </w:rPr>
        <w:t>. For purposes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8.03</w:t>
      </w:r>
      <w:r>
        <w:rPr>
          <w:rFonts w:ascii="Arial" w:cs="Arial" w:eastAsia="Arial" w:hAnsi="Arial"/>
          <w:sz w:val="18"/>
          <w:szCs w:val="18"/>
          <w:color w:val="auto"/>
        </w:rPr>
        <w:t>, “</w:t>
      </w:r>
      <w:r>
        <w:rPr>
          <w:rFonts w:ascii="Arial" w:cs="Arial" w:eastAsia="Arial" w:hAnsi="Arial"/>
          <w:sz w:val="18"/>
          <w:szCs w:val="18"/>
          <w:u w:val="single" w:color="auto"/>
          <w:color w:val="auto"/>
        </w:rPr>
        <w:t>Pro rata Share</w:t>
      </w:r>
      <w:r>
        <w:rPr>
          <w:rFonts w:ascii="Arial" w:cs="Arial" w:eastAsia="Arial" w:hAnsi="Arial"/>
          <w:sz w:val="18"/>
          <w:szCs w:val="18"/>
          <w:color w:val="auto"/>
        </w:rPr>
        <w:t>” means, when calculating a Finance Party’s</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any distribution or amount, that amount (expressed as a percentage) equal to a fraction the numerator of which is the then unpaid amount of such Finance Party’s Senior Credit Obligations, Swap Obligations or Cash Management Obligations, as the case may be, and the denominator of which is the then outstanding amount of all Senior Credit Obligations, Swap Obligations or Cash Management Obligations, as the case may be. If any payment to any Finance Party of its Pro rata Share of any distribution would result in overpayment to such Finance Party, such excess amount shall instead be distributed in respect of the unpaid Senior Credit Obligations, Swap Obligations or Cash Management Obligations, as the case may be, of the other Finance Parties, with each Finance Party whose Senior Credit Obligations, Swap Obligations or Cash Management Obligations, as the case may be, have not been paid in full to receive an amount equal to such excess amount multiplied by a fraction the numerator of which is the unpaid Senior Credit Obligations, Swap Obligations or Cash Management Obligations, as the case may be, of such Finance Party and the denominator of which is the unpaid Senior Credit Obligations, Swap Obligations or Cash Management Obligations, as the case may be, of all Finance Parties entitled to such distribution.</w:t>
      </w:r>
    </w:p>
    <w:p>
      <w:pPr>
        <w:spacing w:after="0" w:line="173" w:lineRule="exact"/>
        <w:rPr>
          <w:rFonts w:ascii="Arial" w:cs="Arial" w:eastAsia="Arial" w:hAnsi="Arial"/>
          <w:sz w:val="18"/>
          <w:szCs w:val="18"/>
          <w:color w:val="auto"/>
        </w:rPr>
      </w:pPr>
    </w:p>
    <w:p>
      <w:pPr>
        <w:ind w:firstLine="1305"/>
        <w:spacing w:after="0" w:line="273" w:lineRule="auto"/>
        <w:tabs>
          <w:tab w:leader="none" w:pos="2164" w:val="left"/>
        </w:tabs>
        <w:numPr>
          <w:ilvl w:val="0"/>
          <w:numId w:val="315"/>
        </w:numPr>
        <w:rPr>
          <w:rFonts w:ascii="Arial" w:cs="Arial" w:eastAsia="Arial" w:hAnsi="Arial"/>
          <w:sz w:val="20"/>
          <w:szCs w:val="20"/>
          <w:color w:val="auto"/>
        </w:rPr>
      </w:pPr>
      <w:r>
        <w:rPr>
          <w:rFonts w:ascii="Arial" w:cs="Arial" w:eastAsia="Arial" w:hAnsi="Arial"/>
          <w:sz w:val="20"/>
          <w:szCs w:val="20"/>
          <w:i w:val="1"/>
          <w:iCs w:val="1"/>
          <w:u w:val="single" w:color="auto"/>
          <w:color w:val="auto"/>
        </w:rPr>
        <w:t>Distributions with Respect to Letters of Credit</w:t>
      </w:r>
      <w:r>
        <w:rPr>
          <w:rFonts w:ascii="Arial" w:cs="Arial" w:eastAsia="Arial" w:hAnsi="Arial"/>
          <w:sz w:val="20"/>
          <w:szCs w:val="20"/>
          <w:color w:val="auto"/>
        </w:rPr>
        <w:t>. Each of the Finance Parties agrees and acknowledges that if (after all</w:t>
      </w:r>
      <w:r>
        <w:rPr>
          <w:rFonts w:ascii="Arial" w:cs="Arial" w:eastAsia="Arial" w:hAnsi="Arial"/>
          <w:sz w:val="20"/>
          <w:szCs w:val="20"/>
          <w:i w:val="1"/>
          <w:iCs w:val="1"/>
          <w:color w:val="auto"/>
        </w:rPr>
        <w:t xml:space="preserve"> </w:t>
      </w:r>
      <w:r>
        <w:rPr>
          <w:rFonts w:ascii="Arial" w:cs="Arial" w:eastAsia="Arial" w:hAnsi="Arial"/>
          <w:sz w:val="20"/>
          <w:szCs w:val="20"/>
          <w:color w:val="auto"/>
        </w:rPr>
        <w:t>outstanding Loans and Reimbursement Obligations with respect to Letters of Credit have been paid in full) the Lenders are to receive a distribution on account of undrawn amounts with respect to Letters of Credit issued (or deemed issued) under this Agreement, such amounts shall be deposited in a cash collateral account to be controlled by the Collateral Agent as cash security for the repayment of Finance Obligations owing to the Lenders as such. Upon termination of all</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6" w:lineRule="exact"/>
        <w:rPr>
          <w:rFonts w:ascii="Arial" w:cs="Arial" w:eastAsia="Arial" w:hAnsi="Arial"/>
          <w:sz w:val="20"/>
          <w:szCs w:val="20"/>
          <w:color w:val="auto"/>
        </w:rPr>
      </w:pPr>
    </w:p>
    <w:p>
      <w:pPr>
        <w:ind w:left="5560" w:hanging="110"/>
        <w:spacing w:after="0"/>
        <w:tabs>
          <w:tab w:leader="none" w:pos="5560" w:val="left"/>
        </w:tabs>
        <w:numPr>
          <w:ilvl w:val="1"/>
          <w:numId w:val="315"/>
        </w:numPr>
        <w:rPr>
          <w:rFonts w:ascii="Arial" w:cs="Arial" w:eastAsia="Arial" w:hAnsi="Arial"/>
          <w:sz w:val="20"/>
          <w:szCs w:val="20"/>
          <w:color w:val="auto"/>
        </w:rPr>
      </w:pPr>
      <w:r>
        <w:rPr>
          <w:rFonts w:ascii="Arial" w:cs="Arial" w:eastAsia="Arial" w:hAnsi="Arial"/>
          <w:sz w:val="20"/>
          <w:szCs w:val="20"/>
          <w:color w:val="auto"/>
        </w:rPr>
        <w:t>152 -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348" w:name="page349"/>
    <w:bookmarkEnd w:id="348"/>
    <w:p>
      <w:pPr>
        <w:ind w:right="280"/>
        <w:spacing w:after="0" w:line="250" w:lineRule="auto"/>
        <w:rPr>
          <w:sz w:val="20"/>
          <w:szCs w:val="20"/>
          <w:color w:val="auto"/>
        </w:rPr>
      </w:pPr>
      <w:r>
        <w:rPr>
          <w:rFonts w:ascii="Arial" w:cs="Arial" w:eastAsia="Arial" w:hAnsi="Arial"/>
          <w:sz w:val="20"/>
          <w:szCs w:val="20"/>
          <w:color w:val="auto"/>
        </w:rPr>
        <w:t xml:space="preserve">outstanding Letters of Credit, all of such cash security shall be applied to the remaining Finance Obligations of the Lenders. If there remains any excess cash security, such excess cash shall be withdrawn by the Collateral Agent from such cash collateral account and distributed in accordance with </w:t>
      </w:r>
      <w:r>
        <w:rPr>
          <w:rFonts w:ascii="Arial" w:cs="Arial" w:eastAsia="Arial" w:hAnsi="Arial"/>
          <w:sz w:val="20"/>
          <w:szCs w:val="20"/>
          <w:u w:val="single" w:color="auto"/>
          <w:color w:val="auto"/>
        </w:rPr>
        <w:t>Section 8.03(a)</w:t>
      </w:r>
      <w:r>
        <w:rPr>
          <w:rFonts w:ascii="Arial" w:cs="Arial" w:eastAsia="Arial" w:hAnsi="Arial"/>
          <w:sz w:val="20"/>
          <w:szCs w:val="20"/>
          <w:color w:val="auto"/>
        </w:rPr>
        <w:t xml:space="preserve"> hereof.</w:t>
      </w:r>
    </w:p>
    <w:p>
      <w:pPr>
        <w:spacing w:after="0" w:line="92" w:lineRule="exact"/>
        <w:rPr>
          <w:sz w:val="20"/>
          <w:szCs w:val="20"/>
          <w:color w:val="auto"/>
        </w:rPr>
      </w:pPr>
    </w:p>
    <w:p>
      <w:pPr>
        <w:ind w:firstLine="1305"/>
        <w:spacing w:after="0" w:line="271" w:lineRule="auto"/>
        <w:tabs>
          <w:tab w:leader="none" w:pos="2175" w:val="left"/>
        </w:tabs>
        <w:numPr>
          <w:ilvl w:val="0"/>
          <w:numId w:val="316"/>
        </w:numPr>
        <w:rPr>
          <w:rFonts w:ascii="Arial" w:cs="Arial" w:eastAsia="Arial" w:hAnsi="Arial"/>
          <w:sz w:val="20"/>
          <w:szCs w:val="20"/>
          <w:color w:val="auto"/>
        </w:rPr>
      </w:pPr>
      <w:r>
        <w:rPr>
          <w:rFonts w:ascii="Arial" w:cs="Arial" w:eastAsia="Arial" w:hAnsi="Arial"/>
          <w:sz w:val="20"/>
          <w:szCs w:val="20"/>
          <w:i w:val="1"/>
          <w:iCs w:val="1"/>
          <w:u w:val="single" w:color="auto"/>
          <w:color w:val="auto"/>
        </w:rPr>
        <w:t>Reliance by Collateral Agent</w:t>
      </w:r>
      <w:r>
        <w:rPr>
          <w:rFonts w:ascii="Arial" w:cs="Arial" w:eastAsia="Arial" w:hAnsi="Arial"/>
          <w:sz w:val="20"/>
          <w:szCs w:val="20"/>
          <w:color w:val="auto"/>
        </w:rPr>
        <w:t>. For purposes of applying payments received in accordance with this</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8.03</w:t>
      </w:r>
      <w:r>
        <w:rPr>
          <w:rFonts w:ascii="Arial" w:cs="Arial" w:eastAsia="Arial" w:hAnsi="Arial"/>
          <w:sz w:val="20"/>
          <w:szCs w:val="20"/>
          <w:color w:val="auto"/>
        </w:rPr>
        <w:t>, the</w:t>
      </w:r>
      <w:r>
        <w:rPr>
          <w:rFonts w:ascii="Arial" w:cs="Arial" w:eastAsia="Arial" w:hAnsi="Arial"/>
          <w:sz w:val="20"/>
          <w:szCs w:val="20"/>
          <w:i w:val="1"/>
          <w:iCs w:val="1"/>
          <w:color w:val="auto"/>
        </w:rPr>
        <w:t xml:space="preserve"> </w:t>
      </w:r>
      <w:r>
        <w:rPr>
          <w:rFonts w:ascii="Arial" w:cs="Arial" w:eastAsia="Arial" w:hAnsi="Arial"/>
          <w:sz w:val="20"/>
          <w:szCs w:val="20"/>
          <w:color w:val="auto"/>
        </w:rPr>
        <w:t>Collateral Agent shall be entitled to rely upon (i) the Administrative Agent under this Agreement and (ii) the Representative, if any, for the Swap Creditors for a determination (which the Administrative Agent, each Representative for any Swap Creditor and the Finance Parties agree (or shall agree) to provide upon request of the Collateral Agent) of the outstanding Senior Credit Obligations and Swap Obligations owed to the Agents, the Lenders or the Swap Creditors, as the case may be. Unless it has actual knowledge (including by way of written notice from a Swap Creditor or any Representatives thereof) to the contrary, the Collateral Agent, in acting hereunder, shall be entitled to assume that no Swap Agreements are in existence.</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IX.</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AGENCY PROVISIONS</w:t>
      </w:r>
    </w:p>
    <w:p>
      <w:pPr>
        <w:spacing w:after="0" w:line="337"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9.01</w:t>
      </w:r>
      <w:r>
        <w:rPr>
          <w:sz w:val="20"/>
          <w:szCs w:val="20"/>
          <w:color w:val="auto"/>
        </w:rPr>
        <w:tab/>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w:t>
      </w:r>
    </w:p>
    <w:p>
      <w:pPr>
        <w:spacing w:after="0" w:line="195" w:lineRule="exact"/>
        <w:rPr>
          <w:sz w:val="20"/>
          <w:szCs w:val="20"/>
          <w:color w:val="auto"/>
        </w:rPr>
      </w:pPr>
    </w:p>
    <w:p>
      <w:pPr>
        <w:ind w:right="140" w:firstLine="1305"/>
        <w:spacing w:after="0" w:line="307" w:lineRule="auto"/>
        <w:tabs>
          <w:tab w:leader="none" w:pos="216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Each of the Lenders and each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for </w:t>
      </w:r>
      <w:r>
        <w:rPr>
          <w:rFonts w:ascii="Arial" w:cs="Arial" w:eastAsia="Arial" w:hAnsi="Arial"/>
          <w:sz w:val="18"/>
          <w:szCs w:val="18"/>
          <w:u w:val="single" w:color="auto"/>
          <w:color w:val="auto"/>
        </w:rPr>
        <w:t>Section 9.11</w:t>
      </w:r>
      <w:r>
        <w:rPr>
          <w:rFonts w:ascii="Arial" w:cs="Arial" w:eastAsia="Arial" w:hAnsi="Arial"/>
          <w:sz w:val="18"/>
          <w:szCs w:val="18"/>
          <w:color w:val="auto"/>
        </w:rPr>
        <w:t>, the provisions of this Article are solely for the benefit of the Administrative Agent, the Collateral Agent, the Lead Arrangers, the Joint Bookrunners</w:t>
      </w:r>
      <w:r>
        <w:rPr>
          <w:rFonts w:ascii="Arial" w:cs="Arial" w:eastAsia="Arial" w:hAnsi="Arial"/>
          <w:sz w:val="18"/>
          <w:szCs w:val="18"/>
          <w:u w:val="single" w:color="auto"/>
          <w:color w:val="0000FF"/>
        </w:rPr>
        <w:t>, the Amendment No. 1 Arrangers</w:t>
      </w:r>
      <w:r>
        <w:rPr>
          <w:rFonts w:ascii="Arial" w:cs="Arial" w:eastAsia="Arial" w:hAnsi="Arial"/>
          <w:sz w:val="18"/>
          <w:szCs w:val="18"/>
          <w:color w:val="auto"/>
        </w:rPr>
        <w:t>, the Lenders and the L/C Issuer, and no Borrower nor any other Loan Party shall have rights as a third party beneficiary of any of such provisions.</w:t>
      </w:r>
    </w:p>
    <w:p>
      <w:pPr>
        <w:spacing w:after="0" w:line="59" w:lineRule="exact"/>
        <w:rPr>
          <w:rFonts w:ascii="Arial" w:cs="Arial" w:eastAsia="Arial" w:hAnsi="Arial"/>
          <w:sz w:val="18"/>
          <w:szCs w:val="18"/>
          <w:color w:val="auto"/>
        </w:rPr>
      </w:pPr>
    </w:p>
    <w:p>
      <w:pPr>
        <w:ind w:firstLine="1305"/>
        <w:spacing w:after="0" w:line="285" w:lineRule="auto"/>
        <w:tabs>
          <w:tab w:leader="none" w:pos="2175" w:val="left"/>
        </w:tabs>
        <w:numPr>
          <w:ilvl w:val="0"/>
          <w:numId w:val="317"/>
        </w:numPr>
        <w:rPr>
          <w:rFonts w:ascii="Arial" w:cs="Arial" w:eastAsia="Arial" w:hAnsi="Arial"/>
          <w:sz w:val="19"/>
          <w:szCs w:val="19"/>
          <w:color w:val="auto"/>
        </w:rPr>
      </w:pPr>
      <w:r>
        <w:rPr>
          <w:rFonts w:ascii="Arial" w:cs="Arial" w:eastAsia="Arial" w:hAnsi="Arial"/>
          <w:sz w:val="19"/>
          <w:szCs w:val="19"/>
          <w:color w:val="auto"/>
        </w:rPr>
        <w:t xml:space="preserve">The Administrative Agent shall also act as the “Collateral Agent” under the Loan Documents, and each of the Lenders (including in its capacities as a potential Swap Creditor and a potential Cash Management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Finance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9"/>
          <w:szCs w:val="19"/>
          <w:u w:val="single" w:color="auto"/>
          <w:color w:val="auto"/>
        </w:rPr>
        <w:t>Section 9.05</w:t>
      </w:r>
      <w:r>
        <w:rPr>
          <w:rFonts w:ascii="Arial" w:cs="Arial" w:eastAsia="Arial" w:hAnsi="Arial"/>
          <w:sz w:val="19"/>
          <w:szCs w:val="19"/>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(including </w:t>
      </w:r>
      <w:r>
        <w:rPr>
          <w:rFonts w:ascii="Arial" w:cs="Arial" w:eastAsia="Arial" w:hAnsi="Arial"/>
          <w:sz w:val="19"/>
          <w:szCs w:val="19"/>
          <w:u w:val="single" w:color="auto"/>
          <w:color w:val="auto"/>
        </w:rPr>
        <w:t>Section 10.04(c)</w:t>
      </w:r>
      <w:r>
        <w:rPr>
          <w:rFonts w:ascii="Arial" w:cs="Arial" w:eastAsia="Arial" w:hAnsi="Arial"/>
          <w:sz w:val="19"/>
          <w:szCs w:val="19"/>
          <w:color w:val="auto"/>
        </w:rPr>
        <w:t>, as though such co-agents, sub-agents and attorneys-in-fact were the “collateral agent” under the Loan Documents) as if set forth in full herein with respect thereto.</w:t>
      </w:r>
    </w:p>
    <w:p>
      <w:pPr>
        <w:spacing w:after="0" w:line="79" w:lineRule="exact"/>
        <w:rPr>
          <w:rFonts w:ascii="Arial" w:cs="Arial" w:eastAsia="Arial" w:hAnsi="Arial"/>
          <w:sz w:val="19"/>
          <w:szCs w:val="19"/>
          <w:color w:val="auto"/>
        </w:rPr>
      </w:pPr>
    </w:p>
    <w:p>
      <w:pPr>
        <w:ind w:right="40" w:firstLine="1305"/>
        <w:spacing w:after="0" w:line="272" w:lineRule="auto"/>
        <w:tabs>
          <w:tab w:leader="none" w:pos="2164" w:val="left"/>
        </w:tabs>
        <w:numPr>
          <w:ilvl w:val="0"/>
          <w:numId w:val="317"/>
        </w:numPr>
        <w:rPr>
          <w:rFonts w:ascii="Arial" w:cs="Arial" w:eastAsia="Arial" w:hAnsi="Arial"/>
          <w:sz w:val="20"/>
          <w:szCs w:val="20"/>
          <w:color w:val="auto"/>
        </w:rPr>
      </w:pPr>
      <w:r>
        <w:rPr>
          <w:rFonts w:ascii="Arial" w:cs="Arial" w:eastAsia="Arial" w:hAnsi="Arial"/>
          <w:sz w:val="20"/>
          <w:szCs w:val="20"/>
          <w:color w:val="auto"/>
        </w:rPr>
        <w:t>Each L/C Issuer shall act on behalf of the Revolving Lenders with respect to any Letters of Credit issued by it and the documents associated therewith, and each L/C Issuer shall have all of the benefits and immunities (a) provided to the Agents in this Article with respect to any acts taken or omissions suffered by such L/C Issuer in connection with Letters of Credit issued by it or proposed to be issued by it and L/C Documents pertaining to such Letters of Credit as fully as if the term “Agent” as used in this Article and the definition of “Agent Related Person” included such L/C Issuer with respect to such acts or omissions, and (b) as additionally provided herein with respect to each L/C Issuer.</w:t>
      </w:r>
    </w:p>
    <w:p>
      <w:pPr>
        <w:spacing w:after="0" w:line="200" w:lineRule="exact"/>
        <w:rPr>
          <w:rFonts w:ascii="Arial" w:cs="Arial" w:eastAsia="Arial" w:hAnsi="Arial"/>
          <w:sz w:val="20"/>
          <w:szCs w:val="20"/>
          <w:color w:val="auto"/>
        </w:rPr>
      </w:pPr>
    </w:p>
    <w:p>
      <w:pPr>
        <w:spacing w:after="0" w:line="329" w:lineRule="exact"/>
        <w:rPr>
          <w:rFonts w:ascii="Arial" w:cs="Arial" w:eastAsia="Arial" w:hAnsi="Arial"/>
          <w:sz w:val="20"/>
          <w:szCs w:val="20"/>
          <w:color w:val="auto"/>
        </w:rPr>
      </w:pPr>
    </w:p>
    <w:p>
      <w:pPr>
        <w:ind w:left="5560" w:hanging="110"/>
        <w:spacing w:after="0"/>
        <w:tabs>
          <w:tab w:leader="none" w:pos="5560" w:val="left"/>
        </w:tabs>
        <w:numPr>
          <w:ilvl w:val="1"/>
          <w:numId w:val="317"/>
        </w:numPr>
        <w:rPr>
          <w:rFonts w:ascii="Arial" w:cs="Arial" w:eastAsia="Arial" w:hAnsi="Arial"/>
          <w:sz w:val="20"/>
          <w:szCs w:val="20"/>
          <w:color w:val="auto"/>
        </w:rPr>
      </w:pPr>
      <w:r>
        <w:rPr>
          <w:rFonts w:ascii="Arial" w:cs="Arial" w:eastAsia="Arial" w:hAnsi="Arial"/>
          <w:sz w:val="20"/>
          <w:szCs w:val="20"/>
          <w:color w:val="auto"/>
        </w:rPr>
        <w:t>153 -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349" w:name="page350"/>
    <w:bookmarkEnd w:id="349"/>
    <w:p>
      <w:pPr>
        <w:ind w:right="60" w:firstLine="1216"/>
        <w:spacing w:after="0" w:line="272" w:lineRule="auto"/>
        <w:rPr>
          <w:sz w:val="20"/>
          <w:szCs w:val="20"/>
          <w:color w:val="auto"/>
        </w:rPr>
      </w:pPr>
      <w:r>
        <w:rPr>
          <w:rFonts w:ascii="Arial" w:cs="Arial" w:eastAsia="Arial" w:hAnsi="Arial"/>
          <w:sz w:val="18"/>
          <w:szCs w:val="18"/>
          <w:b w:val="1"/>
          <w:bCs w:val="1"/>
          <w:color w:val="auto"/>
        </w:rPr>
        <w:t xml:space="preserve">Section 9.02 </w:t>
      </w:r>
      <w:r>
        <w:rPr>
          <w:rFonts w:ascii="Arial" w:cs="Arial" w:eastAsia="Arial" w:hAnsi="Arial"/>
          <w:sz w:val="18"/>
          <w:szCs w:val="18"/>
          <w:u w:val="single" w:color="auto"/>
          <w:color w:val="auto"/>
        </w:rPr>
        <w:t>Rights as a Lender</w:t>
      </w:r>
      <w:r>
        <w:rPr>
          <w:rFonts w:ascii="Arial" w:cs="Arial" w:eastAsia="Arial" w:hAnsi="Arial"/>
          <w:sz w:val="18"/>
          <w:szCs w:val="18"/>
          <w:color w:val="auto"/>
        </w:rPr>
        <w:t>. Each Person serving as an Agent, the Lead</w:t>
      </w:r>
      <w:r>
        <w:rPr>
          <w:rFonts w:ascii="Arial" w:cs="Arial" w:eastAsia="Arial" w:hAnsi="Arial"/>
          <w:sz w:val="18"/>
          <w:szCs w:val="18"/>
          <w:b w:val="1"/>
          <w:bCs w:val="1"/>
          <w:color w:val="auto"/>
        </w:rPr>
        <w:t xml:space="preserve"> </w:t>
      </w:r>
      <w:r>
        <w:rPr>
          <w:rFonts w:ascii="Arial" w:cs="Arial" w:eastAsia="Arial" w:hAnsi="Arial"/>
          <w:sz w:val="18"/>
          <w:szCs w:val="18"/>
          <w:color w:val="FF0000"/>
          <w:strike w:val="1"/>
        </w:rPr>
        <w:t>Arranger</w:t>
      </w:r>
      <w:r>
        <w:rPr>
          <w:rFonts w:ascii="Arial" w:cs="Arial" w:eastAsia="Arial" w:hAnsi="Arial"/>
          <w:sz w:val="18"/>
          <w:szCs w:val="18"/>
          <w:u w:val="single" w:color="auto"/>
          <w:color w:val="0000FF"/>
        </w:rPr>
        <w:t>Arrangers, the Amendment No. 1</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Arrangers</w:t>
      </w:r>
      <w:r>
        <w:rPr>
          <w:rFonts w:ascii="Arial" w:cs="Arial" w:eastAsia="Arial" w:hAnsi="Arial"/>
          <w:sz w:val="18"/>
          <w:szCs w:val="18"/>
          <w:color w:val="0000FF"/>
        </w:rPr>
        <w:t xml:space="preserve"> </w:t>
      </w:r>
      <w:r>
        <w:rPr>
          <w:rFonts w:ascii="Arial" w:cs="Arial" w:eastAsia="Arial" w:hAnsi="Arial"/>
          <w:sz w:val="18"/>
          <w:szCs w:val="18"/>
          <w:color w:val="000000"/>
        </w:rPr>
        <w:t>or the Joint Bookrunners, hereunder shall have the same rights and powers in its capacity as a Lender as any other Lender and may</w:t>
      </w:r>
      <w:r>
        <w:rPr>
          <w:rFonts w:ascii="Arial" w:cs="Arial" w:eastAsia="Arial" w:hAnsi="Arial"/>
          <w:sz w:val="18"/>
          <w:szCs w:val="18"/>
          <w:color w:val="0000FF"/>
        </w:rPr>
        <w:t xml:space="preserve"> </w:t>
      </w:r>
      <w:r>
        <w:rPr>
          <w:rFonts w:ascii="Arial" w:cs="Arial" w:eastAsia="Arial" w:hAnsi="Arial"/>
          <w:sz w:val="18"/>
          <w:szCs w:val="18"/>
          <w:color w:val="000000"/>
        </w:rPr>
        <w:t xml:space="preserve">exercise the same as though it were not an Agent, the Lead </w:t>
      </w:r>
      <w:r>
        <w:rPr>
          <w:rFonts w:ascii="Arial" w:cs="Arial" w:eastAsia="Arial" w:hAnsi="Arial"/>
          <w:sz w:val="18"/>
          <w:szCs w:val="18"/>
          <w:color w:val="FF0000"/>
          <w:strike w:val="1"/>
        </w:rPr>
        <w:t>Arranger</w:t>
      </w:r>
      <w:r>
        <w:rPr>
          <w:rFonts w:ascii="Arial" w:cs="Arial" w:eastAsia="Arial" w:hAnsi="Arial"/>
          <w:sz w:val="18"/>
          <w:szCs w:val="18"/>
          <w:u w:val="single" w:color="auto"/>
          <w:color w:val="0000FF"/>
        </w:rPr>
        <w:t>Arrangers, the Amendment No. 1 Arrangers</w:t>
      </w:r>
      <w:r>
        <w:rPr>
          <w:rFonts w:ascii="Arial" w:cs="Arial" w:eastAsia="Arial" w:hAnsi="Arial"/>
          <w:sz w:val="18"/>
          <w:szCs w:val="18"/>
          <w:color w:val="000000"/>
        </w:rPr>
        <w:t xml:space="preserve"> or the Joint Bookrunners, as applicable, and the term “Lender” or “Lenders” shall, unless otherwise expressly indicated or unless the context otherwise requires, include the Person serving as an Agent, the Lead </w:t>
      </w:r>
      <w:r>
        <w:rPr>
          <w:rFonts w:ascii="Arial" w:cs="Arial" w:eastAsia="Arial" w:hAnsi="Arial"/>
          <w:sz w:val="18"/>
          <w:szCs w:val="18"/>
          <w:color w:val="FF0000"/>
          <w:strike w:val="1"/>
        </w:rPr>
        <w:t>Arranger</w:t>
      </w:r>
      <w:r>
        <w:rPr>
          <w:rFonts w:ascii="Arial" w:cs="Arial" w:eastAsia="Arial" w:hAnsi="Arial"/>
          <w:sz w:val="18"/>
          <w:szCs w:val="18"/>
          <w:u w:val="single" w:color="auto"/>
          <w:color w:val="0000FF"/>
        </w:rPr>
        <w:t>Arrangers, the Amendment No. 1 Arrangers</w:t>
      </w:r>
      <w:r>
        <w:rPr>
          <w:rFonts w:ascii="Arial" w:cs="Arial" w:eastAsia="Arial" w:hAnsi="Arial"/>
          <w:sz w:val="18"/>
          <w:szCs w:val="18"/>
          <w:color w:val="000000"/>
        </w:rPr>
        <w:t xml:space="preserve"> or the Joint Bookrunners, as applicable, hereunder in its individual capacity. Such Person and its Affiliates may accept deposits from, lend money to, own securities of, act as the financial advisor or in any other advisory capacity for and generally engage in any kind of business with Parent or any Subsidiary or other Affiliate thereof as if such Person were not an Agent, the Lead </w:t>
      </w:r>
      <w:r>
        <w:rPr>
          <w:rFonts w:ascii="Arial" w:cs="Arial" w:eastAsia="Arial" w:hAnsi="Arial"/>
          <w:sz w:val="18"/>
          <w:szCs w:val="18"/>
          <w:color w:val="FF0000"/>
          <w:strike w:val="1"/>
        </w:rPr>
        <w:t>Arranger</w:t>
      </w:r>
      <w:r>
        <w:rPr>
          <w:rFonts w:ascii="Arial" w:cs="Arial" w:eastAsia="Arial" w:hAnsi="Arial"/>
          <w:sz w:val="18"/>
          <w:szCs w:val="18"/>
          <w:u w:val="single" w:color="auto"/>
          <w:color w:val="0000FF"/>
        </w:rPr>
        <w:t>Arrangers, the Amendment No. 1 Arrangers</w:t>
      </w:r>
      <w:r>
        <w:rPr>
          <w:rFonts w:ascii="Arial" w:cs="Arial" w:eastAsia="Arial" w:hAnsi="Arial"/>
          <w:sz w:val="18"/>
          <w:szCs w:val="18"/>
          <w:color w:val="000000"/>
        </w:rPr>
        <w:t xml:space="preserve"> or the Joint Bookrunners, as applicable, hereunder and without any duty to account therefor to the Lenders. Any Lender may make any Credit Extension to any Borrower by causing any domestic or foreign branch or Affiliate of such Lender that is an Eligible Assignee to make such Credit Extension.</w:t>
      </w:r>
    </w:p>
    <w:p>
      <w:pPr>
        <w:spacing w:after="0" w:line="132" w:lineRule="exact"/>
        <w:rPr>
          <w:sz w:val="20"/>
          <w:szCs w:val="20"/>
          <w:color w:val="auto"/>
        </w:rPr>
      </w:pPr>
    </w:p>
    <w:p>
      <w:pPr>
        <w:ind w:right="260" w:firstLine="1297"/>
        <w:spacing w:after="0" w:line="260" w:lineRule="auto"/>
        <w:rPr>
          <w:sz w:val="20"/>
          <w:szCs w:val="20"/>
          <w:color w:val="auto"/>
        </w:rPr>
      </w:pPr>
      <w:r>
        <w:rPr>
          <w:rFonts w:ascii="Arial" w:cs="Arial" w:eastAsia="Arial" w:hAnsi="Arial"/>
          <w:sz w:val="19"/>
          <w:szCs w:val="19"/>
          <w:color w:val="auto"/>
        </w:rPr>
        <w:t>Each of the Administrative Agent, the L/C Issuer and each Lender at its option may make any Credit Extension or otherwise perform its obligations hereunder through any Lending Office (each, a “</w:t>
      </w:r>
      <w:r>
        <w:rPr>
          <w:rFonts w:ascii="Arial" w:cs="Arial" w:eastAsia="Arial" w:hAnsi="Arial"/>
          <w:sz w:val="19"/>
          <w:szCs w:val="19"/>
          <w:u w:val="single" w:color="auto"/>
          <w:color w:val="auto"/>
        </w:rPr>
        <w:t>Designated Lender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the applicable Borrower to repay any Credit Extension in accordance with the terms of this Agreement. Any Designated Lender shall be considered a Lender; provided that in the case of an Affiliate or branch of a Lender, all provisions applicable to a Lender shall apply to such Affiliate or branch of such Lender to the same extent as such Lender.</w:t>
      </w:r>
    </w:p>
    <w:p>
      <w:pPr>
        <w:spacing w:after="0" w:line="134"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9"/>
          <w:szCs w:val="19"/>
          <w:b w:val="1"/>
          <w:bCs w:val="1"/>
          <w:color w:val="auto"/>
        </w:rPr>
        <w:t xml:space="preserve">Section 9.03 </w:t>
      </w:r>
      <w:r>
        <w:rPr>
          <w:rFonts w:ascii="Arial" w:cs="Arial" w:eastAsia="Arial" w:hAnsi="Arial"/>
          <w:sz w:val="19"/>
          <w:szCs w:val="19"/>
          <w:u w:val="single" w:color="auto"/>
          <w:color w:val="auto"/>
        </w:rPr>
        <w:t>Exculpatory Provisions</w:t>
      </w:r>
      <w:r>
        <w:rPr>
          <w:rFonts w:ascii="Arial" w:cs="Arial" w:eastAsia="Arial" w:hAnsi="Arial"/>
          <w:sz w:val="19"/>
          <w:szCs w:val="19"/>
          <w:color w:val="auto"/>
        </w:rPr>
        <w:t>. Each Agent,</w:t>
      </w:r>
      <w:r>
        <w:rPr>
          <w:rFonts w:ascii="Arial" w:cs="Arial" w:eastAsia="Arial" w:hAnsi="Arial"/>
          <w:sz w:val="19"/>
          <w:szCs w:val="19"/>
          <w:b w:val="1"/>
          <w:bCs w:val="1"/>
          <w:color w:val="auto"/>
        </w:rPr>
        <w:t xml:space="preserve"> </w:t>
      </w:r>
      <w:r>
        <w:rPr>
          <w:rFonts w:ascii="Arial" w:cs="Arial" w:eastAsia="Arial" w:hAnsi="Arial"/>
          <w:sz w:val="19"/>
          <w:szCs w:val="19"/>
          <w:color w:val="FF0000"/>
          <w:strike w:val="1"/>
        </w:rPr>
        <w:t>the</w:t>
      </w:r>
      <w:r>
        <w:rPr>
          <w:rFonts w:ascii="Arial" w:cs="Arial" w:eastAsia="Arial" w:hAnsi="Arial"/>
          <w:sz w:val="19"/>
          <w:szCs w:val="19"/>
          <w:u w:val="single" w:color="auto"/>
          <w:color w:val="0000FF"/>
        </w:rPr>
        <w:t>Co-Syndication Agent, Co-Documentation Agent, Amendment No. 1</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Co-Syndication Agent and </w:t>
      </w:r>
      <w:r>
        <w:rPr>
          <w:rFonts w:ascii="Arial" w:cs="Arial" w:eastAsia="Arial" w:hAnsi="Arial"/>
          <w:sz w:val="19"/>
          <w:szCs w:val="19"/>
          <w:color w:val="FF0000"/>
          <w:strike w:val="1"/>
        </w:rPr>
        <w:t>the</w:t>
      </w:r>
      <w:r>
        <w:rPr>
          <w:rFonts w:ascii="Arial" w:cs="Arial" w:eastAsia="Arial" w:hAnsi="Arial"/>
          <w:sz w:val="19"/>
          <w:szCs w:val="19"/>
          <w:u w:val="single" w:color="auto"/>
          <w:color w:val="0000FF"/>
        </w:rPr>
        <w:t>Amendment No. 1</w:t>
      </w:r>
      <w:r>
        <w:rPr>
          <w:rFonts w:ascii="Arial" w:cs="Arial" w:eastAsia="Arial" w:hAnsi="Arial"/>
          <w:sz w:val="19"/>
          <w:szCs w:val="19"/>
          <w:color w:val="auto"/>
        </w:rPr>
        <w:t xml:space="preserve"> Co-Documentation </w:t>
      </w:r>
      <w:r>
        <w:rPr>
          <w:rFonts w:ascii="Arial" w:cs="Arial" w:eastAsia="Arial" w:hAnsi="Arial"/>
          <w:sz w:val="19"/>
          <w:szCs w:val="19"/>
          <w:color w:val="FF0000"/>
          <w:strike w:val="1"/>
        </w:rPr>
        <w:t>Agents</w:t>
      </w:r>
      <w:r>
        <w:rPr>
          <w:rFonts w:ascii="Arial" w:cs="Arial" w:eastAsia="Arial" w:hAnsi="Arial"/>
          <w:sz w:val="19"/>
          <w:szCs w:val="19"/>
          <w:u w:val="single" w:color="auto"/>
          <w:color w:val="0000FF"/>
        </w:rPr>
        <w:t>Agent</w:t>
      </w:r>
      <w:r>
        <w:rPr>
          <w:rFonts w:ascii="Arial" w:cs="Arial" w:eastAsia="Arial" w:hAnsi="Arial"/>
          <w:sz w:val="19"/>
          <w:szCs w:val="19"/>
          <w:color w:val="auto"/>
        </w:rPr>
        <w:t xml:space="preserve"> (collectively, the “</w:t>
      </w:r>
      <w:r>
        <w:rPr>
          <w:rFonts w:ascii="Arial" w:cs="Arial" w:eastAsia="Arial" w:hAnsi="Arial"/>
          <w:sz w:val="19"/>
          <w:szCs w:val="19"/>
          <w:u w:val="single" w:color="auto"/>
          <w:color w:val="auto"/>
        </w:rPr>
        <w:t>Additional Agents</w:t>
      </w:r>
      <w:r>
        <w:rPr>
          <w:rFonts w:ascii="Arial" w:cs="Arial" w:eastAsia="Arial" w:hAnsi="Arial"/>
          <w:sz w:val="19"/>
          <w:szCs w:val="19"/>
          <w:color w:val="auto"/>
        </w:rPr>
        <w:t xml:space="preserve">”), the Lead </w:t>
      </w:r>
      <w:r>
        <w:rPr>
          <w:rFonts w:ascii="Arial" w:cs="Arial" w:eastAsia="Arial" w:hAnsi="Arial"/>
          <w:sz w:val="19"/>
          <w:szCs w:val="19"/>
          <w:color w:val="FF0000"/>
          <w:strike w:val="1"/>
        </w:rPr>
        <w:t>Arranger</w:t>
      </w:r>
      <w:r>
        <w:rPr>
          <w:rFonts w:ascii="Arial" w:cs="Arial" w:eastAsia="Arial" w:hAnsi="Arial"/>
          <w:sz w:val="19"/>
          <w:szCs w:val="19"/>
          <w:u w:val="single" w:color="auto"/>
          <w:color w:val="0000FF"/>
        </w:rPr>
        <w:t>Arrangers, the Amendment No. 1 Arrangers</w:t>
      </w:r>
      <w:r>
        <w:rPr>
          <w:rFonts w:ascii="Arial" w:cs="Arial" w:eastAsia="Arial" w:hAnsi="Arial"/>
          <w:sz w:val="19"/>
          <w:szCs w:val="19"/>
          <w:color w:val="FF0000"/>
        </w:rPr>
        <w:t xml:space="preserve"> </w:t>
      </w:r>
      <w:r>
        <w:rPr>
          <w:rFonts w:ascii="Arial" w:cs="Arial" w:eastAsia="Arial" w:hAnsi="Arial"/>
          <w:sz w:val="19"/>
          <w:szCs w:val="19"/>
          <w:color w:val="000000"/>
        </w:rPr>
        <w:t>and the Joint Bookrunners, each in its capacity as such, shall not have any obligations,</w:t>
      </w:r>
      <w:r>
        <w:rPr>
          <w:rFonts w:ascii="Arial" w:cs="Arial" w:eastAsia="Arial" w:hAnsi="Arial"/>
          <w:sz w:val="19"/>
          <w:szCs w:val="19"/>
          <w:color w:val="FF0000"/>
        </w:rPr>
        <w:t xml:space="preserve"> </w:t>
      </w:r>
      <w:r>
        <w:rPr>
          <w:rFonts w:ascii="Arial" w:cs="Arial" w:eastAsia="Arial" w:hAnsi="Arial"/>
          <w:sz w:val="19"/>
          <w:szCs w:val="19"/>
          <w:color w:val="000000"/>
        </w:rPr>
        <w:t xml:space="preserve">duties or responsibilities under this Agreement but shall be entitled to all benefits of this </w:t>
      </w:r>
      <w:r>
        <w:rPr>
          <w:rFonts w:ascii="Arial" w:cs="Arial" w:eastAsia="Arial" w:hAnsi="Arial"/>
          <w:sz w:val="19"/>
          <w:szCs w:val="19"/>
          <w:u w:val="single" w:color="auto"/>
          <w:color w:val="000000"/>
        </w:rPr>
        <w:t>Article IX</w:t>
      </w:r>
      <w:r>
        <w:rPr>
          <w:rFonts w:ascii="Arial" w:cs="Arial" w:eastAsia="Arial" w:hAnsi="Arial"/>
          <w:sz w:val="19"/>
          <w:szCs w:val="19"/>
          <w:color w:val="000000"/>
        </w:rPr>
        <w:t xml:space="preserve">. The Administrative Agent shall not have any duties or obligations except those expressly set forth herein and in the other Loan Documents, and the duties herein shall be administrative in nature. Without limiting the generality of the foregoing, none of the Agents, the Additional Agents, the Lead </w:t>
      </w:r>
      <w:r>
        <w:rPr>
          <w:rFonts w:ascii="Arial" w:cs="Arial" w:eastAsia="Arial" w:hAnsi="Arial"/>
          <w:sz w:val="19"/>
          <w:szCs w:val="19"/>
          <w:color w:val="FF0000"/>
          <w:strike w:val="1"/>
        </w:rPr>
        <w:t>Arranger</w:t>
      </w:r>
      <w:r>
        <w:rPr>
          <w:rFonts w:ascii="Arial" w:cs="Arial" w:eastAsia="Arial" w:hAnsi="Arial"/>
          <w:sz w:val="19"/>
          <w:szCs w:val="19"/>
          <w:u w:val="single" w:color="auto"/>
          <w:color w:val="0000FF"/>
        </w:rPr>
        <w:t>Arrangers, the</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Amendment No. 1 Arrangers</w:t>
      </w:r>
      <w:r>
        <w:rPr>
          <w:rFonts w:ascii="Arial" w:cs="Arial" w:eastAsia="Arial" w:hAnsi="Arial"/>
          <w:sz w:val="19"/>
          <w:szCs w:val="19"/>
          <w:color w:val="0000FF"/>
        </w:rPr>
        <w:t xml:space="preserve"> </w:t>
      </w:r>
      <w:r>
        <w:rPr>
          <w:rFonts w:ascii="Arial" w:cs="Arial" w:eastAsia="Arial" w:hAnsi="Arial"/>
          <w:sz w:val="19"/>
          <w:szCs w:val="19"/>
          <w:color w:val="000000"/>
        </w:rPr>
        <w:t>and the Joint Bookrunners:</w:t>
      </w:r>
    </w:p>
    <w:p>
      <w:pPr>
        <w:spacing w:after="0" w:line="152" w:lineRule="exact"/>
        <w:rPr>
          <w:sz w:val="20"/>
          <w:szCs w:val="20"/>
          <w:color w:val="auto"/>
        </w:rPr>
      </w:pPr>
    </w:p>
    <w:p>
      <w:pPr>
        <w:ind w:left="2140" w:hanging="835"/>
        <w:spacing w:after="0"/>
        <w:tabs>
          <w:tab w:leader="none" w:pos="2140" w:val="left"/>
        </w:tabs>
        <w:numPr>
          <w:ilvl w:val="0"/>
          <w:numId w:val="318"/>
        </w:numPr>
        <w:rPr>
          <w:rFonts w:ascii="Arial" w:cs="Arial" w:eastAsia="Arial" w:hAnsi="Arial"/>
          <w:sz w:val="19"/>
          <w:szCs w:val="19"/>
          <w:color w:val="auto"/>
        </w:rPr>
      </w:pPr>
      <w:r>
        <w:rPr>
          <w:rFonts w:ascii="Arial" w:cs="Arial" w:eastAsia="Arial" w:hAnsi="Arial"/>
          <w:sz w:val="19"/>
          <w:szCs w:val="19"/>
          <w:color w:val="auto"/>
        </w:rPr>
        <w:t>shall be subject to any fiduciary or other implied duties, regardless of whether a Default has occurred and is</w:t>
      </w:r>
    </w:p>
    <w:p>
      <w:pPr>
        <w:spacing w:after="0" w:line="3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continuing;</w:t>
      </w:r>
    </w:p>
    <w:p>
      <w:pPr>
        <w:spacing w:after="0" w:line="134" w:lineRule="exact"/>
        <w:rPr>
          <w:rFonts w:ascii="Arial" w:cs="Arial" w:eastAsia="Arial" w:hAnsi="Arial"/>
          <w:sz w:val="19"/>
          <w:szCs w:val="19"/>
          <w:color w:val="auto"/>
        </w:rPr>
      </w:pPr>
    </w:p>
    <w:p>
      <w:pPr>
        <w:ind w:left="660" w:firstLine="645"/>
        <w:spacing w:after="0" w:line="305" w:lineRule="auto"/>
        <w:tabs>
          <w:tab w:leader="none" w:pos="2198"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shall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of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Agent shall not be required to take any action that, in its judgment or the judgment of its counsel, may expose such Agent to liability or that is contrary to any Loan Document or applicable Law, including for the avoidance of doubt any action that may be in violation of the automatic stay under any Bankruptcy Law or that may affect a forfeiture, modification or termination of property of a Defaulting Lender in violation of any Bankruptcy Law; and</w:t>
      </w:r>
    </w:p>
    <w:p>
      <w:pPr>
        <w:spacing w:after="0" w:line="62" w:lineRule="exact"/>
        <w:rPr>
          <w:rFonts w:ascii="Arial" w:cs="Arial" w:eastAsia="Arial" w:hAnsi="Arial"/>
          <w:sz w:val="18"/>
          <w:szCs w:val="18"/>
          <w:color w:val="auto"/>
        </w:rPr>
      </w:pPr>
    </w:p>
    <w:p>
      <w:pPr>
        <w:jc w:val="both"/>
        <w:ind w:left="660" w:firstLine="645"/>
        <w:spacing w:after="0" w:line="278" w:lineRule="auto"/>
        <w:tabs>
          <w:tab w:leader="none" w:pos="2253" w:val="left"/>
        </w:tabs>
        <w:numPr>
          <w:ilvl w:val="0"/>
          <w:numId w:val="318"/>
        </w:numPr>
        <w:rPr>
          <w:rFonts w:ascii="Arial" w:cs="Arial" w:eastAsia="Arial" w:hAnsi="Arial"/>
          <w:sz w:val="20"/>
          <w:szCs w:val="20"/>
          <w:color w:val="auto"/>
        </w:rPr>
      </w:pPr>
      <w:r>
        <w:rPr>
          <w:rFonts w:ascii="Arial" w:cs="Arial" w:eastAsia="Arial" w:hAnsi="Arial"/>
          <w:sz w:val="20"/>
          <w:szCs w:val="20"/>
          <w:color w:val="auto"/>
        </w:rPr>
        <w:t>shall, except as expressly set forth herein and in the other Loan Documents, have any duty to disclose, and shall not be liable for the failure to disclose, any information relating to any Borrower or any of its Affiliates that is communicated to or obtained by the Person serving as such Agent or any of its Affiliates in any capacity.</w:t>
      </w:r>
    </w:p>
    <w:p>
      <w:pPr>
        <w:spacing w:after="0" w:line="200" w:lineRule="exact"/>
        <w:rPr>
          <w:rFonts w:ascii="Arial" w:cs="Arial" w:eastAsia="Arial" w:hAnsi="Arial"/>
          <w:sz w:val="20"/>
          <w:szCs w:val="20"/>
          <w:color w:val="auto"/>
        </w:rPr>
      </w:pPr>
    </w:p>
    <w:p>
      <w:pPr>
        <w:spacing w:after="0" w:line="324" w:lineRule="exact"/>
        <w:rPr>
          <w:rFonts w:ascii="Arial" w:cs="Arial" w:eastAsia="Arial" w:hAnsi="Arial"/>
          <w:sz w:val="20"/>
          <w:szCs w:val="20"/>
          <w:color w:val="auto"/>
        </w:rPr>
      </w:pPr>
    </w:p>
    <w:p>
      <w:pPr>
        <w:ind w:left="5560" w:hanging="110"/>
        <w:spacing w:after="0"/>
        <w:tabs>
          <w:tab w:leader="none" w:pos="5560" w:val="left"/>
        </w:tabs>
        <w:numPr>
          <w:ilvl w:val="1"/>
          <w:numId w:val="318"/>
        </w:numPr>
        <w:rPr>
          <w:rFonts w:ascii="Arial" w:cs="Arial" w:eastAsia="Arial" w:hAnsi="Arial"/>
          <w:sz w:val="20"/>
          <w:szCs w:val="20"/>
          <w:color w:val="auto"/>
        </w:rPr>
      </w:pPr>
      <w:r>
        <w:rPr>
          <w:rFonts w:ascii="Arial" w:cs="Arial" w:eastAsia="Arial" w:hAnsi="Arial"/>
          <w:sz w:val="20"/>
          <w:szCs w:val="20"/>
          <w:color w:val="auto"/>
        </w:rPr>
        <w:t>154 -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50" w:name="page351"/>
    <w:bookmarkEnd w:id="350"/>
    <w:p>
      <w:pPr>
        <w:ind w:right="20" w:firstLine="1297"/>
        <w:spacing w:after="0" w:line="259" w:lineRule="auto"/>
        <w:rPr>
          <w:sz w:val="20"/>
          <w:szCs w:val="20"/>
          <w:color w:val="auto"/>
        </w:rPr>
      </w:pPr>
      <w:r>
        <w:rPr>
          <w:rFonts w:ascii="Arial" w:cs="Arial" w:eastAsia="Arial" w:hAnsi="Arial"/>
          <w:sz w:val="19"/>
          <w:szCs w:val="19"/>
          <w:color w:val="auto"/>
        </w:rPr>
        <w:t xml:space="preserve">No Agent shall be liable for any action taken or not taken by it (i) with the consent or at the request of the Required Lenders (or such other number or percentage of the Lenders as shall be necessary, or as such Agent shall believe in good faith shall be necessary, under the circumstances as provided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10.01</w:t>
      </w:r>
      <w:r>
        <w:rPr>
          <w:rFonts w:ascii="Arial" w:cs="Arial" w:eastAsia="Arial" w:hAnsi="Arial"/>
          <w:sz w:val="19"/>
          <w:szCs w:val="19"/>
          <w:color w:val="auto"/>
        </w:rPr>
        <w:t>) or (ii) in the absence of its own gross negligence or willful misconduct as determined by a court of competent jurisdiction by final and nonappealable judgment. No Agent shall be deemed to have knowledge or notice of the occurrence of any Default unless and until notice describing such Default is given to such Agent by a Borrower, a Lender or an L/C Issuer and stating that such notice is a “notice of default.”</w:t>
      </w:r>
    </w:p>
    <w:p>
      <w:pPr>
        <w:spacing w:after="0" w:line="71" w:lineRule="exact"/>
        <w:rPr>
          <w:sz w:val="20"/>
          <w:szCs w:val="20"/>
          <w:color w:val="auto"/>
        </w:rPr>
      </w:pPr>
    </w:p>
    <w:p>
      <w:pPr>
        <w:ind w:right="160" w:firstLine="1297"/>
        <w:spacing w:after="0" w:line="271" w:lineRule="auto"/>
        <w:rPr>
          <w:sz w:val="20"/>
          <w:szCs w:val="20"/>
          <w:color w:val="auto"/>
        </w:rPr>
      </w:pPr>
      <w:r>
        <w:rPr>
          <w:rFonts w:ascii="Arial" w:cs="Arial" w:eastAsia="Arial" w:hAnsi="Arial"/>
          <w:sz w:val="18"/>
          <w:szCs w:val="18"/>
          <w:color w:val="auto"/>
        </w:rPr>
        <w:t xml:space="preserve">No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the Collateral or (vi)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herein, other than to confirm receipt of items expressly required to be delivered to such Agent. Without limiting the generality of the foregoing, the use of the term “agent” in this Agreement with reference to the Administrative Agent or the Collateral Agent is not intended to connote any fiduciary or other implied (or express) obligations arising under agency doctrine of any applicable law. Instead, such term us used merely as a matter of market custom and is intended to create or reflect only an administrative relationship between independent contracting parties.</w:t>
      </w:r>
    </w:p>
    <w:p>
      <w:pPr>
        <w:spacing w:after="0" w:line="63"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No Agent shall be responsible or have any liability for, or have any duty to ascertain, inquire into, monitor or enforce, compliance with the provisions hereof relating to Disqualified Institutions. Without limiting the generality of the foregoing, the Administrative Agent shall not</w:t>
      </w:r>
    </w:p>
    <w:p>
      <w:pPr>
        <w:spacing w:after="0" w:line="1" w:lineRule="exact"/>
        <w:rPr>
          <w:sz w:val="20"/>
          <w:szCs w:val="20"/>
          <w:color w:val="auto"/>
        </w:rPr>
      </w:pPr>
    </w:p>
    <w:p>
      <w:pPr>
        <w:jc w:val="both"/>
        <w:ind w:firstLine="8"/>
        <w:spacing w:after="0" w:line="241" w:lineRule="auto"/>
        <w:tabs>
          <w:tab w:leader="none" w:pos="288" w:val="left"/>
        </w:tabs>
        <w:numPr>
          <w:ilvl w:val="0"/>
          <w:numId w:val="319"/>
        </w:numPr>
        <w:rPr>
          <w:rFonts w:ascii="Arial" w:cs="Arial" w:eastAsia="Arial" w:hAnsi="Arial"/>
          <w:sz w:val="20"/>
          <w:szCs w:val="20"/>
          <w:color w:val="auto"/>
        </w:rPr>
      </w:pPr>
      <w:r>
        <w:rPr>
          <w:rFonts w:ascii="Arial" w:cs="Arial" w:eastAsia="Arial" w:hAnsi="Arial"/>
          <w:sz w:val="20"/>
          <w:szCs w:val="20"/>
          <w:color w:val="auto"/>
        </w:rPr>
        <w:t>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28" w:lineRule="exact"/>
        <w:rPr>
          <w:sz w:val="20"/>
          <w:szCs w:val="20"/>
          <w:color w:val="auto"/>
        </w:rPr>
      </w:pPr>
    </w:p>
    <w:p>
      <w:pPr>
        <w:ind w:right="20" w:firstLine="1297"/>
        <w:spacing w:after="0" w:line="310" w:lineRule="auto"/>
        <w:rPr>
          <w:sz w:val="20"/>
          <w:szCs w:val="20"/>
          <w:color w:val="auto"/>
        </w:rPr>
      </w:pPr>
      <w:r>
        <w:rPr>
          <w:rFonts w:ascii="Arial" w:cs="Arial" w:eastAsia="Arial" w:hAnsi="Arial"/>
          <w:sz w:val="16"/>
          <w:szCs w:val="16"/>
          <w:b w:val="1"/>
          <w:bCs w:val="1"/>
          <w:color w:val="auto"/>
        </w:rPr>
        <w:t xml:space="preserve">Section 9.04 </w:t>
      </w:r>
      <w:r>
        <w:rPr>
          <w:rFonts w:ascii="Arial" w:cs="Arial" w:eastAsia="Arial" w:hAnsi="Arial"/>
          <w:sz w:val="16"/>
          <w:szCs w:val="16"/>
          <w:u w:val="single" w:color="auto"/>
          <w:color w:val="auto"/>
        </w:rPr>
        <w:t>Reliance by Agents</w:t>
      </w:r>
      <w:r>
        <w:rPr>
          <w:rFonts w:ascii="Arial" w:cs="Arial" w:eastAsia="Arial" w:hAnsi="Arial"/>
          <w:sz w:val="16"/>
          <w:szCs w:val="16"/>
          <w:color w:val="auto"/>
        </w:rPr>
        <w:t>. Each Agent shall be entitled to rely upon, and shall not incur any liability for relying upon,</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L/C Issuer unless the Administrative Agent shall have received notice to the contrary from such Lender or the L/C Issuer prior to the making of such Loan or the issuance of such Letter of Credit. Each Agent may consult with legal counsel (who may be counsel for a Borrower), independent accountants and other experts selected by it, and shall not be liable for any action taken or not taken by it in accordance with the advice of any such counsel, accountants or experts.</w:t>
      </w:r>
    </w:p>
    <w:p>
      <w:pPr>
        <w:spacing w:after="0" w:line="211" w:lineRule="exact"/>
        <w:rPr>
          <w:sz w:val="20"/>
          <w:szCs w:val="20"/>
          <w:color w:val="auto"/>
        </w:rPr>
      </w:pPr>
    </w:p>
    <w:p>
      <w:pPr>
        <w:ind w:right="540" w:firstLine="1297"/>
        <w:spacing w:after="0" w:line="294" w:lineRule="auto"/>
        <w:rPr>
          <w:sz w:val="20"/>
          <w:szCs w:val="20"/>
          <w:color w:val="auto"/>
        </w:rPr>
      </w:pPr>
      <w:r>
        <w:rPr>
          <w:rFonts w:ascii="Arial" w:cs="Arial" w:eastAsia="Arial" w:hAnsi="Arial"/>
          <w:sz w:val="18"/>
          <w:szCs w:val="18"/>
          <w:b w:val="1"/>
          <w:bCs w:val="1"/>
          <w:color w:val="auto"/>
        </w:rPr>
        <w:t xml:space="preserve">Section 9.05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Each Agent may perform any and all of its duties and exercise its rights and powers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or under any other Loan Document by or through any one or more sub-agents appointed by the Administrative Agent. The Administrative Agent and any such sub-agent may perform any and all of its duties and exercise its rights and powers by or through their</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0" w:right="239" w:bottom="1440" w:gutter="0" w:footer="0" w:header="0"/>
        </w:sectPr>
      </w:pPr>
    </w:p>
    <w:bookmarkStart w:id="351" w:name="page352"/>
    <w:bookmarkEnd w:id="351"/>
    <w:p>
      <w:pPr>
        <w:spacing w:after="0" w:line="278" w:lineRule="auto"/>
        <w:rPr>
          <w:sz w:val="20"/>
          <w:szCs w:val="20"/>
          <w:color w:val="auto"/>
        </w:rPr>
      </w:pPr>
      <w:r>
        <w:rPr>
          <w:rFonts w:ascii="Arial" w:cs="Arial" w:eastAsia="Arial" w:hAnsi="Arial"/>
          <w:sz w:val="18"/>
          <w:szCs w:val="18"/>
          <w:color w:val="auto"/>
        </w:rPr>
        <w:t>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51" w:lineRule="exact"/>
        <w:rPr>
          <w:sz w:val="20"/>
          <w:szCs w:val="20"/>
          <w:color w:val="auto"/>
        </w:rPr>
      </w:pPr>
    </w:p>
    <w:p>
      <w:pPr>
        <w:ind w:firstLine="1297"/>
        <w:spacing w:after="0" w:line="269" w:lineRule="auto"/>
        <w:rPr>
          <w:sz w:val="20"/>
          <w:szCs w:val="20"/>
          <w:color w:val="auto"/>
        </w:rPr>
      </w:pPr>
      <w:r>
        <w:rPr>
          <w:rFonts w:ascii="Arial" w:cs="Arial" w:eastAsia="Arial" w:hAnsi="Arial"/>
          <w:sz w:val="18"/>
          <w:szCs w:val="18"/>
          <w:b w:val="1"/>
          <w:bCs w:val="1"/>
          <w:color w:val="auto"/>
        </w:rPr>
        <w:t xml:space="preserve">Section 9.06 </w:t>
      </w:r>
      <w:r>
        <w:rPr>
          <w:rFonts w:ascii="Arial" w:cs="Arial" w:eastAsia="Arial" w:hAnsi="Arial"/>
          <w:sz w:val="18"/>
          <w:szCs w:val="18"/>
          <w:u w:val="single" w:color="auto"/>
          <w:color w:val="auto"/>
        </w:rPr>
        <w:t>Indemnification of Agents</w:t>
      </w:r>
      <w:r>
        <w:rPr>
          <w:rFonts w:ascii="Arial" w:cs="Arial" w:eastAsia="Arial" w:hAnsi="Arial"/>
          <w:sz w:val="18"/>
          <w:szCs w:val="18"/>
          <w:color w:val="auto"/>
        </w:rPr>
        <w:t>. Whether or not the transactions contemplated hereby are consummated, each Lender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indemnify upon demand each Agent Related Person (to the extent not reimbursed by or on behalf of any Borrower and without limiting the obligations of any Loan Party to do so) on a pro rata basis (determined as of the time that the applicable payment is sought based on each Lender’s ratable share at such time) and hold harmless each Agent Related Person against any and all Indemnified Liabilities incurred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 Lender shall be liable for payment to any Agent Related Person of any portion of such Indemnified Liabilities to the extent determined in a final, nonappealable judgment of a court of competent jurisdiction to have resulted from such Agent Related Person’s own gross negligence or willful misconduct (and no action taken in accordance with the directions of the Required Lender shall be deemed to constitute gross negligence or willful misconduct for purposes of this Section) and (b) to the extent any L/C Issuer or Swing Line Lender is entitled to indemnification under this Section solely in its capacity and role as an L/C Issuer or as a Swing Line Lender, as applicable, only the Revolving Lenders shall be required to indemnify such L/C Issuer or such Swing Line Lender, as the case may be, in accordance with this Section (determined as of the time that the applicable payment is sought based on each Revolving Lender’s Revolving Commitment Percentage thereof at such time). In the case of any investigation, litigation or proceeding giving rise to any Indemnified Liabilities, this Section applies whether any such investigation, litigation or proceeding is brought by any Lender or any other Person. Without limitation of the foregoing, each Lender shall reimburse the Administrative Agent upon demand for its ratable share of any costs or out-of-pocket expenses (including the fees, disbursements and other charges of counsel) incurred by the Administrative Agent in connection with preparation, execution, delivery, administration, modification, amendment or enforcement (whether through negotiations, legal proceedings or otherwise) of, or legal advice in respect of rights and responsibilities under, this Agreement, any other Loan Document, or any document contemplated by or referred to herein, to the extent that the Administrative Agent is not reimbursed for such costs or expenses by or on behalf of the Borrower.</w:t>
      </w:r>
    </w:p>
    <w:p>
      <w:pPr>
        <w:spacing w:after="0" w:line="65"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9.07</w:t>
      </w:r>
      <w:r>
        <w:rPr>
          <w:sz w:val="20"/>
          <w:szCs w:val="20"/>
          <w:color w:val="auto"/>
        </w:rPr>
        <w:tab/>
      </w:r>
      <w:r>
        <w:rPr>
          <w:rFonts w:ascii="Arial" w:cs="Arial" w:eastAsia="Arial" w:hAnsi="Arial"/>
          <w:sz w:val="18"/>
          <w:szCs w:val="18"/>
          <w:u w:val="single" w:color="auto"/>
          <w:color w:val="auto"/>
        </w:rPr>
        <w:t>Resignation of Agents</w:t>
      </w:r>
      <w:r>
        <w:rPr>
          <w:rFonts w:ascii="Arial" w:cs="Arial" w:eastAsia="Arial" w:hAnsi="Arial"/>
          <w:sz w:val="18"/>
          <w:szCs w:val="18"/>
          <w:color w:val="auto"/>
        </w:rPr>
        <w:t>.</w:t>
      </w:r>
    </w:p>
    <w:p>
      <w:pPr>
        <w:spacing w:after="0" w:line="127" w:lineRule="exact"/>
        <w:rPr>
          <w:sz w:val="20"/>
          <w:szCs w:val="20"/>
          <w:color w:val="auto"/>
        </w:rPr>
      </w:pPr>
    </w:p>
    <w:p>
      <w:pPr>
        <w:ind w:right="120" w:firstLine="1305"/>
        <w:spacing w:after="0" w:line="304" w:lineRule="auto"/>
        <w:tabs>
          <w:tab w:leader="none" w:pos="216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Each Agent may at any time give notice of its resignation to the Lenders, the L/C Issuers and the Lead Borrower. Upon receipt of any such notice of resignation, the Required Lenders shall have the right, in consultation with the Lead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(or such earlier day as shall be agreed by the Required Lenders) (the “</w:t>
      </w:r>
      <w:r>
        <w:rPr>
          <w:rFonts w:ascii="Arial" w:cs="Arial" w:eastAsia="Arial" w:hAnsi="Arial"/>
          <w:sz w:val="18"/>
          <w:szCs w:val="18"/>
          <w:u w:val="single" w:color="auto"/>
          <w:color w:val="auto"/>
        </w:rPr>
        <w:t>Resignation 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then the retiring Agent may (but shall not be obligated to) on behalf of the Lenders and the L/C Issuer, appoint a successor Agent meeting the qualifications set forth above, provided that in no event shall an such successor Agent be a Defaulting Lender. Whether or not a successor has been appointed, such resignation shall become effective in accordance with such notice on the Resignation Effective Date.</w:t>
      </w:r>
    </w:p>
    <w:p>
      <w:pPr>
        <w:spacing w:after="0" w:line="63" w:lineRule="exact"/>
        <w:rPr>
          <w:rFonts w:ascii="Arial" w:cs="Arial" w:eastAsia="Arial" w:hAnsi="Arial"/>
          <w:sz w:val="18"/>
          <w:szCs w:val="18"/>
          <w:color w:val="auto"/>
        </w:rPr>
      </w:pPr>
    </w:p>
    <w:p>
      <w:pPr>
        <w:ind w:right="260" w:firstLine="1305"/>
        <w:spacing w:after="0" w:line="278" w:lineRule="auto"/>
        <w:tabs>
          <w:tab w:leader="none" w:pos="2175" w:val="left"/>
        </w:tabs>
        <w:numPr>
          <w:ilvl w:val="0"/>
          <w:numId w:val="320"/>
        </w:numPr>
        <w:rPr>
          <w:rFonts w:ascii="Arial" w:cs="Arial" w:eastAsia="Arial" w:hAnsi="Arial"/>
          <w:sz w:val="20"/>
          <w:szCs w:val="20"/>
          <w:color w:val="auto"/>
        </w:rPr>
      </w:pPr>
      <w:r>
        <w:rPr>
          <w:rFonts w:ascii="Arial" w:cs="Arial" w:eastAsia="Arial" w:hAnsi="Arial"/>
          <w:sz w:val="20"/>
          <w:szCs w:val="20"/>
          <w:color w:val="auto"/>
        </w:rPr>
        <w:t>With effect from the Resignation Effective Date (1) the retiring Agent shall be discharged from its duties and obligations hereunder and under the other Loan Documents (except that in the case of any collateral security held by the Collateral Agent on behalf of the Lenders or the L/C Issuer</w:t>
      </w:r>
    </w:p>
    <w:p>
      <w:pPr>
        <w:spacing w:after="0" w:line="200" w:lineRule="exact"/>
        <w:rPr>
          <w:rFonts w:ascii="Arial" w:cs="Arial" w:eastAsia="Arial" w:hAnsi="Arial"/>
          <w:sz w:val="20"/>
          <w:szCs w:val="20"/>
          <w:color w:val="auto"/>
        </w:rPr>
      </w:pPr>
    </w:p>
    <w:p>
      <w:pPr>
        <w:spacing w:after="0" w:line="324" w:lineRule="exact"/>
        <w:rPr>
          <w:rFonts w:ascii="Arial" w:cs="Arial" w:eastAsia="Arial" w:hAnsi="Arial"/>
          <w:sz w:val="20"/>
          <w:szCs w:val="20"/>
          <w:color w:val="auto"/>
        </w:rPr>
      </w:pPr>
    </w:p>
    <w:p>
      <w:pPr>
        <w:ind w:left="5560" w:hanging="110"/>
        <w:spacing w:after="0"/>
        <w:tabs>
          <w:tab w:leader="none" w:pos="5560" w:val="left"/>
        </w:tabs>
        <w:numPr>
          <w:ilvl w:val="1"/>
          <w:numId w:val="320"/>
        </w:numPr>
        <w:rPr>
          <w:rFonts w:ascii="Arial" w:cs="Arial" w:eastAsia="Arial" w:hAnsi="Arial"/>
          <w:sz w:val="20"/>
          <w:szCs w:val="20"/>
          <w:color w:val="auto"/>
        </w:rPr>
      </w:pPr>
      <w:r>
        <w:rPr>
          <w:rFonts w:ascii="Arial" w:cs="Arial" w:eastAsia="Arial" w:hAnsi="Arial"/>
          <w:sz w:val="20"/>
          <w:szCs w:val="20"/>
          <w:color w:val="auto"/>
        </w:rPr>
        <w:t>156 -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352" w:name="page353"/>
    <w:bookmarkEnd w:id="352"/>
    <w:p>
      <w:pPr>
        <w:spacing w:after="0" w:line="270" w:lineRule="auto"/>
        <w:rPr>
          <w:sz w:val="20"/>
          <w:szCs w:val="20"/>
          <w:color w:val="auto"/>
        </w:rPr>
      </w:pPr>
      <w:r>
        <w:rPr>
          <w:rFonts w:ascii="Arial" w:cs="Arial" w:eastAsia="Arial" w:hAnsi="Arial"/>
          <w:sz w:val="18"/>
          <w:szCs w:val="18"/>
          <w:color w:val="auto"/>
        </w:rPr>
        <w:t>under any of the Loan Documents, the retiring Collateral Agent shall continue to hold as nominee such collateral security until such time as a successor Collateral Agent is appointed) and (2) except for any indemnity payments or other amounts then owed to the retiring Agent, all payments, communications and determinations provided to be made by, to or through the Agent shall instead be made by or to each Lender and the L/C Issuer directly, until such time, if any, as the Required Lenders appoint a successor Agent as provided for above in this Section 9.07. Upon the acceptance of a successor’s appointment as Agent hereunder, such successor shall succeed to and become vested with all of the rights, powers, privileges and duties of the retiring Agent (other than any rights to indemnity payments or other amounts owed to the retiring Agent as of the Resignation Effective Date), and the retiring Agent shall be discharged from all of its duties and obligations hereunder or under the other Loan Documents (if not already discharged therefrom as provided above in this Section 9.07). The fees payable by the Lead Borrower to a successor Agent shall be the same as those payable to its predecessor unless otherwise agreed between the Lead Borrower and such successor. After the retiring Agent’s resignation hereunder and under the other Loan Documents, the provisions of this Article shall continue in effect for the benefit of such retiring Agent, its sub-agents and their respective Related Parties in respect of any actions taken or omitted to be taken by any of them while the retiring Agent was acting as Agent.</w:t>
      </w:r>
    </w:p>
    <w:p>
      <w:pPr>
        <w:spacing w:after="0" w:line="82" w:lineRule="exact"/>
        <w:rPr>
          <w:sz w:val="20"/>
          <w:szCs w:val="20"/>
          <w:color w:val="auto"/>
        </w:rPr>
      </w:pPr>
    </w:p>
    <w:p>
      <w:pPr>
        <w:ind w:right="20" w:firstLine="1305"/>
        <w:spacing w:after="0" w:line="284" w:lineRule="auto"/>
        <w:tabs>
          <w:tab w:leader="none" w:pos="2164" w:val="left"/>
        </w:tabs>
        <w:numPr>
          <w:ilvl w:val="0"/>
          <w:numId w:val="321"/>
        </w:numPr>
        <w:rPr>
          <w:rFonts w:ascii="Arial" w:cs="Arial" w:eastAsia="Arial" w:hAnsi="Arial"/>
          <w:sz w:val="19"/>
          <w:szCs w:val="19"/>
          <w:color w:val="auto"/>
        </w:rPr>
      </w:pPr>
      <w:r>
        <w:rPr>
          <w:rFonts w:ascii="Arial" w:cs="Arial" w:eastAsia="Arial" w:hAnsi="Arial"/>
          <w:sz w:val="19"/>
          <w:szCs w:val="19"/>
          <w:color w:val="auto"/>
        </w:rPr>
        <w:t xml:space="preserve">Any resignation by Bank of America as Administrative Agent pursuant to this </w:t>
      </w:r>
      <w:r>
        <w:rPr>
          <w:rFonts w:ascii="Arial" w:cs="Arial" w:eastAsia="Arial" w:hAnsi="Arial"/>
          <w:sz w:val="19"/>
          <w:szCs w:val="19"/>
          <w:u w:val="single" w:color="auto"/>
          <w:color w:val="auto"/>
        </w:rPr>
        <w:t>Section 9.07</w:t>
      </w:r>
      <w:r>
        <w:rPr>
          <w:rFonts w:ascii="Arial" w:cs="Arial" w:eastAsia="Arial" w:hAnsi="Arial"/>
          <w:sz w:val="19"/>
          <w:szCs w:val="19"/>
          <w:color w:val="auto"/>
        </w:rPr>
        <w:t xml:space="preserve"> shall also constitute its resignation as the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9"/>
          <w:szCs w:val="19"/>
          <w:u w:val="single" w:color="auto"/>
          <w:color w:val="auto"/>
        </w:rPr>
        <w:t>Section 2.05(e)</w:t>
      </w:r>
      <w:r>
        <w:rPr>
          <w:rFonts w:ascii="Arial" w:cs="Arial" w:eastAsia="Arial" w:hAnsi="Arial"/>
          <w:sz w:val="19"/>
          <w:szCs w:val="19"/>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9"/>
          <w:szCs w:val="19"/>
          <w:u w:val="single" w:color="auto"/>
          <w:color w:val="auto"/>
        </w:rPr>
        <w:t>Section 2.01(c)</w:t>
      </w:r>
      <w:r>
        <w:rPr>
          <w:rFonts w:ascii="Arial" w:cs="Arial" w:eastAsia="Arial" w:hAnsi="Arial"/>
          <w:sz w:val="19"/>
          <w:szCs w:val="19"/>
          <w:color w:val="auto"/>
        </w:rPr>
        <w:t>. Upon the appointment by the Borrower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61" w:lineRule="exact"/>
        <w:rPr>
          <w:sz w:val="20"/>
          <w:szCs w:val="20"/>
          <w:color w:val="auto"/>
        </w:rPr>
      </w:pPr>
    </w:p>
    <w:p>
      <w:pPr>
        <w:ind w:right="20" w:firstLine="1297"/>
        <w:spacing w:after="0" w:line="243" w:lineRule="auto"/>
        <w:rPr>
          <w:sz w:val="20"/>
          <w:szCs w:val="20"/>
          <w:color w:val="auto"/>
        </w:rPr>
      </w:pPr>
      <w:r>
        <w:rPr>
          <w:rFonts w:ascii="Arial" w:cs="Arial" w:eastAsia="Arial" w:hAnsi="Arial"/>
          <w:sz w:val="20"/>
          <w:szCs w:val="20"/>
          <w:b w:val="1"/>
          <w:bCs w:val="1"/>
          <w:color w:val="auto"/>
        </w:rPr>
        <w:t xml:space="preserve">Section 9.08 </w:t>
      </w:r>
      <w:r>
        <w:rPr>
          <w:rFonts w:ascii="Arial" w:cs="Arial" w:eastAsia="Arial" w:hAnsi="Arial"/>
          <w:sz w:val="20"/>
          <w:szCs w:val="20"/>
          <w:u w:val="single" w:color="auto"/>
          <w:color w:val="auto"/>
        </w:rPr>
        <w:t>Non-Reliance on Agents and Other Lenders</w:t>
      </w:r>
      <w:r>
        <w:rPr>
          <w:rFonts w:ascii="Arial" w:cs="Arial" w:eastAsia="Arial" w:hAnsi="Arial"/>
          <w:sz w:val="20"/>
          <w:szCs w:val="20"/>
          <w:color w:val="auto"/>
        </w:rPr>
        <w:t>. Each Lender and L/C Issuer acknowledges that it has,</w:t>
      </w:r>
      <w:r>
        <w:rPr>
          <w:rFonts w:ascii="Arial" w:cs="Arial" w:eastAsia="Arial" w:hAnsi="Arial"/>
          <w:sz w:val="20"/>
          <w:szCs w:val="20"/>
          <w:b w:val="1"/>
          <w:bCs w:val="1"/>
          <w:color w:val="auto"/>
        </w:rPr>
        <w:t xml:space="preserve"> </w:t>
      </w:r>
      <w:r>
        <w:rPr>
          <w:rFonts w:ascii="Arial" w:cs="Arial" w:eastAsia="Arial" w:hAnsi="Arial"/>
          <w:sz w:val="20"/>
          <w:szCs w:val="20"/>
          <w:color w:val="auto"/>
        </w:rPr>
        <w:t>independently and without reliance upon any Agent Related Person or any other Lender or any of their Related Parties and based on such documents and information as it has deemed appropriate, made its own credit analysis and decision to enter into this Agreement. Each Lender further represents and warrants that it has reviewed the Pre-Commitment Information and each other document made available to it on the Platform in connection with this Agreement and has acknowledged and accepted the terms and conditions applicable to the recipients thereof and L/C Issuer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79" w:lineRule="exact"/>
        <w:rPr>
          <w:sz w:val="20"/>
          <w:szCs w:val="20"/>
          <w:color w:val="auto"/>
        </w:rPr>
      </w:pPr>
    </w:p>
    <w:p>
      <w:pPr>
        <w:ind w:right="60" w:firstLine="1297"/>
        <w:spacing w:after="0" w:line="267" w:lineRule="auto"/>
        <w:rPr>
          <w:sz w:val="20"/>
          <w:szCs w:val="20"/>
          <w:color w:val="auto"/>
        </w:rPr>
      </w:pPr>
      <w:r>
        <w:rPr>
          <w:rFonts w:ascii="Arial" w:cs="Arial" w:eastAsia="Arial" w:hAnsi="Arial"/>
          <w:sz w:val="20"/>
          <w:szCs w:val="20"/>
          <w:b w:val="1"/>
          <w:bCs w:val="1"/>
          <w:color w:val="auto"/>
        </w:rPr>
        <w:t xml:space="preserve">Section 9.09 </w:t>
      </w:r>
      <w:r>
        <w:rPr>
          <w:rFonts w:ascii="Arial" w:cs="Arial" w:eastAsia="Arial" w:hAnsi="Arial"/>
          <w:sz w:val="20"/>
          <w:szCs w:val="20"/>
          <w:u w:val="single" w:color="auto"/>
          <w:color w:val="auto"/>
        </w:rPr>
        <w:t>No Other Duties, etc</w:t>
      </w:r>
      <w:r>
        <w:rPr>
          <w:rFonts w:ascii="Arial" w:cs="Arial" w:eastAsia="Arial" w:hAnsi="Arial"/>
          <w:sz w:val="20"/>
          <w:szCs w:val="20"/>
          <w:color w:val="auto"/>
        </w:rPr>
        <w:t>. Anything herein to the contrary notwithstanding, none of the Agents, the Lead Arrangers,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Joint Bookrunners, the </w:t>
      </w:r>
      <w:r>
        <w:rPr>
          <w:rFonts w:ascii="Arial" w:cs="Arial" w:eastAsia="Arial" w:hAnsi="Arial"/>
          <w:sz w:val="20"/>
          <w:szCs w:val="20"/>
          <w:u w:val="single" w:color="auto"/>
          <w:color w:val="0000FF"/>
        </w:rPr>
        <w:t>Amendment No. 1 Arrangers, the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353" w:name="page354"/>
    <w:bookmarkEnd w:id="353"/>
    <w:p>
      <w:pPr>
        <w:spacing w:after="0" w:line="269" w:lineRule="auto"/>
        <w:rPr>
          <w:sz w:val="20"/>
          <w:szCs w:val="20"/>
          <w:color w:val="auto"/>
        </w:rPr>
      </w:pPr>
      <w:r>
        <w:rPr>
          <w:rFonts w:ascii="Arial" w:cs="Arial" w:eastAsia="Arial" w:hAnsi="Arial"/>
          <w:sz w:val="19"/>
          <w:szCs w:val="19"/>
          <w:u w:val="single" w:color="auto"/>
          <w:color w:val="0000FF"/>
        </w:rPr>
        <w:t>Co-Syndication Agents, the Co-Documentation Agents, the Amendment No. 1</w:t>
      </w:r>
      <w:r>
        <w:rPr>
          <w:rFonts w:ascii="Arial" w:cs="Arial" w:eastAsia="Arial" w:hAnsi="Arial"/>
          <w:sz w:val="19"/>
          <w:szCs w:val="19"/>
          <w:color w:val="0000FF"/>
        </w:rPr>
        <w:t xml:space="preserve"> </w:t>
      </w:r>
      <w:r>
        <w:rPr>
          <w:rFonts w:ascii="Arial" w:cs="Arial" w:eastAsia="Arial" w:hAnsi="Arial"/>
          <w:sz w:val="19"/>
          <w:szCs w:val="19"/>
          <w:color w:val="000000"/>
        </w:rPr>
        <w:t>Co-Syndication Agents or the</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Amendment No. 1</w:t>
      </w:r>
      <w:r>
        <w:rPr>
          <w:rFonts w:ascii="Arial" w:cs="Arial" w:eastAsia="Arial" w:hAnsi="Arial"/>
          <w:sz w:val="19"/>
          <w:szCs w:val="19"/>
          <w:color w:val="0000FF"/>
        </w:rPr>
        <w:t xml:space="preserve"> </w:t>
      </w:r>
      <w:r>
        <w:rPr>
          <w:rFonts w:ascii="Arial" w:cs="Arial" w:eastAsia="Arial" w:hAnsi="Arial"/>
          <w:sz w:val="19"/>
          <w:szCs w:val="19"/>
          <w:color w:val="000000"/>
        </w:rPr>
        <w:t>Co-Documentation Agents shall have any powers, duties or responsibilities under this Agreement or any of the other Loan Documents, except in its capacity, as applicable, as the Administrative Agent, the Collateral Agent, a Lender or L/C Issuer hereunder.</w:t>
      </w:r>
    </w:p>
    <w:p>
      <w:pPr>
        <w:spacing w:after="0" w:line="124" w:lineRule="exact"/>
        <w:rPr>
          <w:sz w:val="20"/>
          <w:szCs w:val="20"/>
          <w:color w:val="auto"/>
        </w:rPr>
      </w:pPr>
    </w:p>
    <w:p>
      <w:pPr>
        <w:ind w:firstLine="1297"/>
        <w:spacing w:after="0" w:line="262" w:lineRule="auto"/>
        <w:rPr>
          <w:sz w:val="20"/>
          <w:szCs w:val="20"/>
          <w:color w:val="auto"/>
        </w:rPr>
      </w:pPr>
      <w:r>
        <w:rPr>
          <w:rFonts w:ascii="Arial" w:cs="Arial" w:eastAsia="Arial" w:hAnsi="Arial"/>
          <w:sz w:val="19"/>
          <w:szCs w:val="19"/>
          <w:b w:val="1"/>
          <w:bCs w:val="1"/>
          <w:color w:val="auto"/>
        </w:rPr>
        <w:t xml:space="preserve">Section 9.10 </w:t>
      </w:r>
      <w:r>
        <w:rPr>
          <w:rFonts w:ascii="Arial" w:cs="Arial" w:eastAsia="Arial" w:hAnsi="Arial"/>
          <w:sz w:val="19"/>
          <w:szCs w:val="19"/>
          <w:u w:val="single" w:color="auto"/>
          <w:color w:val="auto"/>
        </w:rPr>
        <w:t>Administrative Agent May File Proofs of Claim; Credit Bidding</w:t>
      </w:r>
      <w:r>
        <w:rPr>
          <w:rFonts w:ascii="Arial" w:cs="Arial" w:eastAsia="Arial" w:hAnsi="Arial"/>
          <w:sz w:val="19"/>
          <w:szCs w:val="19"/>
          <w:color w:val="auto"/>
        </w:rPr>
        <w:t>. In case of the pendency of any receivership,</w:t>
      </w:r>
      <w:r>
        <w:rPr>
          <w:rFonts w:ascii="Arial" w:cs="Arial" w:eastAsia="Arial" w:hAnsi="Arial"/>
          <w:sz w:val="19"/>
          <w:szCs w:val="19"/>
          <w:b w:val="1"/>
          <w:bCs w:val="1"/>
          <w:color w:val="auto"/>
        </w:rPr>
        <w:t xml:space="preserve"> </w:t>
      </w:r>
      <w:r>
        <w:rPr>
          <w:rFonts w:ascii="Arial" w:cs="Arial" w:eastAsia="Arial" w:hAnsi="Arial"/>
          <w:sz w:val="19"/>
          <w:szCs w:val="19"/>
          <w:color w:val="auto"/>
        </w:rPr>
        <w:t>insolvency, examinership, liquidation, 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83" w:lineRule="exact"/>
        <w:rPr>
          <w:sz w:val="20"/>
          <w:szCs w:val="20"/>
          <w:color w:val="auto"/>
        </w:rPr>
      </w:pPr>
    </w:p>
    <w:p>
      <w:pPr>
        <w:ind w:left="660" w:firstLine="645"/>
        <w:spacing w:after="0" w:line="288" w:lineRule="auto"/>
        <w:tabs>
          <w:tab w:leader="none" w:pos="2143" w:val="left"/>
        </w:tabs>
        <w:numPr>
          <w:ilvl w:val="0"/>
          <w:numId w:val="322"/>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L/C Obligations and all other Senior Credit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10.04</w:t>
      </w:r>
      <w:r>
        <w:rPr>
          <w:rFonts w:ascii="Arial" w:cs="Arial" w:eastAsia="Arial" w:hAnsi="Arial"/>
          <w:sz w:val="19"/>
          <w:szCs w:val="19"/>
          <w:color w:val="auto"/>
        </w:rPr>
        <w:t>) allowed in such judicial proceeding;</w:t>
      </w:r>
    </w:p>
    <w:p>
      <w:pPr>
        <w:spacing w:after="0" w:line="74" w:lineRule="exact"/>
        <w:rPr>
          <w:rFonts w:ascii="Arial" w:cs="Arial" w:eastAsia="Arial" w:hAnsi="Arial"/>
          <w:sz w:val="19"/>
          <w:szCs w:val="19"/>
          <w:color w:val="auto"/>
        </w:rPr>
      </w:pPr>
    </w:p>
    <w:p>
      <w:pPr>
        <w:ind w:left="2200" w:hanging="895"/>
        <w:spacing w:after="0"/>
        <w:tabs>
          <w:tab w:leader="none" w:pos="22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same; and</w:t>
      </w:r>
    </w:p>
    <w:p>
      <w:pPr>
        <w:spacing w:after="0" w:line="134" w:lineRule="exact"/>
        <w:rPr>
          <w:rFonts w:ascii="Arial" w:cs="Arial" w:eastAsia="Arial" w:hAnsi="Arial"/>
          <w:sz w:val="18"/>
          <w:szCs w:val="18"/>
          <w:color w:val="auto"/>
        </w:rPr>
      </w:pPr>
    </w:p>
    <w:p>
      <w:pPr>
        <w:ind w:left="660" w:right="40" w:firstLine="645"/>
        <w:spacing w:after="0" w:line="310" w:lineRule="auto"/>
        <w:tabs>
          <w:tab w:leader="none" w:pos="2253"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and any custodian, receiver, examiner, assignee, trustee, liquidator, sequestrator or other similar official in any such judicial proceeding is hereby authorized by each Lender and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w:t>
      </w:r>
    </w:p>
    <w:p>
      <w:pPr>
        <w:spacing w:after="0" w:line="41" w:lineRule="exact"/>
        <w:rPr>
          <w:sz w:val="20"/>
          <w:szCs w:val="20"/>
          <w:color w:val="auto"/>
        </w:rPr>
      </w:pPr>
    </w:p>
    <w:p>
      <w:pPr>
        <w:ind w:right="40" w:firstLine="1297"/>
        <w:spacing w:after="0" w:line="246" w:lineRule="auto"/>
        <w:rPr>
          <w:sz w:val="20"/>
          <w:szCs w:val="20"/>
          <w:color w:val="auto"/>
        </w:rPr>
      </w:pPr>
      <w:r>
        <w:rPr>
          <w:rFonts w:ascii="Arial" w:cs="Arial" w:eastAsia="Arial" w:hAnsi="Arial"/>
          <w:sz w:val="20"/>
          <w:szCs w:val="20"/>
          <w:color w:val="auto"/>
        </w:rPr>
        <w:t>Nothing contained herein shall be deemed to authorize the Administrative Agent to authorize or consent to or accept or adopt on behalf of any Lender or L/C Issuer any plan of reorganization, arrangement, adjustment or composition affecting the Senior Credit Obligations or the rights of any Lender or L/C Issuer to authorize the Administrative Agent to vote in respect of the claim of any Lender or L/C Issuer or in any such proceeding.</w:t>
      </w:r>
    </w:p>
    <w:p>
      <w:pPr>
        <w:spacing w:after="0" w:line="83" w:lineRule="exact"/>
        <w:rPr>
          <w:sz w:val="20"/>
          <w:szCs w:val="20"/>
          <w:color w:val="auto"/>
        </w:rPr>
      </w:pPr>
    </w:p>
    <w:p>
      <w:pPr>
        <w:ind w:right="80" w:firstLine="1297"/>
        <w:spacing w:after="0" w:line="272" w:lineRule="auto"/>
        <w:rPr>
          <w:sz w:val="20"/>
          <w:szCs w:val="20"/>
          <w:color w:val="auto"/>
        </w:rPr>
      </w:pPr>
      <w:r>
        <w:rPr>
          <w:rFonts w:ascii="Arial" w:cs="Arial" w:eastAsia="Arial" w:hAnsi="Arial"/>
          <w:sz w:val="18"/>
          <w:szCs w:val="18"/>
          <w:color w:val="auto"/>
        </w:rPr>
        <w:t>The Finance Parties hereby irrevocably authorize the Administrative Agent, at the direction of the Required Lenders, to credit bid all or any portion of the Obligations (including accepting some or all of the Collateral in satisfaction of some or all of the Finance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or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Finance Obligations owed to the Finance Parties shall be entitled to be, and shall be, credit bid on a ratable basis (with Finance Obligations with respect to contingent or unliquidated claims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354" w:name="page355"/>
    <w:bookmarkEnd w:id="354"/>
    <w:p>
      <w:pPr>
        <w:spacing w:after="0" w:line="269" w:lineRule="auto"/>
        <w:rPr>
          <w:sz w:val="20"/>
          <w:szCs w:val="20"/>
          <w:color w:val="auto"/>
        </w:rPr>
      </w:pPr>
      <w:r>
        <w:rPr>
          <w:rFonts w:ascii="Arial" w:cs="Arial" w:eastAsia="Arial" w:hAnsi="Arial"/>
          <w:sz w:val="18"/>
          <w:szCs w:val="18"/>
          <w:color w:val="auto"/>
        </w:rPr>
        <w:t xml:space="preserve">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(b)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of this Agreement, (iii) the Administrative Agent shall be authorized to assign the relevant Finance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Finance Party or acquisition vehicle to take any further action, and (iv) to the extent that Finance Obligations that are assigned to an acquisition vehicle are not used to acquire Collateral for any reason (as a result of another bid being higher or better, because the amount of Finance Obligations assigned to the acquisition vehicle exceeds the amount of debt credit bid by the acquisition vehicle or otherwise), such Finance Obligations shall automatically be reassigned to the Lenders pro rata and the Equity Interests and/or debt instruments issued by any acquisition vehicle on account of the Finance Obligations that had been assigned to the acquisition vehicle shall automatically be cancelled, without the need for any Finance Party or any acquisition vehicle to take any further action.</w:t>
      </w:r>
    </w:p>
    <w:p>
      <w:pPr>
        <w:spacing w:after="0" w:line="169" w:lineRule="exact"/>
        <w:rPr>
          <w:sz w:val="20"/>
          <w:szCs w:val="20"/>
          <w:color w:val="auto"/>
        </w:rPr>
      </w:pPr>
    </w:p>
    <w:p>
      <w:pPr>
        <w:ind w:right="60" w:firstLine="1297"/>
        <w:spacing w:after="0" w:line="253" w:lineRule="auto"/>
        <w:rPr>
          <w:sz w:val="20"/>
          <w:szCs w:val="20"/>
          <w:color w:val="auto"/>
        </w:rPr>
      </w:pPr>
      <w:r>
        <w:rPr>
          <w:rFonts w:ascii="Arial" w:cs="Arial" w:eastAsia="Arial" w:hAnsi="Arial"/>
          <w:sz w:val="20"/>
          <w:szCs w:val="20"/>
          <w:b w:val="1"/>
          <w:bCs w:val="1"/>
          <w:color w:val="auto"/>
        </w:rPr>
        <w:t xml:space="preserve">Section 9.11 </w:t>
      </w:r>
      <w:r>
        <w:rPr>
          <w:rFonts w:ascii="Arial" w:cs="Arial" w:eastAsia="Arial" w:hAnsi="Arial"/>
          <w:sz w:val="20"/>
          <w:szCs w:val="20"/>
          <w:u w:val="single" w:color="auto"/>
          <w:color w:val="auto"/>
        </w:rPr>
        <w:t>Collateral and Guaranty Matters</w:t>
      </w:r>
      <w:r>
        <w:rPr>
          <w:rFonts w:ascii="Arial" w:cs="Arial" w:eastAsia="Arial" w:hAnsi="Arial"/>
          <w:sz w:val="20"/>
          <w:szCs w:val="20"/>
          <w:color w:val="auto"/>
        </w:rPr>
        <w:t>. Without limiting the provision of Section 9.10, each of the Lenders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in its capacities as a potential Cash Management Bank and a potential Swap Creditor) and the L/C Issuer irrevocably authorize the Administrative Agent and Collateral Agent, at its option and in its discretion,</w:t>
      </w:r>
    </w:p>
    <w:p>
      <w:pPr>
        <w:spacing w:after="0" w:line="157" w:lineRule="exact"/>
        <w:rPr>
          <w:sz w:val="20"/>
          <w:szCs w:val="20"/>
          <w:color w:val="auto"/>
        </w:rPr>
      </w:pPr>
    </w:p>
    <w:p>
      <w:pPr>
        <w:ind w:right="40" w:firstLine="1305"/>
        <w:spacing w:after="0" w:line="303" w:lineRule="auto"/>
        <w:tabs>
          <w:tab w:leader="none" w:pos="2132"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to release any Lien on any property granted to or held by the Administrative Agent and Collateral Agent under any Finance Document (A) upon Discharge of Senior Credit Obligations (other than (x) contingent indemnification obligations and (y) obligations and liabilities under Cash Management Agreements and Swap Agreements as to which arrangements satisfactory to the applicable Cash Management Bank or Swap Creditor shall have been made) and the expiration or termination of all Letters of Credit (other than Letters of Credit as to which other arrangements satisfactory to the Administrative Agent and the L/C Issuer shall have been made), (B) that is sold, transferred, disposed or to be sold, transferred or disposed as part of or in connection with any Disposition (other than any sale to a Loan Party)permitted hereunder or under any other Loan Document or otherwise becomes an Excluded Asset, or (C) subject to </w:t>
      </w:r>
      <w:r>
        <w:rPr>
          <w:rFonts w:ascii="Arial" w:cs="Arial" w:eastAsia="Arial" w:hAnsi="Arial"/>
          <w:sz w:val="18"/>
          <w:szCs w:val="18"/>
          <w:u w:val="single" w:color="auto"/>
          <w:color w:val="auto"/>
        </w:rPr>
        <w:t>Section 10.01</w:t>
      </w:r>
      <w:r>
        <w:rPr>
          <w:rFonts w:ascii="Arial" w:cs="Arial" w:eastAsia="Arial" w:hAnsi="Arial"/>
          <w:sz w:val="18"/>
          <w:szCs w:val="18"/>
          <w:color w:val="auto"/>
        </w:rPr>
        <w:t>, if approved, authorized or ratified in writing by the Required Lenders or (D) to the extent such property is owned by a Guarantor upon the release of such Guarantor from its obligations under its Guarantee pursuant to clause (iii) below;</w:t>
      </w:r>
    </w:p>
    <w:p>
      <w:pPr>
        <w:spacing w:after="0" w:line="133" w:lineRule="exact"/>
        <w:rPr>
          <w:rFonts w:ascii="Arial" w:cs="Arial" w:eastAsia="Arial" w:hAnsi="Arial"/>
          <w:sz w:val="18"/>
          <w:szCs w:val="18"/>
          <w:color w:val="auto"/>
        </w:rPr>
      </w:pPr>
    </w:p>
    <w:p>
      <w:pPr>
        <w:ind w:right="400" w:firstLine="1305"/>
        <w:spacing w:after="0" w:line="278" w:lineRule="auto"/>
        <w:tabs>
          <w:tab w:leader="none" w:pos="2186" w:val="left"/>
        </w:tabs>
        <w:numPr>
          <w:ilvl w:val="0"/>
          <w:numId w:val="323"/>
        </w:numPr>
        <w:rPr>
          <w:rFonts w:ascii="Arial" w:cs="Arial" w:eastAsia="Arial" w:hAnsi="Arial"/>
          <w:sz w:val="20"/>
          <w:szCs w:val="20"/>
          <w:color w:val="auto"/>
        </w:rPr>
      </w:pPr>
      <w:r>
        <w:rPr>
          <w:rFonts w:ascii="Arial" w:cs="Arial" w:eastAsia="Arial" w:hAnsi="Arial"/>
          <w:sz w:val="20"/>
          <w:szCs w:val="20"/>
          <w:color w:val="auto"/>
        </w:rPr>
        <w:t xml:space="preserve">to subordinate any Lien on any property granted to or held by the Administrative Agent or the Collateral Agent under any Loan Document to the holder of any Lien on such property that is permitted by clause (c) or (d) of the definition of Permitted Encumbrances or clause (d), (e), (m), (n) or (o) of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46" w:lineRule="exact"/>
        <w:rPr>
          <w:rFonts w:ascii="Arial" w:cs="Arial" w:eastAsia="Arial" w:hAnsi="Arial"/>
          <w:sz w:val="20"/>
          <w:szCs w:val="20"/>
          <w:color w:val="auto"/>
        </w:rPr>
      </w:pPr>
    </w:p>
    <w:p>
      <w:pPr>
        <w:ind w:right="800" w:firstLine="1305"/>
        <w:spacing w:after="0" w:line="289" w:lineRule="auto"/>
        <w:tabs>
          <w:tab w:leader="none" w:pos="2241" w:val="left"/>
        </w:tabs>
        <w:numPr>
          <w:ilvl w:val="0"/>
          <w:numId w:val="323"/>
        </w:numPr>
        <w:rPr>
          <w:rFonts w:ascii="Arial" w:cs="Arial" w:eastAsia="Arial" w:hAnsi="Arial"/>
          <w:sz w:val="20"/>
          <w:szCs w:val="20"/>
          <w:color w:val="auto"/>
        </w:rPr>
      </w:pPr>
      <w:r>
        <w:rPr>
          <w:rFonts w:ascii="Arial" w:cs="Arial" w:eastAsia="Arial" w:hAnsi="Arial"/>
          <w:sz w:val="20"/>
          <w:szCs w:val="20"/>
          <w:color w:val="auto"/>
        </w:rPr>
        <w:t>to release any Guarantor from its obligations under the Guaranty Agreement if such Person ceases to be a Restricted Subsidiary or becomes an Excluded Subsidiary as a result of a</w:t>
      </w: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p>
      <w:pPr>
        <w:ind w:left="5560" w:hanging="110"/>
        <w:spacing w:after="0"/>
        <w:tabs>
          <w:tab w:leader="none" w:pos="5560" w:val="left"/>
        </w:tabs>
        <w:numPr>
          <w:ilvl w:val="1"/>
          <w:numId w:val="323"/>
        </w:numPr>
        <w:rPr>
          <w:rFonts w:ascii="Arial" w:cs="Arial" w:eastAsia="Arial" w:hAnsi="Arial"/>
          <w:sz w:val="20"/>
          <w:szCs w:val="20"/>
          <w:color w:val="auto"/>
        </w:rPr>
      </w:pPr>
      <w:r>
        <w:rPr>
          <w:rFonts w:ascii="Arial" w:cs="Arial" w:eastAsia="Arial" w:hAnsi="Arial"/>
          <w:sz w:val="20"/>
          <w:szCs w:val="20"/>
          <w:color w:val="auto"/>
        </w:rPr>
        <w:t>159 -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355" w:name="page356"/>
    <w:bookmarkEnd w:id="355"/>
    <w:p>
      <w:pPr>
        <w:spacing w:after="0"/>
        <w:rPr>
          <w:sz w:val="20"/>
          <w:szCs w:val="20"/>
          <w:color w:val="auto"/>
        </w:rPr>
      </w:pPr>
      <w:r>
        <w:rPr>
          <w:rFonts w:ascii="Arial" w:cs="Arial" w:eastAsia="Arial" w:hAnsi="Arial"/>
          <w:sz w:val="19"/>
          <w:szCs w:val="19"/>
          <w:color w:val="auto"/>
        </w:rPr>
        <w:t xml:space="preserve">transaction permitted under the Loan Documents (or designation as an Unrestricted Subsidiary in accordance with </w:t>
      </w:r>
      <w:r>
        <w:rPr>
          <w:rFonts w:ascii="Arial" w:cs="Arial" w:eastAsia="Arial" w:hAnsi="Arial"/>
          <w:sz w:val="19"/>
          <w:szCs w:val="19"/>
          <w:u w:val="single" w:color="auto"/>
          <w:color w:val="auto"/>
        </w:rPr>
        <w:t>Section 6.10</w:t>
      </w:r>
      <w:r>
        <w:rPr>
          <w:rFonts w:ascii="Arial" w:cs="Arial" w:eastAsia="Arial" w:hAnsi="Arial"/>
          <w:sz w:val="19"/>
          <w:szCs w:val="19"/>
          <w:color w:val="auto"/>
        </w:rPr>
        <w:t>); and</w:t>
      </w:r>
    </w:p>
    <w:p>
      <w:pPr>
        <w:spacing w:after="0" w:line="200" w:lineRule="exact"/>
        <w:rPr>
          <w:sz w:val="20"/>
          <w:szCs w:val="20"/>
          <w:color w:val="auto"/>
        </w:rPr>
      </w:pPr>
    </w:p>
    <w:p>
      <w:pPr>
        <w:ind w:right="560" w:firstLine="1305"/>
        <w:spacing w:after="0" w:line="289" w:lineRule="auto"/>
        <w:tabs>
          <w:tab w:leader="none" w:pos="2231" w:val="left"/>
        </w:tabs>
        <w:numPr>
          <w:ilvl w:val="0"/>
          <w:numId w:val="324"/>
        </w:numPr>
        <w:rPr>
          <w:rFonts w:ascii="Arial" w:cs="Arial" w:eastAsia="Arial" w:hAnsi="Arial"/>
          <w:sz w:val="20"/>
          <w:szCs w:val="20"/>
          <w:color w:val="auto"/>
        </w:rPr>
      </w:pPr>
      <w:r>
        <w:rPr>
          <w:rFonts w:ascii="Arial" w:cs="Arial" w:eastAsia="Arial" w:hAnsi="Arial"/>
          <w:sz w:val="20"/>
          <w:szCs w:val="20"/>
          <w:color w:val="auto"/>
        </w:rPr>
        <w:t>to enter into non-disturbance and similar agreements in connection with the licensing of intellectual property permitted pursuant to the terms of this Agreement.</w:t>
      </w:r>
    </w:p>
    <w:p>
      <w:pPr>
        <w:spacing w:after="0" w:line="121" w:lineRule="exact"/>
        <w:rPr>
          <w:sz w:val="20"/>
          <w:szCs w:val="20"/>
          <w:color w:val="auto"/>
        </w:rPr>
      </w:pPr>
    </w:p>
    <w:p>
      <w:pPr>
        <w:ind w:right="80" w:firstLine="1297"/>
        <w:spacing w:after="0" w:line="256" w:lineRule="auto"/>
        <w:rPr>
          <w:sz w:val="20"/>
          <w:szCs w:val="20"/>
          <w:color w:val="auto"/>
        </w:rPr>
      </w:pPr>
      <w:r>
        <w:rPr>
          <w:rFonts w:ascii="Arial" w:cs="Arial" w:eastAsia="Arial" w:hAnsi="Arial"/>
          <w:sz w:val="19"/>
          <w:szCs w:val="19"/>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Agreement pursuant to this </w:t>
      </w:r>
      <w:r>
        <w:rPr>
          <w:rFonts w:ascii="Arial" w:cs="Arial" w:eastAsia="Arial" w:hAnsi="Arial"/>
          <w:sz w:val="19"/>
          <w:szCs w:val="19"/>
          <w:u w:val="single" w:color="auto"/>
          <w:color w:val="auto"/>
        </w:rPr>
        <w:t>Section 9.11</w:t>
      </w:r>
      <w:r>
        <w:rPr>
          <w:rFonts w:ascii="Arial" w:cs="Arial" w:eastAsia="Arial" w:hAnsi="Arial"/>
          <w:sz w:val="19"/>
          <w:szCs w:val="19"/>
          <w:color w:val="auto"/>
        </w:rPr>
        <w:t xml:space="preserve">. In each case as specified in this </w:t>
      </w:r>
      <w:r>
        <w:rPr>
          <w:rFonts w:ascii="Arial" w:cs="Arial" w:eastAsia="Arial" w:hAnsi="Arial"/>
          <w:sz w:val="19"/>
          <w:szCs w:val="19"/>
          <w:u w:val="single" w:color="auto"/>
          <w:color w:val="auto"/>
        </w:rPr>
        <w:t>Section 9.11</w:t>
      </w:r>
      <w:r>
        <w:rPr>
          <w:rFonts w:ascii="Arial" w:cs="Arial" w:eastAsia="Arial" w:hAnsi="Arial"/>
          <w:sz w:val="19"/>
          <w:szCs w:val="19"/>
          <w:color w:val="auto"/>
        </w:rPr>
        <w:t xml:space="preserve">, the applicable Agent will (and each Lender irrevocably authorizes the applicable Agent to), at the Lead Borrower’s expense, execute and deliver to the applicable Loan Party such documents as such Loan Party may reasonably request (i) to evidence the release or subordination of such item of Collateral from the assignment and security interest granted under the Collateral Documents, (ii) to enter into non-disturbance or similar agreements in connection with the licensing of intellectual property or (iii) to evidence the release of such Guarantor from its obligations under the Guaranty Agreement, in each case in accordance with the terms of the Loan Documents and this </w:t>
      </w:r>
      <w:r>
        <w:rPr>
          <w:rFonts w:ascii="Arial" w:cs="Arial" w:eastAsia="Arial" w:hAnsi="Arial"/>
          <w:sz w:val="19"/>
          <w:szCs w:val="19"/>
          <w:u w:val="single" w:color="auto"/>
          <w:color w:val="auto"/>
        </w:rPr>
        <w:t>Section 9.11</w:t>
      </w:r>
      <w:r>
        <w:rPr>
          <w:rFonts w:ascii="Arial" w:cs="Arial" w:eastAsia="Arial" w:hAnsi="Arial"/>
          <w:sz w:val="19"/>
          <w:szCs w:val="19"/>
          <w:color w:val="auto"/>
        </w:rPr>
        <w:t xml:space="preserve"> and in form and substance reasonably acceptable to such Agent.</w:t>
      </w:r>
    </w:p>
    <w:p>
      <w:pPr>
        <w:spacing w:after="0" w:line="144" w:lineRule="exact"/>
        <w:rPr>
          <w:sz w:val="20"/>
          <w:szCs w:val="20"/>
          <w:color w:val="auto"/>
        </w:rPr>
      </w:pPr>
    </w:p>
    <w:p>
      <w:pPr>
        <w:ind w:firstLine="1297"/>
        <w:spacing w:after="0" w:line="246" w:lineRule="auto"/>
        <w:rPr>
          <w:sz w:val="20"/>
          <w:szCs w:val="20"/>
          <w:color w:val="auto"/>
        </w:rPr>
      </w:pPr>
      <w:r>
        <w:rPr>
          <w:rFonts w:ascii="Arial" w:cs="Arial" w:eastAsia="Arial" w:hAnsi="Arial"/>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45" w:lineRule="exact"/>
        <w:rPr>
          <w:sz w:val="20"/>
          <w:szCs w:val="20"/>
          <w:color w:val="auto"/>
        </w:rPr>
      </w:pPr>
    </w:p>
    <w:p>
      <w:pPr>
        <w:ind w:firstLine="1297"/>
        <w:spacing w:after="0" w:line="269" w:lineRule="auto"/>
        <w:rPr>
          <w:sz w:val="20"/>
          <w:szCs w:val="20"/>
          <w:color w:val="auto"/>
        </w:rPr>
      </w:pPr>
      <w:r>
        <w:rPr>
          <w:rFonts w:ascii="Arial" w:cs="Arial" w:eastAsia="Arial" w:hAnsi="Arial"/>
          <w:sz w:val="18"/>
          <w:szCs w:val="18"/>
          <w:b w:val="1"/>
          <w:bCs w:val="1"/>
          <w:color w:val="auto"/>
        </w:rPr>
        <w:t xml:space="preserve">Section 9.12 </w:t>
      </w:r>
      <w:r>
        <w:rPr>
          <w:rFonts w:ascii="Arial" w:cs="Arial" w:eastAsia="Arial" w:hAnsi="Arial"/>
          <w:sz w:val="18"/>
          <w:szCs w:val="18"/>
          <w:u w:val="single" w:color="auto"/>
          <w:color w:val="auto"/>
        </w:rPr>
        <w:t>Related Obligations</w:t>
      </w:r>
      <w:r>
        <w:rPr>
          <w:rFonts w:ascii="Arial" w:cs="Arial" w:eastAsia="Arial" w:hAnsi="Arial"/>
          <w:sz w:val="18"/>
          <w:szCs w:val="18"/>
          <w:color w:val="auto"/>
        </w:rPr>
        <w:t>. The benefit of the Loan Documents and of the provisions of this Agreement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shall extend to and be available in respect of any Swap Obligations and Cash Management Obligations permitted hereunder from time to time owing to one or more Affiliates of one or more Lenders or owing to one or more Swap Creditors or Cash Management Banks (collectively, “</w:t>
      </w:r>
      <w:r>
        <w:rPr>
          <w:rFonts w:ascii="Arial" w:cs="Arial" w:eastAsia="Arial" w:hAnsi="Arial"/>
          <w:sz w:val="18"/>
          <w:szCs w:val="18"/>
          <w:u w:val="single" w:color="auto"/>
          <w:color w:val="auto"/>
        </w:rPr>
        <w:t>Related Obligations</w:t>
      </w:r>
      <w:r>
        <w:rPr>
          <w:rFonts w:ascii="Arial" w:cs="Arial" w:eastAsia="Arial" w:hAnsi="Arial"/>
          <w:sz w:val="18"/>
          <w:szCs w:val="18"/>
          <w:color w:val="auto"/>
        </w:rPr>
        <w:t>”) solely on the condition and understanding, as among the Collateral Agent and all Finance Parties, that (i) the Related Obligations shall be entitled to the benefit of the Loan Documents and the Collateral to the extent expressly set forth in this Agreement and the other Loan Documents and to such extent the Administrative Agent and the Collateral Agent shall hold, and have the right and power to act with respect to, the Guaranty Agreement and the Collateral on behalf of and as agent for the holders of the Related Obligations, but the Administrative Agent and the Collateral Agent are otherwise acting solely as agent for the Lenders and the L/C Issuer and shall have no fiduciary duty, duty of loyalty, duty of care, duty of disclosure or other obligation whatsoever to any holder of Related Obligations, (ii) all matters, acts and omissions relating in any manner to the Guaranty Agreement, the Collateral, or the omission, creation, perfection, priority, abandonment or release of any Lien, shall be governed solely by the provisions of this Agreement and the other Loan Documents and no separate Lien, right, power or remedy shall arise or exist in favor of any Finance Party under any separate instrument or agreement or in respect of any Related Obligation, (iii) each Finance Party shall be bound by all actions taken or omitted, in accordance with the provisions of this Agreement and the other Loan Documents, by the Administrative Agent, the Collateral Agent and the Required Lenders, as applicable, each of whom shall be entitled to act at its sole discretion and exclusively in its own interest given its own Commitments and its own interest in the Loans, L/C Obligations and other Senior Credit Obligations to it arising under this Agreement or the other Loan Documents, without any duty or liability to any Swap Creditor or Cash Management Bank or as to any Related Obligation and without regard to whether any Related Obligation remains outstanding or is deprived of the benefit of the Collateral or becomes unsecured or is otherwise affected or put in jeopardy thereby and (iv) no holder of Related Obligations and no other Finance Party (except the Lenders to the</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356" w:name="page357"/>
    <w:bookmarkEnd w:id="356"/>
    <w:p>
      <w:pPr>
        <w:ind w:right="40"/>
        <w:spacing w:after="0" w:line="242" w:lineRule="auto"/>
        <w:rPr>
          <w:sz w:val="20"/>
          <w:szCs w:val="20"/>
          <w:color w:val="auto"/>
        </w:rPr>
      </w:pPr>
      <w:r>
        <w:rPr>
          <w:rFonts w:ascii="Arial" w:cs="Arial" w:eastAsia="Arial" w:hAnsi="Arial"/>
          <w:sz w:val="20"/>
          <w:szCs w:val="20"/>
          <w:color w:val="auto"/>
        </w:rPr>
        <w:t>extent set forth in this Agreement) shall have any right to be notified of, or to direct, require or be heard with respect to, or to consent to, any action taken or omitted in respect of the Collateral or under this Agreement or the Loan Documents (including the release or impairment of any Collateral) other than in its capacity as a Lender and, in such case, only to the extent expressly provided in the Loan Documents</w:t>
      </w:r>
      <w:r>
        <w:rPr>
          <w:rFonts w:ascii="Arial" w:cs="Arial" w:eastAsia="Arial" w:hAnsi="Arial"/>
          <w:sz w:val="20"/>
          <w:szCs w:val="20"/>
          <w:color w:val="FF0000"/>
        </w:rPr>
        <w:t>.</w:t>
      </w:r>
      <w:r>
        <w:rPr>
          <w:rFonts w:ascii="Arial" w:cs="Arial" w:eastAsia="Arial" w:hAnsi="Arial"/>
          <w:sz w:val="20"/>
          <w:szCs w:val="20"/>
          <w:color w:val="auto"/>
        </w:rPr>
        <w:t xml:space="preserve"> Notwithstanding any other provision of this Article IX to the contrary, the Administrative Agent and Collateral Agent shall not be required to verify the payment of, or that other satisfactory arrangements have been made with respect to, Obligations arising under Cash Management Agreements and Swap Agreements unless the Administrative Agent and/or Collateral Agent has received written notice of such Finance Obligations, together with such supporting documentation as the Administrative Agent may request, from the applicable Cash Management Bank or Swap Creditor, as the case may be.</w:t>
      </w:r>
    </w:p>
    <w:p>
      <w:pPr>
        <w:spacing w:after="0" w:line="151" w:lineRule="exact"/>
        <w:rPr>
          <w:sz w:val="20"/>
          <w:szCs w:val="20"/>
          <w:color w:val="auto"/>
        </w:rPr>
      </w:pPr>
    </w:p>
    <w:p>
      <w:pPr>
        <w:ind w:firstLine="1297"/>
        <w:spacing w:after="0" w:line="270" w:lineRule="auto"/>
        <w:rPr>
          <w:sz w:val="20"/>
          <w:szCs w:val="20"/>
          <w:color w:val="auto"/>
        </w:rPr>
      </w:pPr>
      <w:r>
        <w:rPr>
          <w:rFonts w:ascii="Arial" w:cs="Arial" w:eastAsia="Arial" w:hAnsi="Arial"/>
          <w:sz w:val="18"/>
          <w:szCs w:val="18"/>
          <w:b w:val="1"/>
          <w:bCs w:val="1"/>
          <w:color w:val="auto"/>
        </w:rPr>
        <w:t xml:space="preserve">Section 9.13 </w:t>
      </w:r>
      <w:r>
        <w:rPr>
          <w:rFonts w:ascii="Arial" w:cs="Arial" w:eastAsia="Arial" w:hAnsi="Arial"/>
          <w:sz w:val="18"/>
          <w:szCs w:val="18"/>
          <w:u w:val="single" w:color="auto"/>
          <w:color w:val="auto"/>
        </w:rPr>
        <w:t>Withholding Tax</w:t>
      </w:r>
      <w:r>
        <w:rPr>
          <w:rFonts w:ascii="Arial" w:cs="Arial" w:eastAsia="Arial" w:hAnsi="Arial"/>
          <w:sz w:val="18"/>
          <w:szCs w:val="18"/>
          <w:color w:val="auto"/>
        </w:rPr>
        <w:t>. To the extent required by any applicable law, the Administrative Agent may deduct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withhold from any payment to any Lender Party an amount equivalent to any applicable withholding Tax. Without limiting or expanding the provisions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each Lender Party shall indemnify and hold harmless the Administrative Agent against, within 10 days after written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any Lender Party for any reason (including, without limitation, because the appropriate form was not delivered or not properly executed, or because such Lender Party failed to notify the Administrative Agent of a change in circumstances that rendered the exemption from, or reduction of, withholding Tax ineffective, whether or not such Tax was correctly or legally imposed or asserted by the relevant Governmental Authority). A certificate as to the amount of such payment or liability delivered to any Lender Party by the Administrative Agent shall be conclusive absent manifest error. Each Lender Party hereby authorizes the Administrative Agent to set off and apply any and all amounts at any time owing to such Lender Party under this Agreement or any other Loan Document against any amount due to the Administrative Agent under this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The agreements in this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shall survive the resignation and/or replacement of the Administrative Agent, any assignment of rights by, or the replacement of, a Lender Party, the termination of the Agreement or Commitments and the repayment, satisfaction or discharge of all other obligations.</w:t>
      </w:r>
    </w:p>
    <w:p>
      <w:pPr>
        <w:spacing w:after="0" w:line="127"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0"/>
          <w:szCs w:val="20"/>
          <w:b w:val="1"/>
          <w:bCs w:val="1"/>
          <w:color w:val="auto"/>
        </w:rPr>
        <w:t>Section 9.14</w:t>
      </w:r>
      <w:r>
        <w:rPr>
          <w:sz w:val="20"/>
          <w:szCs w:val="20"/>
          <w:color w:val="auto"/>
        </w:rPr>
        <w:tab/>
      </w:r>
      <w:r>
        <w:rPr>
          <w:rFonts w:ascii="Arial" w:cs="Arial" w:eastAsia="Arial" w:hAnsi="Arial"/>
          <w:sz w:val="18"/>
          <w:szCs w:val="18"/>
          <w:u w:val="single" w:color="auto"/>
          <w:color w:val="auto"/>
        </w:rPr>
        <w:t>Role of the Administrative Agent and Collateral Agent in connection with the Italian Collateral Documents</w:t>
      </w:r>
      <w:r>
        <w:rPr>
          <w:rFonts w:ascii="Arial" w:cs="Arial" w:eastAsia="Arial" w:hAnsi="Arial"/>
          <w:sz w:val="18"/>
          <w:szCs w:val="18"/>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Each of the Finance Parties hereby:</w:t>
      </w:r>
    </w:p>
    <w:p>
      <w:pPr>
        <w:spacing w:after="0" w:line="173" w:lineRule="exact"/>
        <w:rPr>
          <w:sz w:val="20"/>
          <w:szCs w:val="20"/>
          <w:color w:val="auto"/>
        </w:rPr>
      </w:pPr>
    </w:p>
    <w:p>
      <w:pPr>
        <w:jc w:val="both"/>
        <w:ind w:right="140" w:firstLine="1305"/>
        <w:spacing w:after="0" w:line="299" w:lineRule="auto"/>
        <w:tabs>
          <w:tab w:leader="none" w:pos="2164" w:val="left"/>
        </w:tabs>
        <w:numPr>
          <w:ilvl w:val="0"/>
          <w:numId w:val="325"/>
        </w:numPr>
        <w:rPr>
          <w:rFonts w:ascii="Arial" w:cs="Arial" w:eastAsia="Arial" w:hAnsi="Arial"/>
          <w:sz w:val="19"/>
          <w:szCs w:val="19"/>
          <w:color w:val="auto"/>
        </w:rPr>
      </w:pPr>
      <w:r>
        <w:rPr>
          <w:rFonts w:ascii="Arial" w:cs="Arial" w:eastAsia="Arial" w:hAnsi="Arial"/>
          <w:sz w:val="19"/>
          <w:szCs w:val="19"/>
          <w:color w:val="auto"/>
        </w:rPr>
        <w:t xml:space="preserve">appoints, with the express consent pursuant to article 1395 of the Italian Civil Code, the Administrative Agent also acting in its capacity as Collateral Agent under the Loan Documents to be its </w:t>
      </w:r>
      <w:r>
        <w:rPr>
          <w:rFonts w:ascii="Arial" w:cs="Arial" w:eastAsia="Arial" w:hAnsi="Arial"/>
          <w:sz w:val="19"/>
          <w:szCs w:val="19"/>
          <w:i w:val="1"/>
          <w:iCs w:val="1"/>
          <w:color w:val="auto"/>
        </w:rPr>
        <w:t>mandatario con rappresentanza</w:t>
      </w:r>
      <w:r>
        <w:rPr>
          <w:rFonts w:ascii="Arial" w:cs="Arial" w:eastAsia="Arial" w:hAnsi="Arial"/>
          <w:sz w:val="19"/>
          <w:szCs w:val="19"/>
          <w:color w:val="auto"/>
        </w:rPr>
        <w:t xml:space="preserve"> and common representative for the purpose of executing in the name and on behalf of the Finance Parties any Italian Collateral Document;</w:t>
      </w:r>
    </w:p>
    <w:p>
      <w:pPr>
        <w:spacing w:after="0" w:line="128" w:lineRule="exact"/>
        <w:rPr>
          <w:rFonts w:ascii="Arial" w:cs="Arial" w:eastAsia="Arial" w:hAnsi="Arial"/>
          <w:sz w:val="19"/>
          <w:szCs w:val="19"/>
          <w:color w:val="auto"/>
        </w:rPr>
      </w:pPr>
    </w:p>
    <w:p>
      <w:pPr>
        <w:ind w:right="160" w:firstLine="1305"/>
        <w:spacing w:after="0" w:line="273" w:lineRule="auto"/>
        <w:tabs>
          <w:tab w:leader="none" w:pos="2175" w:val="left"/>
        </w:tabs>
        <w:numPr>
          <w:ilvl w:val="0"/>
          <w:numId w:val="325"/>
        </w:numPr>
        <w:rPr>
          <w:rFonts w:ascii="Arial" w:cs="Arial" w:eastAsia="Arial" w:hAnsi="Arial"/>
          <w:sz w:val="20"/>
          <w:szCs w:val="20"/>
          <w:color w:val="auto"/>
        </w:rPr>
      </w:pPr>
      <w:r>
        <w:rPr>
          <w:rFonts w:ascii="Arial" w:cs="Arial" w:eastAsia="Arial" w:hAnsi="Arial"/>
          <w:sz w:val="20"/>
          <w:szCs w:val="20"/>
          <w:color w:val="auto"/>
        </w:rPr>
        <w:t>grants the Administrative Agent also acting in its capacity as Collateral Agent, the power to negotiate and approve the terms and conditions of the Italian Collateral Documents, execute any other agreement or instrument, give or receive any notice or declaration, identify and specify to third parties the names of the Finance Parties at any given date, and take any other action in relation to the creation, perfection, confirmation, extension, maintenance, enforcement and/or release of any security created thereunder in the name and on behalf of the Finance Parties</w:t>
      </w:r>
    </w:p>
    <w:p>
      <w:pPr>
        <w:spacing w:after="0" w:line="150" w:lineRule="exact"/>
        <w:rPr>
          <w:rFonts w:ascii="Arial" w:cs="Arial" w:eastAsia="Arial" w:hAnsi="Arial"/>
          <w:sz w:val="20"/>
          <w:szCs w:val="20"/>
          <w:color w:val="auto"/>
        </w:rPr>
      </w:pPr>
    </w:p>
    <w:p>
      <w:pPr>
        <w:ind w:right="100" w:firstLine="1305"/>
        <w:spacing w:after="0" w:line="278" w:lineRule="auto"/>
        <w:tabs>
          <w:tab w:leader="none" w:pos="2164" w:val="left"/>
        </w:tabs>
        <w:numPr>
          <w:ilvl w:val="0"/>
          <w:numId w:val="325"/>
        </w:numPr>
        <w:rPr>
          <w:rFonts w:ascii="Arial" w:cs="Arial" w:eastAsia="Arial" w:hAnsi="Arial"/>
          <w:sz w:val="20"/>
          <w:szCs w:val="20"/>
          <w:color w:val="auto"/>
        </w:rPr>
      </w:pPr>
      <w:r>
        <w:rPr>
          <w:rFonts w:ascii="Arial" w:cs="Arial" w:eastAsia="Arial" w:hAnsi="Arial"/>
          <w:sz w:val="20"/>
          <w:szCs w:val="20"/>
          <w:color w:val="auto"/>
        </w:rPr>
        <w:t>confirms that in the event that any security created under the Italian Collateral Documents remains registered in the name of a Finance Party after it has ceased to be a Finance Party then the Administrative Agent also acting in its capacity as Collateral Agent shall remain empowered to execute a release of such security in its name and on its behalf; and</w:t>
      </w:r>
    </w:p>
    <w:p>
      <w:pPr>
        <w:spacing w:after="0" w:line="200" w:lineRule="exact"/>
        <w:rPr>
          <w:rFonts w:ascii="Arial" w:cs="Arial" w:eastAsia="Arial" w:hAnsi="Arial"/>
          <w:sz w:val="20"/>
          <w:szCs w:val="20"/>
          <w:color w:val="auto"/>
        </w:rPr>
      </w:pPr>
    </w:p>
    <w:p>
      <w:pPr>
        <w:spacing w:after="0" w:line="391" w:lineRule="exact"/>
        <w:rPr>
          <w:rFonts w:ascii="Arial" w:cs="Arial" w:eastAsia="Arial" w:hAnsi="Arial"/>
          <w:sz w:val="20"/>
          <w:szCs w:val="20"/>
          <w:color w:val="auto"/>
        </w:rPr>
      </w:pPr>
    </w:p>
    <w:p>
      <w:pPr>
        <w:ind w:left="5560" w:hanging="110"/>
        <w:spacing w:after="0"/>
        <w:tabs>
          <w:tab w:leader="none" w:pos="5560" w:val="left"/>
        </w:tabs>
        <w:numPr>
          <w:ilvl w:val="1"/>
          <w:numId w:val="325"/>
        </w:numPr>
        <w:rPr>
          <w:rFonts w:ascii="Arial" w:cs="Arial" w:eastAsia="Arial" w:hAnsi="Arial"/>
          <w:sz w:val="20"/>
          <w:szCs w:val="20"/>
          <w:color w:val="auto"/>
        </w:rPr>
      </w:pPr>
      <w:r>
        <w:rPr>
          <w:rFonts w:ascii="Arial" w:cs="Arial" w:eastAsia="Arial" w:hAnsi="Arial"/>
          <w:sz w:val="20"/>
          <w:szCs w:val="20"/>
          <w:color w:val="auto"/>
        </w:rPr>
        <w:t>161 -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357" w:name="page358"/>
    <w:bookmarkEnd w:id="357"/>
    <w:p>
      <w:pPr>
        <w:ind w:right="500" w:firstLine="1305"/>
        <w:spacing w:after="0" w:line="289" w:lineRule="auto"/>
        <w:tabs>
          <w:tab w:leader="none" w:pos="2175" w:val="left"/>
        </w:tabs>
        <w:numPr>
          <w:ilvl w:val="0"/>
          <w:numId w:val="326"/>
        </w:numPr>
        <w:rPr>
          <w:rFonts w:ascii="Arial" w:cs="Arial" w:eastAsia="Arial" w:hAnsi="Arial"/>
          <w:sz w:val="20"/>
          <w:szCs w:val="20"/>
          <w:color w:val="auto"/>
        </w:rPr>
      </w:pPr>
      <w:r>
        <w:rPr>
          <w:rFonts w:ascii="Arial" w:cs="Arial" w:eastAsia="Arial" w:hAnsi="Arial"/>
          <w:sz w:val="20"/>
          <w:szCs w:val="20"/>
          <w:color w:val="auto"/>
        </w:rPr>
        <w:t>undertakes to ratify and approve any such action taken in the name and on behalf of the Finance Parties by the Administrative Agent acting in its appointed capacity.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33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0"/>
          <w:szCs w:val="20"/>
          <w:b w:val="1"/>
          <w:bCs w:val="1"/>
          <w:color w:val="auto"/>
        </w:rPr>
        <w:t>Section 10.01</w:t>
      </w:r>
      <w:r>
        <w:rPr>
          <w:sz w:val="20"/>
          <w:szCs w:val="20"/>
          <w:color w:val="auto"/>
        </w:rPr>
        <w:tab/>
      </w:r>
      <w:r>
        <w:rPr>
          <w:rFonts w:ascii="Arial" w:cs="Arial" w:eastAsia="Arial" w:hAnsi="Arial"/>
          <w:sz w:val="16"/>
          <w:szCs w:val="16"/>
          <w:u w:val="single" w:color="auto"/>
          <w:color w:val="auto"/>
        </w:rPr>
        <w:t>Amendments, etc</w:t>
      </w:r>
      <w:r>
        <w:rPr>
          <w:rFonts w:ascii="Arial" w:cs="Arial" w:eastAsia="Arial" w:hAnsi="Arial"/>
          <w:sz w:val="16"/>
          <w:szCs w:val="16"/>
          <w:color w:val="auto"/>
        </w:rPr>
        <w:t>.</w:t>
      </w:r>
    </w:p>
    <w:p>
      <w:pPr>
        <w:spacing w:after="0" w:line="195" w:lineRule="exact"/>
        <w:rPr>
          <w:sz w:val="20"/>
          <w:szCs w:val="20"/>
          <w:color w:val="auto"/>
        </w:rPr>
      </w:pPr>
    </w:p>
    <w:p>
      <w:pPr>
        <w:ind w:firstLine="1305"/>
        <w:spacing w:after="0" w:line="303" w:lineRule="auto"/>
        <w:tabs>
          <w:tab w:leader="none" w:pos="2164" w:val="left"/>
        </w:tabs>
        <w:numPr>
          <w:ilvl w:val="0"/>
          <w:numId w:val="327"/>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Amendments Generally</w:t>
      </w:r>
      <w:r>
        <w:rPr>
          <w:rFonts w:ascii="Arial" w:cs="Arial" w:eastAsia="Arial" w:hAnsi="Arial"/>
          <w:sz w:val="18"/>
          <w:szCs w:val="18"/>
          <w:color w:val="auto"/>
        </w:rPr>
        <w:t>. Except as otherwise set forth in this Agreement, no amendment or waiver of any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this Agreement or any other Loan Document, and no consent to any departure by any Loan Party therefrom, shall in any event be effective unless the same shall be in writing signed by the Required Lenders (or by the Administrative Agent with the consent of the Required Lenders or such other number or percentage of the Lenders as may be specified herein) and the applicable Borrower and acknowledged by the Administrative Agent and the Administrative Agent shall have received notice and a fully executed written copy thereof, and each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Parent and the Lead Borrower may, without the consent of the other Lenders, amend, modify or supplement this Agreement and any other Loan Document to cure any ambiguity, omission, typographical error, defect or inconsistency if such amendment, modification or supplement if the same is not objected to in writing by the Required Lenders within five Business Days following receipt of notice thereof.</w:t>
      </w:r>
    </w:p>
    <w:p>
      <w:pPr>
        <w:spacing w:after="0" w:line="133" w:lineRule="exact"/>
        <w:rPr>
          <w:rFonts w:ascii="Arial" w:cs="Arial" w:eastAsia="Arial" w:hAnsi="Arial"/>
          <w:sz w:val="18"/>
          <w:szCs w:val="18"/>
          <w:color w:val="auto"/>
        </w:rPr>
      </w:pPr>
    </w:p>
    <w:p>
      <w:pPr>
        <w:ind w:right="280" w:firstLine="1305"/>
        <w:spacing w:after="0" w:line="289" w:lineRule="auto"/>
        <w:tabs>
          <w:tab w:leader="none" w:pos="2175" w:val="left"/>
        </w:tabs>
        <w:numPr>
          <w:ilvl w:val="0"/>
          <w:numId w:val="327"/>
        </w:numPr>
        <w:rPr>
          <w:rFonts w:ascii="Arial" w:cs="Arial" w:eastAsia="Arial" w:hAnsi="Arial"/>
          <w:sz w:val="20"/>
          <w:szCs w:val="20"/>
          <w:color w:val="auto"/>
        </w:rPr>
      </w:pPr>
      <w:r>
        <w:rPr>
          <w:rFonts w:ascii="Arial" w:cs="Arial" w:eastAsia="Arial" w:hAnsi="Arial"/>
          <w:sz w:val="20"/>
          <w:szCs w:val="20"/>
          <w:i w:val="1"/>
          <w:iCs w:val="1"/>
          <w:u w:val="single" w:color="auto"/>
          <w:color w:val="auto"/>
        </w:rPr>
        <w:t>Amendments and Waivers Pertinent to Affected Lenders</w:t>
      </w:r>
      <w:r>
        <w:rPr>
          <w:rFonts w:ascii="Arial" w:cs="Arial" w:eastAsia="Arial" w:hAnsi="Arial"/>
          <w:sz w:val="20"/>
          <w:szCs w:val="20"/>
          <w:color w:val="auto"/>
        </w:rPr>
        <w:t>. Notwithstanding subsection (a) above and in addition to</w:t>
      </w:r>
      <w:r>
        <w:rPr>
          <w:rFonts w:ascii="Arial" w:cs="Arial" w:eastAsia="Arial" w:hAnsi="Arial"/>
          <w:sz w:val="20"/>
          <w:szCs w:val="20"/>
          <w:i w:val="1"/>
          <w:iCs w:val="1"/>
          <w:color w:val="auto"/>
        </w:rPr>
        <w:t xml:space="preserve"> </w:t>
      </w:r>
      <w:r>
        <w:rPr>
          <w:rFonts w:ascii="Arial" w:cs="Arial" w:eastAsia="Arial" w:hAnsi="Arial"/>
          <w:sz w:val="20"/>
          <w:szCs w:val="20"/>
          <w:color w:val="auto"/>
        </w:rPr>
        <w:t>any other consent that may be required thereunder, no amendment, waiver or consent shall:</w:t>
      </w:r>
    </w:p>
    <w:p>
      <w:pPr>
        <w:spacing w:after="0" w:line="134" w:lineRule="exact"/>
        <w:rPr>
          <w:rFonts w:ascii="Arial" w:cs="Arial" w:eastAsia="Arial" w:hAnsi="Arial"/>
          <w:sz w:val="20"/>
          <w:szCs w:val="20"/>
          <w:color w:val="auto"/>
        </w:rPr>
      </w:pPr>
    </w:p>
    <w:p>
      <w:pPr>
        <w:ind w:left="660" w:right="200" w:firstLine="807"/>
        <w:spacing w:after="0" w:line="322" w:lineRule="auto"/>
        <w:tabs>
          <w:tab w:leader="none" w:pos="2143" w:val="left"/>
        </w:tabs>
        <w:numPr>
          <w:ilvl w:val="1"/>
          <w:numId w:val="327"/>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without the written consent of such Lender (it being understood that a waiver of any condition precedent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or the waiver of any Default, mandatory prepayment or mandatory reduction of any Commitments shall not constitute an extension or increase of any Commitment of any Lender);</w:t>
      </w:r>
    </w:p>
    <w:p>
      <w:pPr>
        <w:spacing w:after="0" w:line="112" w:lineRule="exact"/>
        <w:rPr>
          <w:rFonts w:ascii="Arial" w:cs="Arial" w:eastAsia="Arial" w:hAnsi="Arial"/>
          <w:sz w:val="18"/>
          <w:szCs w:val="18"/>
          <w:color w:val="auto"/>
        </w:rPr>
      </w:pPr>
    </w:p>
    <w:p>
      <w:pPr>
        <w:ind w:left="660" w:right="60" w:firstLine="807"/>
        <w:spacing w:after="0" w:line="299" w:lineRule="auto"/>
        <w:tabs>
          <w:tab w:leader="none" w:pos="2198" w:val="left"/>
        </w:tabs>
        <w:numPr>
          <w:ilvl w:val="1"/>
          <w:numId w:val="327"/>
        </w:numPr>
        <w:rPr>
          <w:rFonts w:ascii="Arial" w:cs="Arial" w:eastAsia="Arial" w:hAnsi="Arial"/>
          <w:sz w:val="19"/>
          <w:szCs w:val="19"/>
          <w:color w:val="auto"/>
        </w:rPr>
      </w:pPr>
      <w:r>
        <w:rPr>
          <w:rFonts w:ascii="Arial" w:cs="Arial" w:eastAsia="Arial" w:hAnsi="Arial"/>
          <w:sz w:val="19"/>
          <w:szCs w:val="19"/>
          <w:color w:val="auto"/>
        </w:rPr>
        <w:t>postpone any date fixed by this Agreement or any other Loan Document for any payment (excluding mandatory prepayments) of principal, interest (other than Default interest), fees or other amounts due to the Lenders (or any of them) hereunder or under any other Loan Document without the written consent of each Lender directly affected thereby;</w:t>
      </w:r>
    </w:p>
    <w:p>
      <w:pPr>
        <w:spacing w:after="0" w:line="128" w:lineRule="exact"/>
        <w:rPr>
          <w:rFonts w:ascii="Arial" w:cs="Arial" w:eastAsia="Arial" w:hAnsi="Arial"/>
          <w:sz w:val="19"/>
          <w:szCs w:val="19"/>
          <w:color w:val="auto"/>
        </w:rPr>
      </w:pPr>
    </w:p>
    <w:p>
      <w:pPr>
        <w:ind w:left="660" w:right="120" w:firstLine="807"/>
        <w:spacing w:after="0" w:line="271" w:lineRule="auto"/>
        <w:tabs>
          <w:tab w:leader="none" w:pos="2253" w:val="left"/>
        </w:tabs>
        <w:numPr>
          <w:ilvl w:val="1"/>
          <w:numId w:val="327"/>
        </w:numPr>
        <w:rPr>
          <w:rFonts w:ascii="Arial" w:cs="Arial" w:eastAsia="Arial" w:hAnsi="Arial"/>
          <w:sz w:val="20"/>
          <w:szCs w:val="20"/>
          <w:color w:val="auto"/>
        </w:rPr>
      </w:pPr>
      <w:r>
        <w:rPr>
          <w:rFonts w:ascii="Arial" w:cs="Arial" w:eastAsia="Arial" w:hAnsi="Arial"/>
          <w:sz w:val="20"/>
          <w:szCs w:val="20"/>
          <w:color w:val="auto"/>
        </w:rPr>
        <w:t xml:space="preserve">reduce or forgive the principal of, or the rate of interest or any premium specified herein on, any Loan or unreimbursed L/C Disbursement, or any fees or other amounts payable hereunder or under any other Loan Document without the written consent of each Lender directly affected thereby;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only the consent of the Required Lenders shall be necessary (A) to amend the definition of “Default Rate” or to waive any obligation of a Borrower to pay interest or Letter of Credit Fees at the Default Rate or (B) to amend any financial covenant hereunder (or any defined term used therein) even if the effect of such amendment would be to reduce the rate of interest on any Loan or any unreimbursed L/C Disbursement or to reduce any fee payable hereunder;</w:t>
      </w:r>
    </w:p>
    <w:p>
      <w:pPr>
        <w:spacing w:after="0" w:line="153" w:lineRule="exact"/>
        <w:rPr>
          <w:rFonts w:ascii="Arial" w:cs="Arial" w:eastAsia="Arial" w:hAnsi="Arial"/>
          <w:sz w:val="20"/>
          <w:szCs w:val="20"/>
          <w:color w:val="auto"/>
        </w:rPr>
      </w:pPr>
    </w:p>
    <w:p>
      <w:pPr>
        <w:jc w:val="both"/>
        <w:ind w:left="660" w:right="40" w:firstLine="807"/>
        <w:spacing w:after="0" w:line="322" w:lineRule="auto"/>
        <w:tabs>
          <w:tab w:leader="none" w:pos="2242" w:val="left"/>
        </w:tabs>
        <w:numPr>
          <w:ilvl w:val="1"/>
          <w:numId w:val="327"/>
        </w:numPr>
        <w:rPr>
          <w:rFonts w:ascii="Arial" w:cs="Arial" w:eastAsia="Arial" w:hAnsi="Arial"/>
          <w:sz w:val="18"/>
          <w:szCs w:val="18"/>
          <w:color w:val="auto"/>
        </w:rPr>
      </w:pPr>
      <w:r>
        <w:rPr>
          <w:rFonts w:ascii="Arial" w:cs="Arial" w:eastAsia="Arial" w:hAnsi="Arial"/>
          <w:sz w:val="18"/>
          <w:szCs w:val="18"/>
          <w:color w:val="auto"/>
        </w:rPr>
        <w:t>other than to the extent required to make the Lenders under Incremental Term Loans, Incremental Revolving Loans (and Incremental Revolving Commitments), Other Term Loans or Other Revolving Loans (and Other Revolving Commitments) or new Lenders under a Refinancing Amendment share, or, at their option, not share, in pro rata payments, change</w:t>
      </w:r>
    </w:p>
    <w:p>
      <w:pPr>
        <w:spacing w:after="0" w:line="200" w:lineRule="exact"/>
        <w:rPr>
          <w:rFonts w:ascii="Arial" w:cs="Arial" w:eastAsia="Arial" w:hAnsi="Arial"/>
          <w:sz w:val="18"/>
          <w:szCs w:val="18"/>
          <w:color w:val="auto"/>
        </w:rPr>
      </w:pPr>
    </w:p>
    <w:p>
      <w:pPr>
        <w:spacing w:after="0" w:line="357" w:lineRule="exact"/>
        <w:rPr>
          <w:rFonts w:ascii="Arial" w:cs="Arial" w:eastAsia="Arial" w:hAnsi="Arial"/>
          <w:sz w:val="18"/>
          <w:szCs w:val="18"/>
          <w:color w:val="auto"/>
        </w:rPr>
      </w:pPr>
    </w:p>
    <w:p>
      <w:pPr>
        <w:ind w:left="5560" w:hanging="110"/>
        <w:spacing w:after="0"/>
        <w:tabs>
          <w:tab w:leader="none" w:pos="5560" w:val="left"/>
        </w:tabs>
        <w:numPr>
          <w:ilvl w:val="2"/>
          <w:numId w:val="327"/>
        </w:numPr>
        <w:rPr>
          <w:rFonts w:ascii="Arial" w:cs="Arial" w:eastAsia="Arial" w:hAnsi="Arial"/>
          <w:sz w:val="20"/>
          <w:szCs w:val="20"/>
          <w:color w:val="auto"/>
        </w:rPr>
      </w:pPr>
      <w:r>
        <w:rPr>
          <w:rFonts w:ascii="Arial" w:cs="Arial" w:eastAsia="Arial" w:hAnsi="Arial"/>
          <w:sz w:val="20"/>
          <w:szCs w:val="20"/>
          <w:color w:val="auto"/>
        </w:rPr>
        <w:t>162 -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358" w:name="page359"/>
    <w:bookmarkEnd w:id="358"/>
    <w:p>
      <w:pPr>
        <w:ind w:left="4" w:right="620"/>
        <w:spacing w:after="0" w:line="289" w:lineRule="auto"/>
        <w:rPr>
          <w:sz w:val="20"/>
          <w:szCs w:val="20"/>
          <w:color w:val="auto"/>
        </w:rPr>
      </w:pP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8.03</w:t>
      </w:r>
      <w:r>
        <w:rPr>
          <w:rFonts w:ascii="Arial" w:cs="Arial" w:eastAsia="Arial" w:hAnsi="Arial"/>
          <w:sz w:val="20"/>
          <w:szCs w:val="20"/>
          <w:color w:val="auto"/>
        </w:rPr>
        <w:t xml:space="preserve"> in a manner that would alter the pro rata sharing of payments or the order of payment required thereby without the written consent of each Lender directly affected thereby;</w:t>
      </w:r>
    </w:p>
    <w:p>
      <w:pPr>
        <w:spacing w:after="0" w:line="135" w:lineRule="exact"/>
        <w:rPr>
          <w:sz w:val="20"/>
          <w:szCs w:val="20"/>
          <w:color w:val="auto"/>
        </w:rPr>
      </w:pPr>
    </w:p>
    <w:p>
      <w:pPr>
        <w:ind w:left="4" w:right="160" w:firstLine="807"/>
        <w:spacing w:after="0" w:line="310" w:lineRule="auto"/>
        <w:tabs>
          <w:tab w:leader="none" w:pos="1531" w:val="left"/>
        </w:tabs>
        <w:numPr>
          <w:ilvl w:val="1"/>
          <w:numId w:val="328"/>
        </w:numPr>
        <w:rPr>
          <w:rFonts w:ascii="Arial" w:cs="Arial" w:eastAsia="Arial" w:hAnsi="Arial"/>
          <w:sz w:val="18"/>
          <w:szCs w:val="18"/>
          <w:color w:val="auto"/>
        </w:rPr>
      </w:pPr>
      <w:r>
        <w:rPr>
          <w:rFonts w:ascii="Arial" w:cs="Arial" w:eastAsia="Arial" w:hAnsi="Arial"/>
          <w:sz w:val="18"/>
          <w:szCs w:val="18"/>
          <w:color w:val="auto"/>
        </w:rPr>
        <w:t xml:space="preserve">except in connection with the implementation of any Incremental Loans, Incremental Term Loan Commitments or Incremental Revolving Commitments, change any provision of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or the definition of “Applicable Percentage,” “Required Lenders,” “Required Revolving Lenders” or “Required Term Lenders” or any other provision hereof specifying the percentage of Lenders required to amend, waive or otherwise modify any rights hereunder or make any determination or grant any consent hereunder, without the written consent of each Lender which is a Lender of the applicable Class so specified;</w:t>
      </w:r>
    </w:p>
    <w:p>
      <w:pPr>
        <w:spacing w:after="0" w:line="121" w:lineRule="exact"/>
        <w:rPr>
          <w:rFonts w:ascii="Arial" w:cs="Arial" w:eastAsia="Arial" w:hAnsi="Arial"/>
          <w:sz w:val="18"/>
          <w:szCs w:val="18"/>
          <w:color w:val="auto"/>
        </w:rPr>
      </w:pPr>
    </w:p>
    <w:p>
      <w:pPr>
        <w:ind w:left="4" w:right="420" w:firstLine="807"/>
        <w:spacing w:after="0" w:line="289" w:lineRule="auto"/>
        <w:tabs>
          <w:tab w:leader="none" w:pos="1586" w:val="left"/>
        </w:tabs>
        <w:numPr>
          <w:ilvl w:val="1"/>
          <w:numId w:val="328"/>
        </w:numPr>
        <w:rPr>
          <w:rFonts w:ascii="Arial" w:cs="Arial" w:eastAsia="Arial" w:hAnsi="Arial"/>
          <w:sz w:val="20"/>
          <w:szCs w:val="20"/>
          <w:color w:val="auto"/>
        </w:rPr>
      </w:pPr>
      <w:r>
        <w:rPr>
          <w:rFonts w:ascii="Arial" w:cs="Arial" w:eastAsia="Arial" w:hAnsi="Arial"/>
          <w:sz w:val="20"/>
          <w:szCs w:val="20"/>
          <w:color w:val="auto"/>
        </w:rPr>
        <w:t>permit the assignment or delegation by Parent or a Borrower of any of its rights or obligations under any Loan Document, without the written consent of each Lender;</w:t>
      </w:r>
    </w:p>
    <w:p>
      <w:pPr>
        <w:spacing w:after="0" w:line="134" w:lineRule="exact"/>
        <w:rPr>
          <w:rFonts w:ascii="Arial" w:cs="Arial" w:eastAsia="Arial" w:hAnsi="Arial"/>
          <w:sz w:val="20"/>
          <w:szCs w:val="20"/>
          <w:color w:val="auto"/>
        </w:rPr>
      </w:pPr>
    </w:p>
    <w:p>
      <w:pPr>
        <w:ind w:left="1644" w:hanging="833"/>
        <w:spacing w:after="0"/>
        <w:tabs>
          <w:tab w:leader="none" w:pos="1644" w:val="left"/>
        </w:tabs>
        <w:numPr>
          <w:ilvl w:val="1"/>
          <w:numId w:val="328"/>
        </w:numPr>
        <w:rPr>
          <w:rFonts w:ascii="Arial" w:cs="Arial" w:eastAsia="Arial" w:hAnsi="Arial"/>
          <w:sz w:val="20"/>
          <w:szCs w:val="20"/>
          <w:color w:val="auto"/>
        </w:rPr>
      </w:pPr>
      <w:r>
        <w:rPr>
          <w:rFonts w:ascii="Arial" w:cs="Arial" w:eastAsia="Arial" w:hAnsi="Arial"/>
          <w:sz w:val="20"/>
          <w:szCs w:val="20"/>
          <w:color w:val="auto"/>
        </w:rPr>
        <w:t>subordinate the Finance Obligations to any other obligation without the written consent of each Lender;</w:t>
      </w:r>
    </w:p>
    <w:p>
      <w:pPr>
        <w:spacing w:after="0" w:line="202" w:lineRule="exact"/>
        <w:rPr>
          <w:rFonts w:ascii="Arial" w:cs="Arial" w:eastAsia="Arial" w:hAnsi="Arial"/>
          <w:sz w:val="20"/>
          <w:szCs w:val="20"/>
          <w:color w:val="auto"/>
        </w:rPr>
      </w:pPr>
    </w:p>
    <w:p>
      <w:pPr>
        <w:ind w:left="4" w:right="60" w:firstLine="807"/>
        <w:spacing w:after="0" w:line="314" w:lineRule="auto"/>
        <w:tabs>
          <w:tab w:leader="none" w:pos="1696"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 release all or substantially all of the value of the Guaranty Agreement without the written consent of each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without the consent of any Lender, release any Guarantor (or all or substantially all of the assets of a Guarantor) that is sold or transferred (other than to any Loan Party) in compliance with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or released in compliance with </w:t>
      </w:r>
      <w:r>
        <w:rPr>
          <w:rFonts w:ascii="Arial" w:cs="Arial" w:eastAsia="Arial" w:hAnsi="Arial"/>
          <w:sz w:val="18"/>
          <w:szCs w:val="18"/>
          <w:u w:val="single" w:color="auto"/>
          <w:color w:val="auto"/>
        </w:rPr>
        <w:t>Section 9.11</w:t>
      </w:r>
      <w:r>
        <w:rPr>
          <w:rFonts w:ascii="Arial" w:cs="Arial" w:eastAsia="Arial" w:hAnsi="Arial"/>
          <w:sz w:val="18"/>
          <w:szCs w:val="18"/>
          <w:color w:val="auto"/>
        </w:rPr>
        <w:t>) and (b) release Parent from the Guaranty Agreement without the written consent of each Lender;</w:t>
      </w:r>
    </w:p>
    <w:p>
      <w:pPr>
        <w:spacing w:after="0" w:line="118" w:lineRule="exact"/>
        <w:rPr>
          <w:rFonts w:ascii="Arial" w:cs="Arial" w:eastAsia="Arial" w:hAnsi="Arial"/>
          <w:sz w:val="18"/>
          <w:szCs w:val="18"/>
          <w:color w:val="auto"/>
        </w:rPr>
      </w:pPr>
    </w:p>
    <w:p>
      <w:pPr>
        <w:ind w:left="4" w:firstLine="807"/>
        <w:spacing w:after="0" w:line="274" w:lineRule="auto"/>
        <w:tabs>
          <w:tab w:leader="none" w:pos="1586" w:val="left"/>
        </w:tabs>
        <w:numPr>
          <w:ilvl w:val="1"/>
          <w:numId w:val="328"/>
        </w:numPr>
        <w:rPr>
          <w:rFonts w:ascii="Arial" w:cs="Arial" w:eastAsia="Arial" w:hAnsi="Arial"/>
          <w:sz w:val="20"/>
          <w:szCs w:val="20"/>
          <w:color w:val="auto"/>
        </w:rPr>
      </w:pPr>
      <w:r>
        <w:rPr>
          <w:rFonts w:ascii="Arial" w:cs="Arial" w:eastAsia="Arial" w:hAnsi="Arial"/>
          <w:sz w:val="20"/>
          <w:szCs w:val="20"/>
          <w:color w:val="auto"/>
        </w:rPr>
        <w:t>release all or substantially all of the Collateral securing the Senior Credit Obligations hereunder without the written consent of each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Collateral Agent may, without consent from any other Lender, release any Collateral that is sold or transferred by a Loan Party (other than to any other Loan Party) in compliance with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or released in compliance with </w:t>
      </w:r>
      <w:r>
        <w:rPr>
          <w:rFonts w:ascii="Arial" w:cs="Arial" w:eastAsia="Arial" w:hAnsi="Arial"/>
          <w:sz w:val="20"/>
          <w:szCs w:val="20"/>
          <w:u w:val="single" w:color="auto"/>
          <w:color w:val="auto"/>
        </w:rPr>
        <w:t>Section 9.11</w:t>
      </w:r>
      <w:r>
        <w:rPr>
          <w:rFonts w:ascii="Arial" w:cs="Arial" w:eastAsia="Arial" w:hAnsi="Arial"/>
          <w:sz w:val="20"/>
          <w:szCs w:val="20"/>
          <w:color w:val="auto"/>
        </w:rPr>
        <w:t>);</w:t>
      </w:r>
    </w:p>
    <w:p>
      <w:pPr>
        <w:spacing w:after="0" w:line="151" w:lineRule="exact"/>
        <w:rPr>
          <w:rFonts w:ascii="Arial" w:cs="Arial" w:eastAsia="Arial" w:hAnsi="Arial"/>
          <w:sz w:val="20"/>
          <w:szCs w:val="20"/>
          <w:color w:val="auto"/>
        </w:rPr>
      </w:pPr>
    </w:p>
    <w:p>
      <w:pPr>
        <w:ind w:left="4" w:right="200" w:firstLine="807"/>
        <w:spacing w:after="0" w:line="278" w:lineRule="auto"/>
        <w:tabs>
          <w:tab w:leader="none" w:pos="1531" w:val="left"/>
        </w:tabs>
        <w:numPr>
          <w:ilvl w:val="1"/>
          <w:numId w:val="328"/>
        </w:numPr>
        <w:rPr>
          <w:rFonts w:ascii="Arial" w:cs="Arial" w:eastAsia="Arial" w:hAnsi="Arial"/>
          <w:sz w:val="20"/>
          <w:szCs w:val="20"/>
          <w:color w:val="auto"/>
        </w:rPr>
      </w:pPr>
      <w:r>
        <w:rPr>
          <w:rFonts w:ascii="Arial" w:cs="Arial" w:eastAsia="Arial" w:hAnsi="Arial"/>
          <w:sz w:val="20"/>
          <w:szCs w:val="20"/>
          <w:color w:val="auto"/>
        </w:rPr>
        <w:t>impose any greater restrictions on the ability of the Lenders of any Class to assign any of their respective rights or obligations hereunder without the written consent of (A) each Revolving Lender if such Class is the Revolving Loans and (B) each Term Lender if such Class is the Term Loans;</w:t>
      </w:r>
    </w:p>
    <w:p>
      <w:pPr>
        <w:spacing w:after="0" w:line="146" w:lineRule="exact"/>
        <w:rPr>
          <w:rFonts w:ascii="Arial" w:cs="Arial" w:eastAsia="Arial" w:hAnsi="Arial"/>
          <w:sz w:val="20"/>
          <w:szCs w:val="20"/>
          <w:color w:val="auto"/>
        </w:rPr>
      </w:pPr>
    </w:p>
    <w:p>
      <w:pPr>
        <w:ind w:left="4" w:right="220" w:firstLine="807"/>
        <w:spacing w:after="0" w:line="273" w:lineRule="auto"/>
        <w:tabs>
          <w:tab w:leader="none" w:pos="1586" w:val="left"/>
        </w:tabs>
        <w:numPr>
          <w:ilvl w:val="1"/>
          <w:numId w:val="328"/>
        </w:numPr>
        <w:rPr>
          <w:rFonts w:ascii="Arial" w:cs="Arial" w:eastAsia="Arial" w:hAnsi="Arial"/>
          <w:sz w:val="20"/>
          <w:szCs w:val="20"/>
          <w:color w:val="auto"/>
        </w:rPr>
      </w:pPr>
      <w:r>
        <w:rPr>
          <w:rFonts w:ascii="Arial" w:cs="Arial" w:eastAsia="Arial" w:hAnsi="Arial"/>
          <w:sz w:val="20"/>
          <w:szCs w:val="20"/>
          <w:color w:val="auto"/>
        </w:rPr>
        <w:t>(w) affect the rights or duties of any L/C Issuer under this Agreement or any Letter of Credit Request relating to any Letter of Credit issued or to be issued by it, without the prior written consent of such L/C Issuer; (x) affect the rights or duties of the Swing Line Lender under this Agreement, without the prior written consent of the Swing Line Lender; and (y) affect the rights or duties of the Administrative Agent under this Agreement or any other Loan Document, without the prior written consent of the Administrative Agent;</w:t>
      </w:r>
    </w:p>
    <w:p>
      <w:pPr>
        <w:spacing w:after="0" w:line="150" w:lineRule="exact"/>
        <w:rPr>
          <w:rFonts w:ascii="Arial" w:cs="Arial" w:eastAsia="Arial" w:hAnsi="Arial"/>
          <w:sz w:val="20"/>
          <w:szCs w:val="20"/>
          <w:color w:val="auto"/>
        </w:rPr>
      </w:pPr>
    </w:p>
    <w:p>
      <w:pPr>
        <w:ind w:left="4" w:firstLine="807"/>
        <w:spacing w:after="0" w:line="297" w:lineRule="auto"/>
        <w:tabs>
          <w:tab w:leader="none" w:pos="1641"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amend, modify or waive (A) any Loan Document so as to alter the ratable treatment of (i) Senior Credit Obligations outstanding after the payment of accrued fees and interest, (ii) Swap Obligations and (iii) Cash Management Obligations or</w:t>
      </w:r>
    </w:p>
    <w:p>
      <w:pPr>
        <w:ind w:left="4" w:right="140" w:hanging="4"/>
        <w:spacing w:after="0" w:line="293" w:lineRule="auto"/>
        <w:tabs>
          <w:tab w:leader="none" w:pos="317" w:val="left"/>
        </w:tabs>
        <w:numPr>
          <w:ilvl w:val="0"/>
          <w:numId w:val="329"/>
        </w:numPr>
        <w:rPr>
          <w:rFonts w:ascii="Arial" w:cs="Arial" w:eastAsia="Arial" w:hAnsi="Arial"/>
          <w:sz w:val="19"/>
          <w:szCs w:val="19"/>
          <w:color w:val="auto"/>
        </w:rPr>
      </w:pPr>
      <w:r>
        <w:rPr>
          <w:rFonts w:ascii="Arial" w:cs="Arial" w:eastAsia="Arial" w:hAnsi="Arial"/>
          <w:sz w:val="19"/>
          <w:szCs w:val="19"/>
          <w:color w:val="auto"/>
        </w:rPr>
        <w:t>the definition of “Swap Creditor,” “Swap Obligations,” “Finance Obligations,” “Claimholders,” “Senior Credit Obligations,” “Discharge of Senior Credit Obligations,” “Secured Cash Management Agreement,” “Cash Management Agreement,” “Cash Management Obligations” or “Cash Management Bank” in each case in a manner adverse to any Swap Creditor or Cash Management Bank, as applicable with Swap Obligations or Cash Management Obligations, as applicable,</w:t>
      </w:r>
    </w:p>
    <w:p>
      <w:pPr>
        <w:spacing w:after="0" w:line="200" w:lineRule="exact"/>
        <w:rPr>
          <w:rFonts w:ascii="Arial" w:cs="Arial" w:eastAsia="Arial" w:hAnsi="Arial"/>
          <w:sz w:val="19"/>
          <w:szCs w:val="19"/>
          <w:color w:val="auto"/>
        </w:rPr>
      </w:pPr>
    </w:p>
    <w:p>
      <w:pPr>
        <w:spacing w:after="0" w:line="380" w:lineRule="exact"/>
        <w:rPr>
          <w:rFonts w:ascii="Arial" w:cs="Arial" w:eastAsia="Arial" w:hAnsi="Arial"/>
          <w:sz w:val="19"/>
          <w:szCs w:val="19"/>
          <w:color w:val="auto"/>
        </w:rPr>
      </w:pPr>
    </w:p>
    <w:p>
      <w:pPr>
        <w:ind w:left="4904" w:hanging="110"/>
        <w:spacing w:after="0"/>
        <w:tabs>
          <w:tab w:leader="none" w:pos="4904" w:val="left"/>
        </w:tabs>
        <w:numPr>
          <w:ilvl w:val="2"/>
          <w:numId w:val="329"/>
        </w:numPr>
        <w:rPr>
          <w:rFonts w:ascii="Arial" w:cs="Arial" w:eastAsia="Arial" w:hAnsi="Arial"/>
          <w:sz w:val="20"/>
          <w:szCs w:val="20"/>
          <w:color w:val="auto"/>
        </w:rPr>
      </w:pPr>
      <w:r>
        <w:rPr>
          <w:rFonts w:ascii="Arial" w:cs="Arial" w:eastAsia="Arial" w:hAnsi="Arial"/>
          <w:sz w:val="20"/>
          <w:szCs w:val="20"/>
          <w:color w:val="auto"/>
        </w:rPr>
        <w:t>163 -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48895</wp:posOffset>
            </wp:positionV>
            <wp:extent cx="72720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44"/>
          </w:cols>
          <w:pgMar w:left="896" w:top="379" w:right="259" w:bottom="1440" w:gutter="0" w:footer="0" w:header="0"/>
        </w:sectPr>
      </w:pPr>
    </w:p>
    <w:bookmarkStart w:id="359" w:name="page360"/>
    <w:bookmarkEnd w:id="359"/>
    <w:p>
      <w:pPr>
        <w:ind w:left="660" w:right="100"/>
        <w:spacing w:after="0" w:line="269" w:lineRule="auto"/>
        <w:rPr>
          <w:sz w:val="20"/>
          <w:szCs w:val="20"/>
          <w:color w:val="auto"/>
        </w:rPr>
      </w:pPr>
      <w:r>
        <w:rPr>
          <w:rFonts w:ascii="Arial" w:cs="Arial" w:eastAsia="Arial" w:hAnsi="Arial"/>
          <w:sz w:val="19"/>
          <w:szCs w:val="19"/>
          <w:color w:val="auto"/>
        </w:rPr>
        <w:t>then outstanding without the written consent of any such Swap Creditor or Cash Management Bank (except that additional obligations may be secured pari passu with the Senior Credit Obligations, Swap Obligations and Cash Management Obligations and additional parties may be secured pari passu as Swap Creditors or Cash Management Banks, as applicable);</w:t>
      </w:r>
    </w:p>
    <w:p>
      <w:pPr>
        <w:spacing w:after="0" w:line="143" w:lineRule="exact"/>
        <w:rPr>
          <w:sz w:val="20"/>
          <w:szCs w:val="20"/>
          <w:color w:val="auto"/>
        </w:rPr>
      </w:pPr>
    </w:p>
    <w:p>
      <w:pPr>
        <w:jc w:val="both"/>
        <w:ind w:left="660" w:right="340" w:firstLine="807"/>
        <w:spacing w:after="0" w:line="378" w:lineRule="auto"/>
        <w:tabs>
          <w:tab w:leader="none" w:pos="2352"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xml:space="preserve">(a) waive any condition set forth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without the written consent of each Lender; and (b) without limiting the generality of clause (a) above, waive any condition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as to any Borrowing or the issuance of any Letter of Credit without the written consent of the Required Revolving Lenders or Required Term Lenders, as the case may be; and</w:t>
      </w:r>
    </w:p>
    <w:p>
      <w:pPr>
        <w:spacing w:after="0" w:line="76" w:lineRule="exact"/>
        <w:rPr>
          <w:rFonts w:ascii="Arial" w:cs="Arial" w:eastAsia="Arial" w:hAnsi="Arial"/>
          <w:sz w:val="16"/>
          <w:szCs w:val="16"/>
          <w:color w:val="auto"/>
        </w:rPr>
      </w:pPr>
    </w:p>
    <w:p>
      <w:pPr>
        <w:ind w:left="660" w:right="20" w:firstLine="807"/>
        <w:spacing w:after="0" w:line="347" w:lineRule="auto"/>
        <w:tabs>
          <w:tab w:leader="none" w:pos="2341"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amend, modify or waive any Loan Document so as to add any borrower that is organized under the laws of a jurisdiction other than Ireland, the United States, a State thereof or the District of Columbia without the written consent of each Lender.</w:t>
      </w:r>
    </w:p>
    <w:p>
      <w:pPr>
        <w:spacing w:after="0" w:line="77" w:lineRule="exact"/>
        <w:rPr>
          <w:sz w:val="20"/>
          <w:szCs w:val="20"/>
          <w:color w:val="auto"/>
        </w:rPr>
      </w:pPr>
    </w:p>
    <w:p>
      <w:pPr>
        <w:ind w:right="20" w:firstLine="1297"/>
        <w:spacing w:after="0" w:line="258" w:lineRule="auto"/>
        <w:rPr>
          <w:sz w:val="20"/>
          <w:szCs w:val="20"/>
          <w:color w:val="auto"/>
        </w:rPr>
      </w:pPr>
      <w:r>
        <w:rPr>
          <w:rFonts w:ascii="Arial" w:cs="Arial" w:eastAsia="Arial" w:hAnsi="Arial"/>
          <w:sz w:val="19"/>
          <w:szCs w:val="19"/>
          <w:color w:val="auto"/>
        </w:rPr>
        <w:t xml:space="preserve">Notwithstanding anything to the contrary contained in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(i) this Agreement and the other Loan Documents may be amended, modified or supplemented with the consent of the Administrative Agent and/or the Collateral Agent at the request of the applicable Borrower without the need to obtain the consent of any other Lender if such amendment is delivered in order to effectuate any amendment, modification or supplement pursuant to the proviso of </w:t>
      </w:r>
      <w:r>
        <w:rPr>
          <w:rFonts w:ascii="Arial" w:cs="Arial" w:eastAsia="Arial" w:hAnsi="Arial"/>
          <w:sz w:val="19"/>
          <w:szCs w:val="19"/>
          <w:u w:val="single" w:color="auto"/>
          <w:color w:val="auto"/>
        </w:rPr>
        <w:t>Section 10.01(a)</w:t>
      </w:r>
      <w:r>
        <w:rPr>
          <w:rFonts w:ascii="Arial" w:cs="Arial" w:eastAsia="Arial" w:hAnsi="Arial"/>
          <w:sz w:val="19"/>
          <w:szCs w:val="19"/>
          <w:color w:val="auto"/>
        </w:rPr>
        <w:t>, and (ii) any amendment or waiver that by its terms affects the rights or duties of Lenders holding Loans or Commitments of a particular Class (but not the Lenders holding Loans or Commitments of any other Class) will require only the requisite percentage in interest of the affected Class of Lenders that would be required to consent thereto if such Class of Lenders were the only Class of Lenders.</w:t>
      </w:r>
    </w:p>
    <w:p>
      <w:pPr>
        <w:spacing w:after="0" w:line="179" w:lineRule="exact"/>
        <w:rPr>
          <w:sz w:val="20"/>
          <w:szCs w:val="20"/>
          <w:color w:val="auto"/>
        </w:rPr>
      </w:pPr>
    </w:p>
    <w:p>
      <w:pPr>
        <w:ind w:firstLine="1297"/>
        <w:spacing w:after="0" w:line="259" w:lineRule="auto"/>
        <w:rPr>
          <w:sz w:val="20"/>
          <w:szCs w:val="20"/>
          <w:color w:val="auto"/>
        </w:rPr>
      </w:pPr>
      <w:r>
        <w:rPr>
          <w:rFonts w:ascii="Arial" w:cs="Arial" w:eastAsia="Arial" w:hAnsi="Arial"/>
          <w:sz w:val="19"/>
          <w:szCs w:val="19"/>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79" w:lineRule="exact"/>
        <w:rPr>
          <w:sz w:val="20"/>
          <w:szCs w:val="20"/>
          <w:color w:val="auto"/>
        </w:rPr>
      </w:pPr>
    </w:p>
    <w:p>
      <w:pPr>
        <w:ind w:right="220" w:firstLine="1297"/>
        <w:spacing w:after="0" w:line="246" w:lineRule="auto"/>
        <w:rPr>
          <w:sz w:val="20"/>
          <w:szCs w:val="20"/>
          <w:color w:val="auto"/>
        </w:rPr>
      </w:pPr>
      <w:r>
        <w:rPr>
          <w:rFonts w:ascii="Arial" w:cs="Arial" w:eastAsia="Arial" w:hAnsi="Arial"/>
          <w:sz w:val="20"/>
          <w:szCs w:val="20"/>
          <w:color w:val="auto"/>
        </w:rPr>
        <w:t xml:space="preserve">Each Lender and each holder of a Note shall be bound by any waiver, amendment or modification authorized by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10.01</w:t>
      </w:r>
      <w:r>
        <w:rPr>
          <w:rFonts w:ascii="Arial" w:cs="Arial" w:eastAsia="Arial" w:hAnsi="Arial"/>
          <w:sz w:val="20"/>
          <w:szCs w:val="20"/>
          <w:color w:val="auto"/>
        </w:rPr>
        <w:t xml:space="preserve"> regardless of whether its Note shall have been marked to make reference therein, and any consent by any Lender or holder of a Note pursuant to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shall bind any Person subsequently acquiring a Note from it, whether or not such Note shall have been so marked.</w:t>
      </w:r>
    </w:p>
    <w:p>
      <w:pPr>
        <w:spacing w:after="0" w:line="186"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0"/>
          <w:szCs w:val="20"/>
          <w:b w:val="1"/>
          <w:bCs w:val="1"/>
          <w:color w:val="auto"/>
        </w:rPr>
        <w:t>Section 10.02</w:t>
      </w:r>
      <w:r>
        <w:rPr>
          <w:sz w:val="20"/>
          <w:szCs w:val="20"/>
          <w:color w:val="auto"/>
        </w:rPr>
        <w:tab/>
      </w:r>
      <w:r>
        <w:rPr>
          <w:rFonts w:ascii="Arial" w:cs="Arial" w:eastAsia="Arial" w:hAnsi="Arial"/>
          <w:sz w:val="18"/>
          <w:szCs w:val="18"/>
          <w:u w:val="single" w:color="auto"/>
          <w:color w:val="auto"/>
        </w:rPr>
        <w:t>Notices; Effectiveness; Electronic Communications</w:t>
      </w:r>
      <w:r>
        <w:rPr>
          <w:rFonts w:ascii="Arial" w:cs="Arial" w:eastAsia="Arial" w:hAnsi="Arial"/>
          <w:sz w:val="18"/>
          <w:szCs w:val="18"/>
          <w:color w:val="auto"/>
        </w:rPr>
        <w:t>.</w:t>
      </w:r>
    </w:p>
    <w:p>
      <w:pPr>
        <w:spacing w:after="0" w:line="195" w:lineRule="exact"/>
        <w:rPr>
          <w:sz w:val="20"/>
          <w:szCs w:val="20"/>
          <w:color w:val="auto"/>
        </w:rPr>
      </w:pPr>
    </w:p>
    <w:p>
      <w:pPr>
        <w:ind w:right="80" w:firstLine="1305"/>
        <w:spacing w:after="0" w:line="273" w:lineRule="auto"/>
        <w:tabs>
          <w:tab w:leader="none" w:pos="2164" w:val="left"/>
        </w:tabs>
        <w:numPr>
          <w:ilvl w:val="0"/>
          <w:numId w:val="331"/>
        </w:numPr>
        <w:rPr>
          <w:rFonts w:ascii="Arial" w:cs="Arial" w:eastAsia="Arial" w:hAnsi="Arial"/>
          <w:sz w:val="20"/>
          <w:szCs w:val="20"/>
          <w:color w:val="auto"/>
        </w:rPr>
      </w:pPr>
      <w:r>
        <w:rPr>
          <w:rFonts w:ascii="Arial" w:cs="Arial" w:eastAsia="Arial" w:hAnsi="Arial"/>
          <w:sz w:val="20"/>
          <w:szCs w:val="20"/>
          <w:i w:val="1"/>
          <w:iCs w:val="1"/>
          <w:u w:val="single" w:color="auto"/>
          <w:color w:val="auto"/>
        </w:rPr>
        <w:t>Notices Generally</w:t>
      </w:r>
      <w:r>
        <w:rPr>
          <w:rFonts w:ascii="Arial" w:cs="Arial" w:eastAsia="Arial" w:hAnsi="Arial"/>
          <w:sz w:val="20"/>
          <w:szCs w:val="20"/>
          <w:color w:val="auto"/>
        </w:rPr>
        <w:t>. Except in the case of notices and other communications expressly permitted to be given by</w:t>
      </w:r>
      <w:r>
        <w:rPr>
          <w:rFonts w:ascii="Arial" w:cs="Arial" w:eastAsia="Arial" w:hAnsi="Arial"/>
          <w:sz w:val="20"/>
          <w:szCs w:val="20"/>
          <w:i w:val="1"/>
          <w:iCs w:val="1"/>
          <w:color w:val="auto"/>
        </w:rPr>
        <w:t xml:space="preserve"> </w:t>
      </w:r>
      <w:r>
        <w:rPr>
          <w:rFonts w:ascii="Arial" w:cs="Arial" w:eastAsia="Arial" w:hAnsi="Arial"/>
          <w:sz w:val="20"/>
          <w:szCs w:val="20"/>
          <w:color w:val="auto"/>
        </w:rPr>
        <w:t>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6" w:lineRule="exact"/>
        <w:rPr>
          <w:rFonts w:ascii="Arial" w:cs="Arial" w:eastAsia="Arial" w:hAnsi="Arial"/>
          <w:sz w:val="20"/>
          <w:szCs w:val="20"/>
          <w:color w:val="auto"/>
        </w:rPr>
      </w:pPr>
    </w:p>
    <w:p>
      <w:pPr>
        <w:ind w:left="5560" w:hanging="110"/>
        <w:spacing w:after="0"/>
        <w:tabs>
          <w:tab w:leader="none" w:pos="5560" w:val="left"/>
        </w:tabs>
        <w:numPr>
          <w:ilvl w:val="1"/>
          <w:numId w:val="331"/>
        </w:numPr>
        <w:rPr>
          <w:rFonts w:ascii="Arial" w:cs="Arial" w:eastAsia="Arial" w:hAnsi="Arial"/>
          <w:sz w:val="20"/>
          <w:szCs w:val="20"/>
          <w:color w:val="auto"/>
        </w:rPr>
      </w:pPr>
      <w:r>
        <w:rPr>
          <w:rFonts w:ascii="Arial" w:cs="Arial" w:eastAsia="Arial" w:hAnsi="Arial"/>
          <w:sz w:val="20"/>
          <w:szCs w:val="20"/>
          <w:color w:val="auto"/>
        </w:rPr>
        <w:t>164 -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360" w:name="page361"/>
    <w:bookmarkEnd w:id="360"/>
    <w:p>
      <w:pPr>
        <w:ind w:left="660" w:right="540" w:firstLine="807"/>
        <w:spacing w:after="0" w:line="347" w:lineRule="auto"/>
        <w:tabs>
          <w:tab w:leader="none" w:pos="2143"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if to Parent, any Borrower, the Administrative Agent, the L/C Issuer or the Swing Line Lender, to the address, facsimile number,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660" w:firstLine="807"/>
        <w:spacing w:after="0" w:line="274" w:lineRule="auto"/>
        <w:tabs>
          <w:tab w:leader="none" w:pos="2198" w:val="left"/>
        </w:tabs>
        <w:numPr>
          <w:ilvl w:val="0"/>
          <w:numId w:val="332"/>
        </w:numPr>
        <w:rPr>
          <w:rFonts w:ascii="Arial" w:cs="Arial" w:eastAsia="Arial" w:hAnsi="Arial"/>
          <w:sz w:val="20"/>
          <w:szCs w:val="20"/>
          <w:color w:val="auto"/>
        </w:rPr>
      </w:pPr>
      <w:r>
        <w:rPr>
          <w:rFonts w:ascii="Arial" w:cs="Arial" w:eastAsia="Arial" w:hAnsi="Arial"/>
          <w:sz w:val="20"/>
          <w:szCs w:val="20"/>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any Borrower).</w:t>
      </w:r>
    </w:p>
    <w:p>
      <w:pPr>
        <w:spacing w:after="0" w:line="125"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54" w:lineRule="exact"/>
        <w:rPr>
          <w:sz w:val="20"/>
          <w:szCs w:val="20"/>
          <w:color w:val="auto"/>
        </w:rPr>
      </w:pPr>
    </w:p>
    <w:p>
      <w:pPr>
        <w:ind w:right="40" w:firstLine="1305"/>
        <w:spacing w:after="0" w:line="286" w:lineRule="auto"/>
        <w:tabs>
          <w:tab w:leader="none" w:pos="2175" w:val="left"/>
        </w:tabs>
        <w:numPr>
          <w:ilvl w:val="0"/>
          <w:numId w:val="333"/>
        </w:numPr>
        <w:rPr>
          <w:rFonts w:ascii="Arial" w:cs="Arial" w:eastAsia="Arial" w:hAnsi="Arial"/>
          <w:sz w:val="19"/>
          <w:szCs w:val="19"/>
          <w:color w:val="auto"/>
        </w:rPr>
      </w:pPr>
      <w:r>
        <w:rPr>
          <w:rFonts w:ascii="Arial" w:cs="Arial" w:eastAsia="Arial" w:hAnsi="Arial"/>
          <w:sz w:val="19"/>
          <w:szCs w:val="19"/>
          <w:i w:val="1"/>
          <w:iCs w:val="1"/>
          <w:u w:val="single" w:color="auto"/>
          <w:color w:val="auto"/>
        </w:rPr>
        <w:t>Electronic Communications</w:t>
      </w:r>
      <w:r>
        <w:rPr>
          <w:rFonts w:ascii="Arial" w:cs="Arial" w:eastAsia="Arial" w:hAnsi="Arial"/>
          <w:sz w:val="19"/>
          <w:szCs w:val="19"/>
          <w:color w:val="auto"/>
        </w:rPr>
        <w:t>. Notices and other communications to the Agents, the Lenders and the L/C Issuer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hereunder may (subject to </w:t>
      </w:r>
      <w:r>
        <w:rPr>
          <w:rFonts w:ascii="Arial" w:cs="Arial" w:eastAsia="Arial" w:hAnsi="Arial"/>
          <w:sz w:val="19"/>
          <w:szCs w:val="19"/>
          <w:u w:val="single" w:color="auto"/>
          <w:color w:val="auto"/>
        </w:rPr>
        <w:t>Section 10.02(d)</w:t>
      </w:r>
      <w:r>
        <w:rPr>
          <w:rFonts w:ascii="Arial" w:cs="Arial" w:eastAsia="Arial" w:hAnsi="Arial"/>
          <w:sz w:val="19"/>
          <w:szCs w:val="19"/>
          <w:color w:val="auto"/>
        </w:rPr>
        <w:t xml:space="preserve">) be delivered or furnished by electronic communication (including e-mail, FpML messaging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or L/C Issuer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such Lender or the L/C Issuer, as applicable, has notified the Administrative Agent that it is incapable of receiving notices under such Article by electronic communication. The Administrative Agent, the Collateral Agent, the Swing Line Lender, any L/C Issuer or any Borrower may, in its discretion, agree to accept notices and other communications to it hereunder by electronic communications pursuant to procedures approved by it (including as set forth in </w:t>
      </w:r>
      <w:r>
        <w:rPr>
          <w:rFonts w:ascii="Arial" w:cs="Arial" w:eastAsia="Arial" w:hAnsi="Arial"/>
          <w:sz w:val="19"/>
          <w:szCs w:val="19"/>
          <w:u w:val="single" w:color="auto"/>
          <w:color w:val="auto"/>
        </w:rPr>
        <w:t>Section 10.02(d)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1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29" w:lineRule="exact"/>
        <w:rPr>
          <w:sz w:val="20"/>
          <w:szCs w:val="20"/>
          <w:color w:val="auto"/>
        </w:rPr>
      </w:pPr>
    </w:p>
    <w:p>
      <w:pPr>
        <w:ind w:firstLine="1305"/>
        <w:spacing w:after="0" w:line="286" w:lineRule="auto"/>
        <w:tabs>
          <w:tab w:leader="none" w:pos="2164" w:val="left"/>
        </w:tabs>
        <w:numPr>
          <w:ilvl w:val="0"/>
          <w:numId w:val="334"/>
        </w:numPr>
        <w:rPr>
          <w:rFonts w:ascii="Arial" w:cs="Arial" w:eastAsia="Arial" w:hAnsi="Arial"/>
          <w:sz w:val="19"/>
          <w:szCs w:val="19"/>
          <w:color w:val="auto"/>
        </w:rPr>
      </w:pPr>
      <w:r>
        <w:rPr>
          <w:rFonts w:ascii="Arial" w:cs="Arial" w:eastAsia="Arial" w:hAnsi="Arial"/>
          <w:sz w:val="19"/>
          <w:szCs w:val="19"/>
          <w:i w:val="1"/>
          <w:iCs w:val="1"/>
          <w:u w:val="single" w:color="auto"/>
          <w:color w:val="auto"/>
        </w:rPr>
        <w:t>Change of Address, Etc</w:t>
      </w:r>
      <w:r>
        <w:rPr>
          <w:rFonts w:ascii="Arial" w:cs="Arial" w:eastAsia="Arial" w:hAnsi="Arial"/>
          <w:sz w:val="19"/>
          <w:szCs w:val="19"/>
          <w:color w:val="auto"/>
        </w:rPr>
        <w:t>. Each of Parent, the Borrowers, the Administrative Agent, the L/C Issuer and the Swing</w:t>
      </w:r>
      <w:r>
        <w:rPr>
          <w:rFonts w:ascii="Arial" w:cs="Arial" w:eastAsia="Arial" w:hAnsi="Arial"/>
          <w:sz w:val="19"/>
          <w:szCs w:val="19"/>
          <w:i w:val="1"/>
          <w:iCs w:val="1"/>
          <w:color w:val="auto"/>
        </w:rPr>
        <w:t xml:space="preserve"> </w:t>
      </w:r>
      <w:r>
        <w:rPr>
          <w:rFonts w:ascii="Arial" w:cs="Arial" w:eastAsia="Arial" w:hAnsi="Arial"/>
          <w:sz w:val="19"/>
          <w:szCs w:val="19"/>
          <w:color w:val="auto"/>
        </w:rPr>
        <w:t>Line Lender may change its address, facsimile or telephone number for notices and other communications hereunder by notice to the other parties hereto which, in the case of a notice delivered to the Administrative Agent, shall be deemed to have been delivered to each other Finance Party, as applicable). Each other Lender may change its address, facsimile or telephone number for notices and other communications hereunder by notice to the Lead Borrower,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w:t>
      </w:r>
    </w:p>
    <w:p>
      <w:pPr>
        <w:spacing w:after="0" w:line="200" w:lineRule="exact"/>
        <w:rPr>
          <w:rFonts w:ascii="Arial" w:cs="Arial" w:eastAsia="Arial" w:hAnsi="Arial"/>
          <w:sz w:val="19"/>
          <w:szCs w:val="19"/>
          <w:color w:val="auto"/>
        </w:rPr>
      </w:pPr>
    </w:p>
    <w:p>
      <w:pPr>
        <w:spacing w:after="0" w:line="377" w:lineRule="exact"/>
        <w:rPr>
          <w:rFonts w:ascii="Arial" w:cs="Arial" w:eastAsia="Arial" w:hAnsi="Arial"/>
          <w:sz w:val="19"/>
          <w:szCs w:val="19"/>
          <w:color w:val="auto"/>
        </w:rPr>
      </w:pPr>
    </w:p>
    <w:p>
      <w:pPr>
        <w:ind w:left="5560" w:hanging="110"/>
        <w:spacing w:after="0"/>
        <w:tabs>
          <w:tab w:leader="none" w:pos="5560" w:val="left"/>
        </w:tabs>
        <w:numPr>
          <w:ilvl w:val="1"/>
          <w:numId w:val="334"/>
        </w:numPr>
        <w:rPr>
          <w:rFonts w:ascii="Arial" w:cs="Arial" w:eastAsia="Arial" w:hAnsi="Arial"/>
          <w:sz w:val="20"/>
          <w:szCs w:val="20"/>
          <w:color w:val="auto"/>
        </w:rPr>
      </w:pPr>
      <w:r>
        <w:rPr>
          <w:rFonts w:ascii="Arial" w:cs="Arial" w:eastAsia="Arial" w:hAnsi="Arial"/>
          <w:sz w:val="20"/>
          <w:szCs w:val="20"/>
          <w:color w:val="auto"/>
        </w:rPr>
        <w:t>165 -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79" w:right="279" w:bottom="1440" w:gutter="0" w:footer="0" w:header="0"/>
        </w:sectPr>
      </w:pPr>
    </w:p>
    <w:bookmarkStart w:id="361" w:name="page362"/>
    <w:bookmarkEnd w:id="361"/>
    <w:p>
      <w:pPr>
        <w:ind w:right="120"/>
        <w:spacing w:after="0" w:line="243" w:lineRule="auto"/>
        <w:rPr>
          <w:sz w:val="20"/>
          <w:szCs w:val="20"/>
          <w:color w:val="auto"/>
        </w:rPr>
      </w:pPr>
      <w:r>
        <w:rPr>
          <w:rFonts w:ascii="Arial" w:cs="Arial" w:eastAsia="Arial" w:hAnsi="Arial"/>
          <w:sz w:val="20"/>
          <w:szCs w:val="20"/>
          <w:color w:val="auto"/>
        </w:rPr>
        <w:t>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02" w:lineRule="exact"/>
        <w:rPr>
          <w:sz w:val="20"/>
          <w:szCs w:val="20"/>
          <w:color w:val="auto"/>
        </w:rPr>
      </w:pPr>
    </w:p>
    <w:p>
      <w:pPr>
        <w:ind w:firstLine="1305"/>
        <w:spacing w:after="0" w:line="270" w:lineRule="auto"/>
        <w:tabs>
          <w:tab w:leader="none" w:pos="2175" w:val="left"/>
        </w:tabs>
        <w:numPr>
          <w:ilvl w:val="0"/>
          <w:numId w:val="335"/>
        </w:numPr>
        <w:rPr>
          <w:rFonts w:ascii="Arial" w:cs="Arial" w:eastAsia="Arial" w:hAnsi="Arial"/>
          <w:sz w:val="20"/>
          <w:szCs w:val="20"/>
          <w:color w:val="auto"/>
        </w:rPr>
      </w:pPr>
      <w:r>
        <w:rPr>
          <w:rFonts w:ascii="Arial" w:cs="Arial" w:eastAsia="Arial" w:hAnsi="Arial"/>
          <w:sz w:val="20"/>
          <w:szCs w:val="20"/>
          <w:i w:val="1"/>
          <w:iCs w:val="1"/>
          <w:u w:val="single" w:color="auto"/>
          <w:color w:val="auto"/>
        </w:rPr>
        <w:t>Reliance by Administrative Agent, L/C Issuer and Lenders</w:t>
      </w:r>
      <w:r>
        <w:rPr>
          <w:rFonts w:ascii="Arial" w:cs="Arial" w:eastAsia="Arial" w:hAnsi="Arial"/>
          <w:sz w:val="20"/>
          <w:szCs w:val="20"/>
          <w:color w:val="auto"/>
        </w:rPr>
        <w:t>. The Administrative Agent, the L/C Issuer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Lenders shall be entitled to rely and act upon any notices (including telephonic notices, Notices of Borrowing, Letter of Credit Applications, Letter of Credit Requests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88" w:lineRule="exact"/>
        <w:rPr>
          <w:rFonts w:ascii="Arial" w:cs="Arial" w:eastAsia="Arial" w:hAnsi="Arial"/>
          <w:sz w:val="20"/>
          <w:szCs w:val="20"/>
          <w:color w:val="auto"/>
        </w:rPr>
      </w:pPr>
    </w:p>
    <w:p>
      <w:pPr>
        <w:ind w:right="60" w:firstLine="1305"/>
        <w:spacing w:after="0" w:line="300" w:lineRule="auto"/>
        <w:tabs>
          <w:tab w:leader="none" w:pos="2164" w:val="left"/>
        </w:tabs>
        <w:numPr>
          <w:ilvl w:val="0"/>
          <w:numId w:val="335"/>
        </w:numPr>
        <w:rPr>
          <w:rFonts w:ascii="Arial" w:cs="Arial" w:eastAsia="Arial" w:hAnsi="Arial"/>
          <w:sz w:val="18"/>
          <w:szCs w:val="18"/>
          <w:color w:val="auto"/>
        </w:rPr>
      </w:pPr>
      <w:r>
        <w:rPr>
          <w:rFonts w:ascii="Arial" w:cs="Arial" w:eastAsia="Arial" w:hAnsi="Arial"/>
          <w:sz w:val="18"/>
          <w:szCs w:val="18"/>
          <w:i w:val="1"/>
          <w:iCs w:val="1"/>
          <w:u w:val="single" w:color="auto"/>
          <w:color w:val="auto"/>
        </w:rPr>
        <w:t>Posting</w:t>
      </w:r>
      <w:r>
        <w:rPr>
          <w:rFonts w:ascii="Arial" w:cs="Arial" w:eastAsia="Arial" w:hAnsi="Arial"/>
          <w:sz w:val="18"/>
          <w:szCs w:val="18"/>
          <w:color w:val="auto"/>
        </w:rPr>
        <w:t>. Each Loan Party hereby agrees that it will provide to the Administrative Agent all information, documents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materials that it is obligated to furnish to the Administrative Agent pursuant to this Agreement and any other Loan Document, including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notice of any Default under this Agreement or (iv) is required to be delivered to satisfy any condition precedent to the effectiveness of this Agreement and/or any borrowing or other extension of credit hereunder (all such non-excluded communications, collectively, the “</w:t>
      </w:r>
      <w:r>
        <w:rPr>
          <w:rFonts w:ascii="Arial" w:cs="Arial" w:eastAsia="Arial" w:hAnsi="Arial"/>
          <w:sz w:val="18"/>
          <w:szCs w:val="18"/>
          <w:u w:val="single" w:color="auto"/>
          <w:color w:val="auto"/>
        </w:rPr>
        <w:t>Communications</w:t>
      </w:r>
      <w:r>
        <w:rPr>
          <w:rFonts w:ascii="Arial" w:cs="Arial" w:eastAsia="Arial" w:hAnsi="Arial"/>
          <w:sz w:val="18"/>
          <w:szCs w:val="18"/>
          <w:color w:val="auto"/>
        </w:rPr>
        <w:t>”; such excluded communications the “</w:t>
      </w:r>
      <w:r>
        <w:rPr>
          <w:rFonts w:ascii="Arial" w:cs="Arial" w:eastAsia="Arial" w:hAnsi="Arial"/>
          <w:sz w:val="18"/>
          <w:szCs w:val="18"/>
          <w:u w:val="single" w:color="auto"/>
          <w:color w:val="auto"/>
        </w:rPr>
        <w:t>Excluded Communications</w:t>
      </w:r>
      <w:r>
        <w:rPr>
          <w:rFonts w:ascii="Arial" w:cs="Arial" w:eastAsia="Arial" w:hAnsi="Arial"/>
          <w:sz w:val="18"/>
          <w:szCs w:val="18"/>
          <w:color w:val="auto"/>
        </w:rPr>
        <w:t xml:space="preserve">”), by transmitting the Communications in an electronic/soft medium in a format reasonably acceptable to the Administrative Agent to the e-mail address(es) specified in </w:t>
      </w:r>
      <w:r>
        <w:rPr>
          <w:rFonts w:ascii="Arial" w:cs="Arial" w:eastAsia="Arial" w:hAnsi="Arial"/>
          <w:sz w:val="18"/>
          <w:szCs w:val="18"/>
          <w:u w:val="single" w:color="auto"/>
          <w:color w:val="auto"/>
        </w:rPr>
        <w:t>Schedule 10.2</w:t>
      </w:r>
      <w:r>
        <w:rPr>
          <w:rFonts w:ascii="Arial" w:cs="Arial" w:eastAsia="Arial" w:hAnsi="Arial"/>
          <w:sz w:val="18"/>
          <w:szCs w:val="18"/>
          <w:color w:val="auto"/>
        </w:rPr>
        <w:t xml:space="preserve"> hereto or at such other e-mail address(es) provided to the Lead Borrower from time to time or in such other form, including hard copy delivery thereof, as the Administrative Agent shall require. In addition, each Loan Party agrees to continue to provide the Communications to the Administrative Agent in the manner specified in this Agreement or any other Loan Document or in such other form, including hard copy delivery thereof, as the Administrative Agent shall require. Nothing in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shall prejudice the right of the Agents, any Lender or any Loan Party to give any notice or other communication pursuant to this Agreement or any other Loan Document in any other manner specified in this Agreement or any other Loan Document or as any such Agent shall require. Excluded Communications shall be delivered to the Administrative Agent by facsimile communication or as the Administrative Agent shall direct.</w:t>
      </w:r>
    </w:p>
    <w:p>
      <w:pPr>
        <w:spacing w:after="0" w:line="60" w:lineRule="exact"/>
        <w:rPr>
          <w:sz w:val="20"/>
          <w:szCs w:val="20"/>
          <w:color w:val="auto"/>
        </w:rPr>
      </w:pPr>
    </w:p>
    <w:p>
      <w:pPr>
        <w:jc w:val="both"/>
        <w:ind w:right="260" w:firstLine="1297"/>
        <w:spacing w:after="0" w:line="263" w:lineRule="auto"/>
        <w:rPr>
          <w:sz w:val="20"/>
          <w:szCs w:val="20"/>
          <w:color w:val="auto"/>
        </w:rPr>
      </w:pPr>
      <w:r>
        <w:rPr>
          <w:rFonts w:ascii="Arial" w:cs="Arial" w:eastAsia="Arial" w:hAnsi="Arial"/>
          <w:sz w:val="19"/>
          <w:szCs w:val="19"/>
          <w:color w:val="auto"/>
        </w:rPr>
        <w:t xml:space="preserve">The Communications required to be delivered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may be delivered electronically and if so delivered, shall be deemed to have been delivered on the date (i), in the case of financial statements and Communications referred to in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on which such financial statements and/or appropriate disclosures are publicly available as posted on the Electronic Data Gathering, Analysis and Retrieval system (EDGAR) or any successor filing system of the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362" w:name="page363"/>
    <w:bookmarkEnd w:id="362"/>
    <w:p>
      <w:pPr>
        <w:spacing w:after="0" w:line="255" w:lineRule="auto"/>
        <w:rPr>
          <w:sz w:val="20"/>
          <w:szCs w:val="20"/>
          <w:color w:val="auto"/>
        </w:rPr>
      </w:pPr>
      <w:r>
        <w:rPr>
          <w:rFonts w:ascii="Arial" w:cs="Arial" w:eastAsia="Arial" w:hAnsi="Arial"/>
          <w:sz w:val="19"/>
          <w:szCs w:val="19"/>
          <w:color w:val="auto"/>
        </w:rPr>
        <w:t xml:space="preserve">SEC, (ii) a Borrower posts such documents, or provides a link thereto on the U.S. Borrower’s website on the Internet; or (iii) on which such documents are posted on behalf of the applicable Borrower on an Internet or Intranet website, if any, to which the Administrative Agent has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upon written request by the Administrative Agent, the Lead Borrower shall deliver copies (which may be electronic) of such documents to the Administrative Agent until a written request to cease delivering copies is given by the Administrative Agent and (ii) the Lead Borrower shall notify (which may be by facsimile or electronic mail) the Administrative Agent (and each Lender if there is at the time no incumbent Administrative Agent) of the posting of any such documents and provide to the Administrative Agent by electronic mail electronic versions (i.e. soft copies) of such documents. The Administrative Agent shall have no obligation to request the delivery or to maintain copies of the documents referred to above, and in any event shall have no responsibility to monitor compliance by any Borrower with any such request for delivery, and each Lender shall be solely responsible for requesting delivery to it or maintaining its copies of such documents. Furthermore, if any financial statement, certificate or other information required to be delivered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shall be required to be delivered on any date that is not a Business Day, such financial statement, certificate or other information may be delivered to the Administrative Agent on the next succeeding Business Day after such date.</w:t>
      </w:r>
    </w:p>
    <w:p>
      <w:pPr>
        <w:spacing w:after="0" w:line="75" w:lineRule="exact"/>
        <w:rPr>
          <w:sz w:val="20"/>
          <w:szCs w:val="20"/>
          <w:color w:val="auto"/>
        </w:rPr>
      </w:pPr>
    </w:p>
    <w:p>
      <w:pPr>
        <w:ind w:right="240" w:firstLine="1297"/>
        <w:spacing w:after="0" w:line="263" w:lineRule="auto"/>
        <w:rPr>
          <w:sz w:val="20"/>
          <w:szCs w:val="20"/>
          <w:color w:val="auto"/>
        </w:rPr>
      </w:pPr>
      <w:r>
        <w:rPr>
          <w:rFonts w:ascii="Arial" w:cs="Arial" w:eastAsia="Arial" w:hAnsi="Arial"/>
          <w:sz w:val="19"/>
          <w:szCs w:val="19"/>
          <w:color w:val="auto"/>
        </w:rPr>
        <w:t xml:space="preserve">To the extent consented to by the Administrative Agent in writing from time to time, the Administrative Agent agrees that receipt of the Communications by the Administrative Agent at its e-mail address(es) set forth above shall constitute effective delivery of the Communications to the Administrative Agent for purposes of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Lead Borrower shall also deliver to the Administrative Agent an executed original of each Compliance Certificate required to be delivered hereunder.</w:t>
      </w:r>
    </w:p>
    <w:p>
      <w:pPr>
        <w:spacing w:after="0" w:line="69" w:lineRule="exact"/>
        <w:rPr>
          <w:sz w:val="20"/>
          <w:szCs w:val="20"/>
          <w:color w:val="auto"/>
        </w:rPr>
      </w:pPr>
    </w:p>
    <w:p>
      <w:pPr>
        <w:ind w:firstLine="1297"/>
        <w:spacing w:after="0" w:line="255" w:lineRule="auto"/>
        <w:rPr>
          <w:sz w:val="20"/>
          <w:szCs w:val="20"/>
          <w:color w:val="auto"/>
        </w:rPr>
      </w:pPr>
      <w:r>
        <w:rPr>
          <w:rFonts w:ascii="Arial" w:cs="Arial" w:eastAsia="Arial" w:hAnsi="Arial"/>
          <w:sz w:val="19"/>
          <w:szCs w:val="19"/>
          <w:color w:val="auto"/>
        </w:rPr>
        <w:t>Each Loan Party further agrees that the Administrative Agent may make the Communications available to the Lenders by posting the Communications on a Platform. The Platform is provided “as is” and “as available.” The Agent Parties (as defined below)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any Agent in connection with the Communications or the Platform. In no event shall the Administrative Agent or any of its Related Parties (collectively, the “Agent Parties”) have any liability to the Loan Parties, any Lender, any L/C Issuer, or any other Person for damages of any kind, including direct or indirect, losses or expenses (whether in tort, contract or otherwise) arising out of any Loan Party’s or the Administrative Agent’s transmission of Borrower Materials (as defined below) or notices through the Platform, any other electronic platform or electronic messaging service, or through the Internet, except to the extent the liability of such Person is found in a final non-appealable judgment by a court of competent jurisdiction to have resulted from such Person’s gross negligence, bad faith or willful misconduct. Additionally, in no event shall the Administrative Agent or any of its Related Parties have any liability to the Loan Parties, any Lender, any L/C Issuer, or any other Person for any special, incidental or consequential damages.</w:t>
      </w:r>
    </w:p>
    <w:p>
      <w:pPr>
        <w:spacing w:after="0" w:line="75"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Each Borrower hereby acknowledges that (i) the Administrative Agent</w:t>
      </w:r>
      <w:r>
        <w:rPr>
          <w:rFonts w:ascii="Arial" w:cs="Arial" w:eastAsia="Arial" w:hAnsi="Arial"/>
          <w:sz w:val="20"/>
          <w:szCs w:val="20"/>
          <w:u w:val="single" w:color="auto"/>
          <w:color w:val="0000FF"/>
        </w:rPr>
        <w:t>, the Lead Arrangers</w:t>
      </w:r>
      <w:r>
        <w:rPr>
          <w:rFonts w:ascii="Arial" w:cs="Arial" w:eastAsia="Arial" w:hAnsi="Arial"/>
          <w:sz w:val="20"/>
          <w:szCs w:val="20"/>
          <w:color w:val="auto"/>
        </w:rPr>
        <w:t xml:space="preserve"> and/or the </w:t>
      </w:r>
      <w:r>
        <w:rPr>
          <w:rFonts w:ascii="Arial" w:cs="Arial" w:eastAsia="Arial" w:hAnsi="Arial"/>
          <w:sz w:val="20"/>
          <w:szCs w:val="20"/>
          <w:color w:val="FF0000"/>
          <w:strike w:val="1"/>
        </w:rPr>
        <w:t>Lead</w:t>
      </w:r>
    </w:p>
    <w:p>
      <w:pPr>
        <w:spacing w:after="0" w:line="16" w:lineRule="exact"/>
        <w:rPr>
          <w:sz w:val="20"/>
          <w:szCs w:val="20"/>
          <w:color w:val="auto"/>
        </w:rPr>
      </w:pPr>
    </w:p>
    <w:p>
      <w:pPr>
        <w:ind w:right="20"/>
        <w:spacing w:after="0"/>
        <w:rPr>
          <w:sz w:val="20"/>
          <w:szCs w:val="20"/>
          <w:color w:val="auto"/>
        </w:rPr>
      </w:pPr>
      <w:r>
        <w:rPr>
          <w:rFonts w:ascii="Arial" w:cs="Arial" w:eastAsia="Arial" w:hAnsi="Arial"/>
          <w:sz w:val="20"/>
          <w:szCs w:val="20"/>
          <w:color w:val="FF0000"/>
          <w:strike w:val="1"/>
        </w:rPr>
        <w:t>Arranger</w:t>
      </w:r>
      <w:r>
        <w:rPr>
          <w:rFonts w:ascii="Arial" w:cs="Arial" w:eastAsia="Arial" w:hAnsi="Arial"/>
          <w:sz w:val="20"/>
          <w:szCs w:val="20"/>
          <w:u w:val="single" w:color="auto"/>
          <w:color w:val="0000FF"/>
        </w:rPr>
        <w:t>Amendment No. 1 Arrangers</w:t>
      </w:r>
      <w:r>
        <w:rPr>
          <w:rFonts w:ascii="Arial" w:cs="Arial" w:eastAsia="Arial" w:hAnsi="Arial"/>
          <w:sz w:val="20"/>
          <w:szCs w:val="20"/>
          <w:color w:val="FF0000"/>
        </w:rPr>
        <w:t xml:space="preserve"> </w:t>
      </w:r>
      <w:r>
        <w:rPr>
          <w:rFonts w:ascii="Arial" w:cs="Arial" w:eastAsia="Arial" w:hAnsi="Arial"/>
          <w:sz w:val="20"/>
          <w:szCs w:val="20"/>
          <w:color w:val="000000"/>
        </w:rPr>
        <w:t>will make available to the Lenders and the L/C Issuer materials and/or information provided by or on</w:t>
      </w:r>
      <w:r>
        <w:rPr>
          <w:rFonts w:ascii="Arial" w:cs="Arial" w:eastAsia="Arial" w:hAnsi="Arial"/>
          <w:sz w:val="20"/>
          <w:szCs w:val="20"/>
          <w:color w:val="FF0000"/>
        </w:rPr>
        <w:t xml:space="preserve"> </w:t>
      </w:r>
      <w:r>
        <w:rPr>
          <w:rFonts w:ascii="Arial" w:cs="Arial" w:eastAsia="Arial" w:hAnsi="Arial"/>
          <w:sz w:val="20"/>
          <w:szCs w:val="20"/>
          <w:color w:val="000000"/>
        </w:rPr>
        <w:t>behalf of the Borrowers hereunder (collectively, “</w:t>
      </w:r>
      <w:r>
        <w:rPr>
          <w:rFonts w:ascii="Arial" w:cs="Arial" w:eastAsia="Arial" w:hAnsi="Arial"/>
          <w:sz w:val="20"/>
          <w:szCs w:val="20"/>
          <w:u w:val="single" w:color="auto"/>
          <w:color w:val="000000"/>
        </w:rPr>
        <w:t>Borrower Materials</w:t>
      </w:r>
      <w:r>
        <w:rPr>
          <w:rFonts w:ascii="Arial" w:cs="Arial" w:eastAsia="Arial" w:hAnsi="Arial"/>
          <w:sz w:val="20"/>
          <w:szCs w:val="20"/>
          <w:color w:val="000000"/>
        </w:rPr>
        <w:t>”) by posting the Borrower Materials on IntraLinks, Syndtrak, ClearPar or another substantially similar electronic transmission system (the “</w:t>
      </w:r>
      <w:r>
        <w:rPr>
          <w:rFonts w:ascii="Arial" w:cs="Arial" w:eastAsia="Arial" w:hAnsi="Arial"/>
          <w:sz w:val="20"/>
          <w:szCs w:val="20"/>
          <w:u w:val="single" w:color="auto"/>
          <w:color w:val="000000"/>
        </w:rPr>
        <w:t>Platform</w:t>
      </w:r>
      <w:r>
        <w:rPr>
          <w:rFonts w:ascii="Arial" w:cs="Arial" w:eastAsia="Arial" w:hAnsi="Arial"/>
          <w:sz w:val="20"/>
          <w:szCs w:val="20"/>
          <w:color w:val="000000"/>
        </w:rPr>
        <w:t>”) and (ii) certain of the Lenders may be “public-side” Lenders (i.e., Lenders that do not wish to receive material non-public information with respect to each Borrower or their Affiliates, or the respective securities of</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- 167 -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363" w:name="page364"/>
    <w:bookmarkEnd w:id="363"/>
    <w:p>
      <w:pPr>
        <w:spacing w:after="0" w:line="270" w:lineRule="auto"/>
        <w:rPr>
          <w:sz w:val="20"/>
          <w:szCs w:val="20"/>
          <w:color w:val="auto"/>
        </w:rPr>
      </w:pPr>
      <w:r>
        <w:rPr>
          <w:rFonts w:ascii="Arial" w:cs="Arial" w:eastAsia="Arial" w:hAnsi="Arial"/>
          <w:sz w:val="18"/>
          <w:szCs w:val="18"/>
          <w:color w:val="auto"/>
        </w:rPr>
        <w:t>any of the foregoing, and who may be engaged in investment and other market-related activities with respect to such Persons’ securities)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Each Borrower hereby agrees that so long as the Parent is the issuer of any outstanding debt or equity securities that are issued pursuant to a public offering registered with the SEC or in a private placement for resale pursuant to Rule 144A under the Securities Act of 1933, as amended, or is actively contemplating issuing any such securities: (i) all Borrower Materials are to be made available to Public Lenders unless clearly and conspicuously marked “Private – Contains Non-Public Information” which, at a minimum, shall mean that the words “Private – Contains Non-Public Information” shall appear prominently on the first page thereof; (ii) by not marking Borrower Materials “Private – Contains Non-Public Information,” each Borrower shall be deemed to have authorized the Administrative Agent, the Lead </w:t>
      </w:r>
      <w:r>
        <w:rPr>
          <w:rFonts w:ascii="Arial" w:cs="Arial" w:eastAsia="Arial" w:hAnsi="Arial"/>
          <w:sz w:val="18"/>
          <w:szCs w:val="18"/>
          <w:color w:val="FF0000"/>
          <w:strike w:val="1"/>
        </w:rPr>
        <w:t>Arranger</w:t>
      </w:r>
      <w:r>
        <w:rPr>
          <w:rFonts w:ascii="Arial" w:cs="Arial" w:eastAsia="Arial" w:hAnsi="Arial"/>
          <w:sz w:val="18"/>
          <w:szCs w:val="18"/>
          <w:u w:val="single" w:color="auto"/>
          <w:color w:val="0000FF"/>
        </w:rPr>
        <w:t>Arrangers</w:t>
      </w:r>
      <w:r>
        <w:rPr>
          <w:rFonts w:ascii="Arial" w:cs="Arial" w:eastAsia="Arial" w:hAnsi="Arial"/>
          <w:sz w:val="18"/>
          <w:szCs w:val="18"/>
          <w:color w:val="000000"/>
        </w:rPr>
        <w:t>, the Joint Bookrunners,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the Amendment No. 1 Arrangers,</w:t>
      </w:r>
      <w:r>
        <w:rPr>
          <w:rFonts w:ascii="Arial" w:cs="Arial" w:eastAsia="Arial" w:hAnsi="Arial"/>
          <w:sz w:val="18"/>
          <w:szCs w:val="18"/>
          <w:color w:val="FF0000"/>
        </w:rPr>
        <w:t xml:space="preserve"> </w:t>
      </w:r>
      <w:r>
        <w:rPr>
          <w:rFonts w:ascii="Arial" w:cs="Arial" w:eastAsia="Arial" w:hAnsi="Arial"/>
          <w:sz w:val="18"/>
          <w:szCs w:val="18"/>
          <w:color w:val="000000"/>
        </w:rPr>
        <w:t>the L/C Issuer and the Lenders to treat such Borrower Materials</w:t>
      </w:r>
      <w:r>
        <w:rPr>
          <w:rFonts w:ascii="Arial" w:cs="Arial" w:eastAsia="Arial" w:hAnsi="Arial"/>
          <w:sz w:val="18"/>
          <w:szCs w:val="18"/>
          <w:color w:val="FF0000"/>
        </w:rPr>
        <w:t xml:space="preserve"> </w:t>
      </w:r>
      <w:r>
        <w:rPr>
          <w:rFonts w:ascii="Arial" w:cs="Arial" w:eastAsia="Arial" w:hAnsi="Arial"/>
          <w:sz w:val="18"/>
          <w:szCs w:val="18"/>
          <w:color w:val="000000"/>
        </w:rPr>
        <w:t>as not containing any material non-public information with respect to any Borrower or its securities for purposes of United States Federal and state securities laws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xml:space="preserve">, that to the extent such Borrower Materials constitute Information, they shall be treated as set forth in </w:t>
      </w:r>
      <w:r>
        <w:rPr>
          <w:rFonts w:ascii="Arial" w:cs="Arial" w:eastAsia="Arial" w:hAnsi="Arial"/>
          <w:sz w:val="18"/>
          <w:szCs w:val="18"/>
          <w:u w:val="single" w:color="auto"/>
          <w:color w:val="000000"/>
        </w:rPr>
        <w:t>Section 10.07</w:t>
      </w:r>
      <w:r>
        <w:rPr>
          <w:rFonts w:ascii="Arial" w:cs="Arial" w:eastAsia="Arial" w:hAnsi="Arial"/>
          <w:sz w:val="18"/>
          <w:szCs w:val="18"/>
          <w:color w:val="000000"/>
        </w:rPr>
        <w:t>); (iii) all Borrower Materials that are not marked “Private – Contains Non-Public Information” are permitted to be made available through a portion of the Platform designated “Public Investor,” and (iv) the Administrative Agent</w:t>
      </w:r>
      <w:r>
        <w:rPr>
          <w:rFonts w:ascii="Arial" w:cs="Arial" w:eastAsia="Arial" w:hAnsi="Arial"/>
          <w:sz w:val="18"/>
          <w:szCs w:val="18"/>
          <w:u w:val="single" w:color="auto"/>
          <w:color w:val="0000FF"/>
        </w:rPr>
        <w:t>, the Lead Arrangers</w:t>
      </w:r>
      <w:r>
        <w:rPr>
          <w:rFonts w:ascii="Arial" w:cs="Arial" w:eastAsia="Arial" w:hAnsi="Arial"/>
          <w:sz w:val="18"/>
          <w:szCs w:val="18"/>
          <w:color w:val="000000"/>
        </w:rPr>
        <w:t xml:space="preserve"> and the </w:t>
      </w:r>
      <w:r>
        <w:rPr>
          <w:rFonts w:ascii="Arial" w:cs="Arial" w:eastAsia="Arial" w:hAnsi="Arial"/>
          <w:sz w:val="18"/>
          <w:szCs w:val="18"/>
          <w:color w:val="FF0000"/>
          <w:strike w:val="1"/>
        </w:rPr>
        <w:t>Lead</w:t>
      </w:r>
      <w:r>
        <w:rPr>
          <w:rFonts w:ascii="Arial" w:cs="Arial" w:eastAsia="Arial" w:hAnsi="Arial"/>
          <w:sz w:val="18"/>
          <w:szCs w:val="18"/>
          <w:color w:val="000000"/>
        </w:rPr>
        <w:t xml:space="preserve"> </w:t>
      </w:r>
      <w:r>
        <w:rPr>
          <w:rFonts w:ascii="Arial" w:cs="Arial" w:eastAsia="Arial" w:hAnsi="Arial"/>
          <w:sz w:val="18"/>
          <w:szCs w:val="18"/>
          <w:color w:val="FF0000"/>
          <w:strike w:val="1"/>
        </w:rPr>
        <w:t>Arranger</w:t>
      </w:r>
      <w:r>
        <w:rPr>
          <w:rFonts w:ascii="Arial" w:cs="Arial" w:eastAsia="Arial" w:hAnsi="Arial"/>
          <w:sz w:val="18"/>
          <w:szCs w:val="18"/>
          <w:u w:val="single" w:color="auto"/>
          <w:color w:val="0000FF"/>
        </w:rPr>
        <w:t>Amendment No. 1 Arrangers</w:t>
      </w:r>
      <w:r>
        <w:rPr>
          <w:rFonts w:ascii="Arial" w:cs="Arial" w:eastAsia="Arial" w:hAnsi="Arial"/>
          <w:sz w:val="18"/>
          <w:szCs w:val="18"/>
          <w:color w:val="FF0000"/>
        </w:rPr>
        <w:t xml:space="preserve"> </w:t>
      </w:r>
      <w:r>
        <w:rPr>
          <w:rFonts w:ascii="Arial" w:cs="Arial" w:eastAsia="Arial" w:hAnsi="Arial"/>
          <w:sz w:val="18"/>
          <w:szCs w:val="18"/>
          <w:color w:val="000000"/>
        </w:rPr>
        <w:t>shall be entitled to treat any Borrower Materials that are marked “Private – Contains Non-Public</w:t>
      </w:r>
      <w:r>
        <w:rPr>
          <w:rFonts w:ascii="Arial" w:cs="Arial" w:eastAsia="Arial" w:hAnsi="Arial"/>
          <w:sz w:val="18"/>
          <w:szCs w:val="18"/>
          <w:color w:val="FF0000"/>
        </w:rPr>
        <w:t xml:space="preserve"> </w:t>
      </w:r>
      <w:r>
        <w:rPr>
          <w:rFonts w:ascii="Arial" w:cs="Arial" w:eastAsia="Arial" w:hAnsi="Arial"/>
          <w:sz w:val="18"/>
          <w:szCs w:val="18"/>
          <w:color w:val="000000"/>
        </w:rPr>
        <w:t>Information” as being suitable only for posting on a portion of the Platform not designated “Public Investor.”</w:t>
      </w:r>
    </w:p>
    <w:p>
      <w:pPr>
        <w:spacing w:after="0" w:line="164" w:lineRule="exact"/>
        <w:rPr>
          <w:sz w:val="20"/>
          <w:szCs w:val="20"/>
          <w:color w:val="auto"/>
        </w:rPr>
      </w:pPr>
    </w:p>
    <w:p>
      <w:pPr>
        <w:ind w:right="40" w:firstLine="1297"/>
        <w:spacing w:after="0" w:line="245" w:lineRule="auto"/>
        <w:rPr>
          <w:sz w:val="20"/>
          <w:szCs w:val="20"/>
          <w:color w:val="auto"/>
        </w:rPr>
      </w:pPr>
      <w:r>
        <w:rPr>
          <w:rFonts w:ascii="Arial" w:cs="Arial" w:eastAsia="Arial" w:hAnsi="Arial"/>
          <w:sz w:val="20"/>
          <w:szCs w:val="20"/>
          <w:b w:val="1"/>
          <w:bCs w:val="1"/>
          <w:color w:val="auto"/>
        </w:rPr>
        <w:t xml:space="preserve">Section 10.03 </w:t>
      </w:r>
      <w:r>
        <w:rPr>
          <w:rFonts w:ascii="Arial" w:cs="Arial" w:eastAsia="Arial" w:hAnsi="Arial"/>
          <w:sz w:val="20"/>
          <w:szCs w:val="20"/>
          <w:u w:val="single" w:color="auto"/>
          <w:color w:val="auto"/>
        </w:rPr>
        <w:t>No Waiver; Cumulative Remedies; Enforcement</w:t>
      </w:r>
      <w:r>
        <w:rPr>
          <w:rFonts w:ascii="Arial" w:cs="Arial" w:eastAsia="Arial" w:hAnsi="Arial"/>
          <w:sz w:val="20"/>
          <w:szCs w:val="20"/>
          <w:color w:val="auto"/>
        </w:rPr>
        <w:t>. No failure by any Lender or any L/C Issuer or by the</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50" w:lineRule="exact"/>
        <w:rPr>
          <w:sz w:val="20"/>
          <w:szCs w:val="20"/>
          <w:color w:val="auto"/>
        </w:rPr>
      </w:pPr>
    </w:p>
    <w:p>
      <w:pPr>
        <w:ind w:right="40" w:firstLine="1297"/>
        <w:spacing w:after="0" w:line="268"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for the benefit of all the Lenders and the L/C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or</w:t>
      </w:r>
    </w:p>
    <w:p>
      <w:pPr>
        <w:spacing w:after="0" w:line="4" w:lineRule="exact"/>
        <w:rPr>
          <w:sz w:val="20"/>
          <w:szCs w:val="20"/>
          <w:color w:val="auto"/>
        </w:rPr>
      </w:pPr>
    </w:p>
    <w:p>
      <w:pPr>
        <w:ind w:right="120" w:firstLine="8"/>
        <w:spacing w:after="0"/>
        <w:tabs>
          <w:tab w:leader="none" w:pos="280" w:val="left"/>
        </w:tabs>
        <w:numPr>
          <w:ilvl w:val="0"/>
          <w:numId w:val="336"/>
        </w:numPr>
        <w:rPr>
          <w:rFonts w:ascii="Arial" w:cs="Arial" w:eastAsia="Arial" w:hAnsi="Arial"/>
          <w:sz w:val="20"/>
          <w:szCs w:val="20"/>
          <w:color w:val="auto"/>
        </w:rPr>
      </w:pPr>
      <w:r>
        <w:rPr>
          <w:rFonts w:ascii="Arial" w:cs="Arial" w:eastAsia="Arial" w:hAnsi="Arial"/>
          <w:sz w:val="20"/>
          <w:szCs w:val="20"/>
          <w:color w:val="auto"/>
        </w:rPr>
        <w:t xml:space="preserve">any Lender from filing proofs of claim or appearing and filing pleadings on its own behalf during the pendency of a proceeding relative to any Loan Party under any Bankruptcy Law;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and (ii) in addition to the matters set forth in clauses (b), (c) and (d) of the preceding proviso and subject to </w:t>
      </w:r>
      <w:r>
        <w:rPr>
          <w:rFonts w:ascii="Arial" w:cs="Arial" w:eastAsia="Arial" w:hAnsi="Arial"/>
          <w:sz w:val="20"/>
          <w:szCs w:val="20"/>
          <w:u w:val="single" w:color="auto"/>
          <w:color w:val="auto"/>
        </w:rPr>
        <w:t>Section 2.13</w:t>
      </w:r>
      <w:r>
        <w:rPr>
          <w:rFonts w:ascii="Arial" w:cs="Arial" w:eastAsia="Arial" w:hAnsi="Arial"/>
          <w:sz w:val="20"/>
          <w:szCs w:val="20"/>
          <w:color w:val="auto"/>
        </w:rPr>
        <w:t>, any Lender may, with the consent of the Required Lenders, enforce any rights and remedies available to it and as authorized by the Required Lenders.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6" w:lineRule="exact"/>
        <w:rPr>
          <w:rFonts w:ascii="Arial" w:cs="Arial" w:eastAsia="Arial" w:hAnsi="Arial"/>
          <w:sz w:val="20"/>
          <w:szCs w:val="20"/>
          <w:color w:val="auto"/>
        </w:rPr>
      </w:pPr>
    </w:p>
    <w:p>
      <w:pPr>
        <w:ind w:left="5560" w:hanging="110"/>
        <w:spacing w:after="0"/>
        <w:tabs>
          <w:tab w:leader="none" w:pos="5560" w:val="left"/>
        </w:tabs>
        <w:numPr>
          <w:ilvl w:val="1"/>
          <w:numId w:val="336"/>
        </w:numPr>
        <w:rPr>
          <w:rFonts w:ascii="Arial" w:cs="Arial" w:eastAsia="Arial" w:hAnsi="Arial"/>
          <w:sz w:val="20"/>
          <w:szCs w:val="20"/>
          <w:color w:val="auto"/>
        </w:rPr>
      </w:pPr>
      <w:r>
        <w:rPr>
          <w:rFonts w:ascii="Arial" w:cs="Arial" w:eastAsia="Arial" w:hAnsi="Arial"/>
          <w:sz w:val="20"/>
          <w:szCs w:val="20"/>
          <w:color w:val="auto"/>
        </w:rPr>
        <w:t>168 -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66" w:right="299" w:bottom="1440" w:gutter="0" w:footer="0" w:header="0"/>
        </w:sectPr>
      </w:pPr>
    </w:p>
    <w:bookmarkStart w:id="364" w:name="page365"/>
    <w:bookmarkEnd w:id="364"/>
    <w:p>
      <w:pPr>
        <w:ind w:left="100"/>
        <w:spacing w:after="0"/>
        <w:tabs>
          <w:tab w:leader="none" w:pos="1400" w:val="left"/>
        </w:tabs>
        <w:rPr>
          <w:sz w:val="20"/>
          <w:szCs w:val="20"/>
          <w:color w:val="auto"/>
        </w:rPr>
      </w:pPr>
      <w:r>
        <w:rPr>
          <w:rFonts w:ascii="Arial" w:cs="Arial" w:eastAsia="Arial" w:hAnsi="Arial"/>
          <w:sz w:val="20"/>
          <w:szCs w:val="20"/>
          <w:b w:val="1"/>
          <w:bCs w:val="1"/>
          <w:color w:val="auto"/>
        </w:rPr>
        <w:t>Section 10.04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195" w:lineRule="exact"/>
        <w:rPr>
          <w:sz w:val="20"/>
          <w:szCs w:val="20"/>
          <w:color w:val="auto"/>
        </w:rPr>
      </w:pPr>
    </w:p>
    <w:p>
      <w:pPr>
        <w:ind w:left="-1200" w:firstLine="1305"/>
        <w:spacing w:after="0" w:line="299" w:lineRule="auto"/>
        <w:tabs>
          <w:tab w:leader="none" w:pos="964" w:val="left"/>
        </w:tabs>
        <w:numPr>
          <w:ilvl w:val="0"/>
          <w:numId w:val="337"/>
        </w:numPr>
        <w:rPr>
          <w:rFonts w:ascii="Arial" w:cs="Arial" w:eastAsia="Arial" w:hAnsi="Arial"/>
          <w:sz w:val="18"/>
          <w:szCs w:val="18"/>
          <w:color w:val="auto"/>
        </w:rPr>
      </w:pPr>
      <w:r>
        <w:rPr>
          <w:rFonts w:ascii="Arial" w:cs="Arial" w:eastAsia="Arial" w:hAnsi="Arial"/>
          <w:sz w:val="18"/>
          <w:szCs w:val="18"/>
          <w:i w:val="1"/>
          <w:iCs w:val="1"/>
          <w:u w:val="single" w:color="auto"/>
          <w:color w:val="auto"/>
        </w:rPr>
        <w:t>Costs and Expenses</w:t>
      </w:r>
      <w:r>
        <w:rPr>
          <w:rFonts w:ascii="Arial" w:cs="Arial" w:eastAsia="Arial" w:hAnsi="Arial"/>
          <w:sz w:val="18"/>
          <w:szCs w:val="18"/>
          <w:color w:val="auto"/>
        </w:rPr>
        <w:t xml:space="preserve">. The Loan Parties, jointly and severally, agree to pay (i) all reasonable and documented out-of-pocket costs and expenses incurred by the Administrative Agent, the Collateral Agent, the Lead Arrangers </w:t>
      </w:r>
      <w:r>
        <w:rPr>
          <w:rFonts w:ascii="Arial" w:cs="Arial" w:eastAsia="Arial" w:hAnsi="Arial"/>
          <w:sz w:val="18"/>
          <w:szCs w:val="18"/>
          <w:color w:val="FF0000"/>
          <w:strike w:val="1"/>
        </w:rPr>
        <w:t>and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the Joint Bookrunners </w:t>
      </w:r>
      <w:r>
        <w:rPr>
          <w:rFonts w:ascii="Arial" w:cs="Arial" w:eastAsia="Arial" w:hAnsi="Arial"/>
          <w:sz w:val="18"/>
          <w:szCs w:val="18"/>
          <w:u w:val="single" w:color="auto"/>
          <w:color w:val="0000FF"/>
        </w:rPr>
        <w:t>and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 No. 1 Arrangers</w:t>
      </w:r>
      <w:r>
        <w:rPr>
          <w:rFonts w:ascii="Arial" w:cs="Arial" w:eastAsia="Arial" w:hAnsi="Arial"/>
          <w:sz w:val="18"/>
          <w:szCs w:val="18"/>
          <w:color w:val="0000FF"/>
        </w:rPr>
        <w:t xml:space="preserve"> </w:t>
      </w:r>
      <w:r>
        <w:rPr>
          <w:rFonts w:ascii="Arial" w:cs="Arial" w:eastAsia="Arial" w:hAnsi="Arial"/>
          <w:sz w:val="18"/>
          <w:szCs w:val="18"/>
          <w:color w:val="000000"/>
        </w:rPr>
        <w:t>and their respective Affiliates (including the reasonable and documented fees, charges and disbursements of</w:t>
      </w:r>
      <w:r>
        <w:rPr>
          <w:rFonts w:ascii="Arial" w:cs="Arial" w:eastAsia="Arial" w:hAnsi="Arial"/>
          <w:sz w:val="18"/>
          <w:szCs w:val="18"/>
          <w:color w:val="0000FF"/>
        </w:rPr>
        <w:t xml:space="preserve"> </w:t>
      </w:r>
      <w:r>
        <w:rPr>
          <w:rFonts w:ascii="Arial" w:cs="Arial" w:eastAsia="Arial" w:hAnsi="Arial"/>
          <w:sz w:val="18"/>
          <w:szCs w:val="18"/>
          <w:color w:val="000000"/>
        </w:rPr>
        <w:t xml:space="preserve">counsel for the Administrative Agent and/or the Collateral Agent) in connection with the syndication and closing of the Loans provided for herein, the preparation, negotiation, execution, delivery and administration of this Agreement and the other Loan Documents or any amendment, amendment and restatement, modification or waiver of the provisions hereof or thereof (whether or not the transactions contemplated hereby or thereby shall be consummated), including in connection with post-closing searches to confirm that security filings and recordations have been properly made and including any costs and expenses of the service provider referred to in </w:t>
      </w:r>
      <w:r>
        <w:rPr>
          <w:rFonts w:ascii="Arial" w:cs="Arial" w:eastAsia="Arial" w:hAnsi="Arial"/>
          <w:sz w:val="18"/>
          <w:szCs w:val="18"/>
          <w:u w:val="single" w:color="auto"/>
          <w:color w:val="000000"/>
        </w:rPr>
        <w:t>Section 9.03</w:t>
      </w:r>
      <w:r>
        <w:rPr>
          <w:rFonts w:ascii="Arial" w:cs="Arial" w:eastAsia="Arial" w:hAnsi="Arial"/>
          <w:sz w:val="18"/>
          <w:szCs w:val="18"/>
          <w:color w:val="000000"/>
        </w:rPr>
        <w:t xml:space="preserve"> and in connection with its the protection of its rights and remedies (A) in connection with this Agreement and the other Loan Documents, including its rights under this </w:t>
      </w:r>
      <w:r>
        <w:rPr>
          <w:rFonts w:ascii="Arial" w:cs="Arial" w:eastAsia="Arial" w:hAnsi="Arial"/>
          <w:sz w:val="18"/>
          <w:szCs w:val="18"/>
          <w:u w:val="single" w:color="auto"/>
          <w:color w:val="000000"/>
        </w:rPr>
        <w:t>Section 10.04</w:t>
      </w:r>
      <w:r>
        <w:rPr>
          <w:rFonts w:ascii="Arial" w:cs="Arial" w:eastAsia="Arial" w:hAnsi="Arial"/>
          <w:sz w:val="18"/>
          <w:szCs w:val="18"/>
          <w:color w:val="000000"/>
        </w:rPr>
        <w:t xml:space="preserve">, or (B) in connection with the Loans made or Letters of Credit issued hereunder, including all such reasonable out-of-pocket expenses incurred during any legal proceeding, including any Insolvency or Liquidation Proceeding, and including in connection with any workout, restructuring or negotiations in respect of such Loans or Letters of Credit, (ii) all reasonable out of pocket expenses incurred by any L/C Issuer in connection with the issuance, amendment, renewal or extension of any Letter of Credit or any demand for payment thereunder, and (iii) all reasonable out of pocket expenses incurred by the Administrative Agent, the Collateral Agent, any Lender or any L/C Issuer (including the fees, charges and disbursements of counsel for the Administrative Agent, the Collateral Agent, any Lender or any L/C Issuer), in connection with the enforcement or protection of its rights and remedies (A) in connection with this Agreement and the other Loan Documents, including its rights under this </w:t>
      </w:r>
      <w:r>
        <w:rPr>
          <w:rFonts w:ascii="Arial" w:cs="Arial" w:eastAsia="Arial" w:hAnsi="Arial"/>
          <w:sz w:val="18"/>
          <w:szCs w:val="18"/>
          <w:u w:val="single" w:color="auto"/>
          <w:color w:val="000000"/>
        </w:rPr>
        <w:t>Section 10.04</w:t>
      </w:r>
      <w:r>
        <w:rPr>
          <w:rFonts w:ascii="Arial" w:cs="Arial" w:eastAsia="Arial" w:hAnsi="Arial"/>
          <w:sz w:val="18"/>
          <w:szCs w:val="18"/>
          <w:color w:val="000000"/>
        </w:rPr>
        <w:t xml:space="preserve">, or (B) in connection with the Loans made or Letters of Credit issued hereunder, including all such reasonable out-of-pocket expenses incurred during any legal proceeding, including any proceeding under any Bankruptcy Law, and including in connection with any workout, restructuring or negotiations in respect of such Loans or Letters of Credit;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xml:space="preserve">, that no Borrower will be required to pay the fees and expenses of third party advisors to the Administrative Agent, the Collateral Agent, any Lender or any L/C Issuer (which shall not include counsel) retained without the consent of the Lead Borrower (such consent not to be unreasonably withheld or delayed) or more than (x) one counsel to the Administrative Agent and the Collateral Agent (plus one local counsel in each applicable local jurisdiction and one specialty counsel in each applicable specialty) and (y) one counsel to the Required Lenders (plus one local counsel in each applicable local jurisdiction, one specialty counsel in each applicable specialty and any additional counsel for a Lender reasonably deemed appropriate due to potential conflicts of interest incurred in connection with the enforcement protection of its rights and remedies pursuant to this </w:t>
      </w:r>
      <w:r>
        <w:rPr>
          <w:rFonts w:ascii="Arial" w:cs="Arial" w:eastAsia="Arial" w:hAnsi="Arial"/>
          <w:sz w:val="18"/>
          <w:szCs w:val="18"/>
          <w:u w:val="single" w:color="auto"/>
          <w:color w:val="000000"/>
        </w:rPr>
        <w:t>Section 10.04(a)</w:t>
      </w:r>
      <w:r>
        <w:rPr>
          <w:rFonts w:ascii="Arial" w:cs="Arial" w:eastAsia="Arial" w:hAnsi="Arial"/>
          <w:sz w:val="18"/>
          <w:szCs w:val="18"/>
          <w:color w:val="000000"/>
        </w:rPr>
        <w:t>).</w:t>
      </w:r>
    </w:p>
    <w:p>
      <w:pPr>
        <w:spacing w:after="0" w:line="142" w:lineRule="exact"/>
        <w:rPr>
          <w:rFonts w:ascii="Arial" w:cs="Arial" w:eastAsia="Arial" w:hAnsi="Arial"/>
          <w:sz w:val="18"/>
          <w:szCs w:val="18"/>
          <w:color w:val="auto"/>
        </w:rPr>
      </w:pPr>
    </w:p>
    <w:p>
      <w:pPr>
        <w:ind w:left="-1200" w:right="60" w:firstLine="1305"/>
        <w:spacing w:after="0" w:line="303" w:lineRule="auto"/>
        <w:tabs>
          <w:tab w:leader="none" w:pos="975" w:val="left"/>
        </w:tabs>
        <w:numPr>
          <w:ilvl w:val="0"/>
          <w:numId w:val="337"/>
        </w:numPr>
        <w:rPr>
          <w:rFonts w:ascii="Arial" w:cs="Arial" w:eastAsia="Arial" w:hAnsi="Arial"/>
          <w:sz w:val="18"/>
          <w:szCs w:val="18"/>
          <w:color w:val="auto"/>
        </w:rPr>
      </w:pPr>
      <w:r>
        <w:rPr>
          <w:rFonts w:ascii="Arial" w:cs="Arial" w:eastAsia="Arial" w:hAnsi="Arial"/>
          <w:sz w:val="18"/>
          <w:szCs w:val="18"/>
          <w:i w:val="1"/>
          <w:iCs w:val="1"/>
          <w:u w:val="single" w:color="auto"/>
          <w:color w:val="auto"/>
        </w:rPr>
        <w:t>Indemnification by Borrower</w:t>
      </w:r>
      <w:r>
        <w:rPr>
          <w:rFonts w:ascii="Arial" w:cs="Arial" w:eastAsia="Arial" w:hAnsi="Arial"/>
          <w:sz w:val="18"/>
          <w:szCs w:val="18"/>
          <w:color w:val="auto"/>
        </w:rPr>
        <w:t>. The Loan Parties, jointly and severally, shall indemnify the Administrative Agent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any sub-agent thereof), the Collateral Agent (and any sub-agent thereof), the Lead </w:t>
      </w:r>
      <w:r>
        <w:rPr>
          <w:rFonts w:ascii="Arial" w:cs="Arial" w:eastAsia="Arial" w:hAnsi="Arial"/>
          <w:sz w:val="18"/>
          <w:szCs w:val="18"/>
          <w:color w:val="FF0000"/>
          <w:strike w:val="1"/>
        </w:rPr>
        <w:t>Arranger</w:t>
      </w:r>
      <w:r>
        <w:rPr>
          <w:rFonts w:ascii="Arial" w:cs="Arial" w:eastAsia="Arial" w:hAnsi="Arial"/>
          <w:sz w:val="18"/>
          <w:szCs w:val="18"/>
          <w:u w:val="single" w:color="auto"/>
          <w:color w:val="0000FF"/>
        </w:rPr>
        <w:t>Arrangers</w:t>
      </w:r>
      <w:r>
        <w:rPr>
          <w:rFonts w:ascii="Arial" w:cs="Arial" w:eastAsia="Arial" w:hAnsi="Arial"/>
          <w:sz w:val="18"/>
          <w:szCs w:val="18"/>
          <w:color w:val="auto"/>
        </w:rPr>
        <w:t xml:space="preserve">, the Joint Bookrunners, </w:t>
      </w:r>
      <w:r>
        <w:rPr>
          <w:rFonts w:ascii="Arial" w:cs="Arial" w:eastAsia="Arial" w:hAnsi="Arial"/>
          <w:sz w:val="18"/>
          <w:szCs w:val="18"/>
          <w:u w:val="single" w:color="auto"/>
          <w:color w:val="0000FF"/>
        </w:rPr>
        <w:t>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 No. 1 Arrangers,</w:t>
      </w:r>
      <w:r>
        <w:rPr>
          <w:rFonts w:ascii="Arial" w:cs="Arial" w:eastAsia="Arial" w:hAnsi="Arial"/>
          <w:sz w:val="18"/>
          <w:szCs w:val="18"/>
          <w:color w:val="0000FF"/>
        </w:rPr>
        <w:t xml:space="preserve"> </w:t>
      </w:r>
      <w:r>
        <w:rPr>
          <w:rFonts w:ascii="Arial" w:cs="Arial" w:eastAsia="Arial" w:hAnsi="Arial"/>
          <w:sz w:val="18"/>
          <w:szCs w:val="18"/>
          <w:color w:val="000000"/>
        </w:rPr>
        <w:t>each Lender and each L/C Issuer, and each Related Party of any of the foregoing Persons and their respective</w:t>
      </w:r>
      <w:r>
        <w:rPr>
          <w:rFonts w:ascii="Arial" w:cs="Arial" w:eastAsia="Arial" w:hAnsi="Arial"/>
          <w:sz w:val="18"/>
          <w:szCs w:val="18"/>
          <w:color w:val="0000FF"/>
        </w:rPr>
        <w:t xml:space="preserve"> </w:t>
      </w:r>
      <w:r>
        <w:rPr>
          <w:rFonts w:ascii="Arial" w:cs="Arial" w:eastAsia="Arial" w:hAnsi="Arial"/>
          <w:sz w:val="18"/>
          <w:szCs w:val="18"/>
          <w:color w:val="000000"/>
        </w:rPr>
        <w:t>successors and assigns (each such Person being called an “</w:t>
      </w:r>
      <w:r>
        <w:rPr>
          <w:rFonts w:ascii="Arial" w:cs="Arial" w:eastAsia="Arial" w:hAnsi="Arial"/>
          <w:sz w:val="18"/>
          <w:szCs w:val="18"/>
          <w:u w:val="single" w:color="auto"/>
          <w:color w:val="000000"/>
        </w:rPr>
        <w:t>Indemnitee</w:t>
      </w:r>
      <w:r>
        <w:rPr>
          <w:rFonts w:ascii="Arial" w:cs="Arial" w:eastAsia="Arial" w:hAnsi="Arial"/>
          <w:sz w:val="18"/>
          <w:szCs w:val="18"/>
          <w:color w:val="000000"/>
        </w:rPr>
        <w:t>”) against, and hold each Indemnitee harmless from, any and all liabilities, obligations, losses, damages, penalties, claims, demands, actions, judgments, suits, costs (including settlement costs), disbursements and out-of-pocket fees and expenses (including the fees, charges and disbursements of counsel) incurred by any Indemnitee or asserted against any Indemnitee by any third party or by any Borrower or any other Loan Party arising out of, in connection with, or as a result of (i) the execution or delivery of this Agreement, any other Loan Document, or any amendment, amendment and restatement, modification or waiver of the provisions hereof or thereof, or any agreement or instrument contemplated hereby or thereby, the</w:t>
      </w: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4360" w:hanging="110"/>
        <w:spacing w:after="0"/>
        <w:tabs>
          <w:tab w:leader="none" w:pos="4360" w:val="left"/>
        </w:tabs>
        <w:numPr>
          <w:ilvl w:val="1"/>
          <w:numId w:val="337"/>
        </w:numPr>
        <w:rPr>
          <w:rFonts w:ascii="Arial" w:cs="Arial" w:eastAsia="Arial" w:hAnsi="Arial"/>
          <w:sz w:val="20"/>
          <w:szCs w:val="20"/>
          <w:color w:val="auto"/>
        </w:rPr>
      </w:pPr>
      <w:r>
        <w:rPr>
          <w:rFonts w:ascii="Arial" w:cs="Arial" w:eastAsia="Arial" w:hAnsi="Arial"/>
          <w:sz w:val="20"/>
          <w:szCs w:val="20"/>
          <w:color w:val="auto"/>
        </w:rPr>
        <w:t>169 -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48895</wp:posOffset>
            </wp:positionV>
            <wp:extent cx="72720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0" w:right="239" w:bottom="1440" w:gutter="0" w:footer="0" w:header="0"/>
        </w:sectPr>
      </w:pPr>
    </w:p>
    <w:bookmarkStart w:id="365" w:name="page366"/>
    <w:bookmarkEnd w:id="365"/>
    <w:p>
      <w:pPr>
        <w:ind w:right="20"/>
        <w:spacing w:after="0" w:line="334" w:lineRule="auto"/>
        <w:rPr>
          <w:sz w:val="20"/>
          <w:szCs w:val="20"/>
          <w:color w:val="auto"/>
        </w:rPr>
      </w:pPr>
      <w:r>
        <w:rPr>
          <w:rFonts w:ascii="Arial" w:cs="Arial" w:eastAsia="Arial" w:hAnsi="Arial"/>
          <w:sz w:val="16"/>
          <w:szCs w:val="16"/>
          <w:color w:val="auto"/>
        </w:rPr>
        <w:t>performance by the parties hereto of their respective obligations hereunder or thereunder or the consummation of the transactions contemplated hereby, thereby, or related thereto or, in the case of the Administrative Agent (and any sub-agent thereof) and its Related Parties only,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or threatened Release of Hazardous Materials on, at, under or from any property owned, leased or operated by any Borrower or any of its Restricted Subsidiaries at any time, or any Environmental Liability related in any way to any Borrower or any of its Restricted Subsidiaries, or</w:t>
      </w:r>
    </w:p>
    <w:p>
      <w:pPr>
        <w:spacing w:after="0" w:line="4" w:lineRule="exact"/>
        <w:rPr>
          <w:sz w:val="20"/>
          <w:szCs w:val="20"/>
          <w:color w:val="auto"/>
        </w:rPr>
      </w:pPr>
    </w:p>
    <w:p>
      <w:pPr>
        <w:ind w:firstLine="8"/>
        <w:spacing w:after="0" w:line="300" w:lineRule="auto"/>
        <w:tabs>
          <w:tab w:leader="none" w:pos="33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any actual or prospective claim, litigation, investigation or proceeding relating to any of the foregoing, whether based on contract, tort or any other theory, whether brought by a third party or by any Borrower or any other Loan Party, and regardless of whether any Indemnitee is a party thereto (all the foregoing, collectively, the “</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bad faith or willful misconduct of such Indemnitee or a Related Party thereof, or (y) disputes solely among Indemnitees not involving any act or omission of any Loan Party or any of their respective Related Parties (other than a dispute against the Administrative Agent, Collateral Agent, </w:t>
      </w:r>
      <w:r>
        <w:rPr>
          <w:rFonts w:ascii="Arial" w:cs="Arial" w:eastAsia="Arial" w:hAnsi="Arial"/>
          <w:sz w:val="18"/>
          <w:szCs w:val="18"/>
          <w:color w:val="FF0000"/>
          <w:strike w:val="1"/>
        </w:rPr>
        <w:t>the Lead Arranger or the Joint Bookrunners</w:t>
      </w:r>
      <w:r>
        <w:rPr>
          <w:rFonts w:ascii="Arial" w:cs="Arial" w:eastAsia="Arial" w:hAnsi="Arial"/>
          <w:sz w:val="18"/>
          <w:szCs w:val="18"/>
          <w:u w:val="single" w:color="auto"/>
          <w:color w:val="0000FF"/>
        </w:rPr>
        <w:t>any Lead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Arrangers, any Joint Bookrunner or any Amendment No. 1 Arranger</w:t>
      </w:r>
      <w:r>
        <w:rPr>
          <w:rFonts w:ascii="Arial" w:cs="Arial" w:eastAsia="Arial" w:hAnsi="Arial"/>
          <w:sz w:val="18"/>
          <w:szCs w:val="18"/>
          <w:color w:val="0000FF"/>
        </w:rPr>
        <w:t xml:space="preserve"> </w:t>
      </w:r>
      <w:r>
        <w:rPr>
          <w:rFonts w:ascii="Arial" w:cs="Arial" w:eastAsia="Arial" w:hAnsi="Arial"/>
          <w:sz w:val="18"/>
          <w:szCs w:val="18"/>
          <w:color w:val="000000"/>
        </w:rPr>
        <w:t>in their capacities as such);</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provided further</w:t>
      </w:r>
      <w:r>
        <w:rPr>
          <w:rFonts w:ascii="Arial" w:cs="Arial" w:eastAsia="Arial" w:hAnsi="Arial"/>
          <w:sz w:val="18"/>
          <w:szCs w:val="18"/>
          <w:color w:val="0000FF"/>
        </w:rPr>
        <w:t xml:space="preserve"> </w:t>
      </w:r>
      <w:r>
        <w:rPr>
          <w:rFonts w:ascii="Arial" w:cs="Arial" w:eastAsia="Arial" w:hAnsi="Arial"/>
          <w:sz w:val="18"/>
          <w:szCs w:val="18"/>
          <w:color w:val="000000"/>
        </w:rPr>
        <w:t>that the Loan Parties shall not</w:t>
      </w:r>
      <w:r>
        <w:rPr>
          <w:rFonts w:ascii="Arial" w:cs="Arial" w:eastAsia="Arial" w:hAnsi="Arial"/>
          <w:sz w:val="18"/>
          <w:szCs w:val="18"/>
          <w:color w:val="0000FF"/>
        </w:rPr>
        <w:t xml:space="preserve"> </w:t>
      </w:r>
      <w:r>
        <w:rPr>
          <w:rFonts w:ascii="Arial" w:cs="Arial" w:eastAsia="Arial" w:hAnsi="Arial"/>
          <w:sz w:val="18"/>
          <w:szCs w:val="18"/>
          <w:color w:val="000000"/>
        </w:rPr>
        <w:t>be required to reimburse the legal fees and expenses of more than one counsel (in addition to one special counsel in each specialty area, up to one local counsel in each applicable local jurisdiction and any additional counsel for an Indemnitee reasonably deemed appropriate by virtue of potential conflicts of interests incurred in connection with investigating, defending or preparing to defend any such action, suit, proceeding (including any inquiry or investigation) or claim (whether or not any Agent, any Lender or any other such Indemnitee is a party to any action or proceeding out of which any such expenses arise)) or one other third party advisor for all Indemnitees (plus any additional third party advisor for an Indemnitee reasonably deemed appropriate by virtue of potential conflicts of interests incurred in connection with investigating, defending or preparing to defend any such action, suit, proceeding (including any inquiry or investigation) or claim (whether or not any Agent, any Lender or any other such Indemnitee is a party to any action or proceeding out of which any such expenses arise).</w:t>
      </w:r>
    </w:p>
    <w:p>
      <w:pPr>
        <w:spacing w:after="0" w:line="141" w:lineRule="exact"/>
        <w:rPr>
          <w:rFonts w:ascii="Arial" w:cs="Arial" w:eastAsia="Arial" w:hAnsi="Arial"/>
          <w:sz w:val="18"/>
          <w:szCs w:val="18"/>
          <w:color w:val="auto"/>
        </w:rPr>
      </w:pPr>
    </w:p>
    <w:p>
      <w:pPr>
        <w:ind w:right="80" w:firstLine="1305"/>
        <w:spacing w:after="0" w:line="302" w:lineRule="auto"/>
        <w:tabs>
          <w:tab w:leader="none" w:pos="2164" w:val="left"/>
        </w:tabs>
        <w:numPr>
          <w:ilvl w:val="1"/>
          <w:numId w:val="338"/>
        </w:numPr>
        <w:rPr>
          <w:rFonts w:ascii="Arial" w:cs="Arial" w:eastAsia="Arial" w:hAnsi="Arial"/>
          <w:sz w:val="18"/>
          <w:szCs w:val="18"/>
          <w:color w:val="auto"/>
        </w:rPr>
      </w:pPr>
      <w:r>
        <w:rPr>
          <w:rFonts w:ascii="Arial" w:cs="Arial" w:eastAsia="Arial" w:hAnsi="Arial"/>
          <w:sz w:val="18"/>
          <w:szCs w:val="18"/>
          <w:i w:val="1"/>
          <w:iCs w:val="1"/>
          <w:u w:val="single" w:color="auto"/>
          <w:color w:val="auto"/>
        </w:rPr>
        <w:t>Waiver of Consequential Damages, Etc</w:t>
      </w:r>
      <w:r>
        <w:rPr>
          <w:rFonts w:ascii="Arial" w:cs="Arial" w:eastAsia="Arial" w:hAnsi="Arial"/>
          <w:sz w:val="18"/>
          <w:szCs w:val="18"/>
          <w:color w:val="auto"/>
        </w:rPr>
        <w:t>. To the fullest extent permitted by applicable Law, no Loan Party shall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assert, and each Loan Party hereby waives, any claim against any Indemnitee, and each of the Agents, each L/C Issuer and each Lender agrees not to assert or permit any of their respective subsidiaries to assert any claim against Parent or any of its Subsidiaries or any of their respective directors, officers, employees, attorneys, agents or advisors, on any theory of liability, for special, indirect, consequential (including, without limitation, any loss of profits, business or anticipated savings) or punitive damages (in each case,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(for the avoidance of doubt, nothing in this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shall limit any Indemnitee’s right to indemnification provisions for third party claims as set forth in </w:t>
      </w:r>
      <w:r>
        <w:rPr>
          <w:rFonts w:ascii="Arial" w:cs="Arial" w:eastAsia="Arial" w:hAnsi="Arial"/>
          <w:sz w:val="18"/>
          <w:szCs w:val="18"/>
          <w:u w:val="single" w:color="auto"/>
          <w:color w:val="auto"/>
        </w:rPr>
        <w:t>Section 10.04(b)</w:t>
      </w:r>
      <w:r>
        <w:rPr>
          <w:rFonts w:ascii="Arial" w:cs="Arial" w:eastAsia="Arial" w:hAnsi="Arial"/>
          <w:sz w:val="18"/>
          <w:szCs w:val="18"/>
          <w:color w:val="auto"/>
        </w:rPr>
        <w:t>).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5560" w:hanging="110"/>
        <w:spacing w:after="0"/>
        <w:tabs>
          <w:tab w:leader="none" w:pos="5560" w:val="left"/>
        </w:tabs>
        <w:numPr>
          <w:ilvl w:val="2"/>
          <w:numId w:val="338"/>
        </w:numPr>
        <w:rPr>
          <w:rFonts w:ascii="Arial" w:cs="Arial" w:eastAsia="Arial" w:hAnsi="Arial"/>
          <w:sz w:val="20"/>
          <w:szCs w:val="20"/>
          <w:color w:val="auto"/>
        </w:rPr>
      </w:pPr>
      <w:r>
        <w:rPr>
          <w:rFonts w:ascii="Arial" w:cs="Arial" w:eastAsia="Arial" w:hAnsi="Arial"/>
          <w:sz w:val="20"/>
          <w:szCs w:val="20"/>
          <w:color w:val="auto"/>
        </w:rPr>
        <w:t>170 -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79" w:right="279" w:bottom="1440" w:gutter="0" w:footer="0" w:header="0"/>
        </w:sectPr>
      </w:pPr>
    </w:p>
    <w:bookmarkStart w:id="366" w:name="page367"/>
    <w:bookmarkEnd w:id="366"/>
    <w:p>
      <w:pPr>
        <w:ind w:left="2180" w:hanging="875"/>
        <w:spacing w:after="0"/>
        <w:tabs>
          <w:tab w:leader="none" w:pos="2180" w:val="left"/>
        </w:tabs>
        <w:numPr>
          <w:ilvl w:val="0"/>
          <w:numId w:val="339"/>
        </w:numPr>
        <w:rPr>
          <w:rFonts w:ascii="Arial" w:cs="Arial" w:eastAsia="Arial" w:hAnsi="Arial"/>
          <w:sz w:val="18"/>
          <w:szCs w:val="18"/>
          <w:color w:val="auto"/>
        </w:rPr>
      </w:pPr>
      <w:r>
        <w:rPr>
          <w:rFonts w:ascii="Arial" w:cs="Arial" w:eastAsia="Arial" w:hAnsi="Arial"/>
          <w:sz w:val="18"/>
          <w:szCs w:val="18"/>
          <w:i w:val="1"/>
          <w:iCs w:val="1"/>
          <w:u w:val="single" w:color="auto"/>
          <w:color w:val="auto"/>
        </w:rPr>
        <w:t>Payments</w:t>
      </w:r>
      <w:r>
        <w:rPr>
          <w:rFonts w:ascii="Arial" w:cs="Arial" w:eastAsia="Arial" w:hAnsi="Arial"/>
          <w:sz w:val="18"/>
          <w:szCs w:val="18"/>
          <w:color w:val="auto"/>
        </w:rPr>
        <w:t>. All amounts due under this Section shall be payable not later than ten Business Days after demand</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therefor.</w:t>
      </w:r>
    </w:p>
    <w:p>
      <w:pPr>
        <w:spacing w:after="0" w:line="202" w:lineRule="exact"/>
        <w:rPr>
          <w:sz w:val="20"/>
          <w:szCs w:val="20"/>
          <w:color w:val="auto"/>
        </w:rPr>
      </w:pPr>
    </w:p>
    <w:p>
      <w:pPr>
        <w:ind w:right="480" w:firstLine="1305"/>
        <w:spacing w:after="0" w:line="299" w:lineRule="auto"/>
        <w:tabs>
          <w:tab w:leader="none" w:pos="2164" w:val="left"/>
        </w:tabs>
        <w:numPr>
          <w:ilvl w:val="0"/>
          <w:numId w:val="340"/>
        </w:numPr>
        <w:rPr>
          <w:rFonts w:ascii="Arial" w:cs="Arial" w:eastAsia="Arial" w:hAnsi="Arial"/>
          <w:sz w:val="19"/>
          <w:szCs w:val="19"/>
          <w:color w:val="auto"/>
        </w:rPr>
      </w:pPr>
      <w:r>
        <w:rPr>
          <w:rFonts w:ascii="Arial" w:cs="Arial" w:eastAsia="Arial" w:hAnsi="Arial"/>
          <w:sz w:val="19"/>
          <w:szCs w:val="19"/>
          <w:i w:val="1"/>
          <w:iCs w:val="1"/>
          <w:u w:val="single" w:color="auto"/>
          <w:color w:val="auto"/>
        </w:rPr>
        <w:t>Survival</w:t>
      </w:r>
      <w:r>
        <w:rPr>
          <w:rFonts w:ascii="Arial" w:cs="Arial" w:eastAsia="Arial" w:hAnsi="Arial"/>
          <w:sz w:val="19"/>
          <w:szCs w:val="19"/>
          <w:color w:val="auto"/>
        </w:rPr>
        <w:t>. The agreements in this Section and the indemnity provision of</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10.02(e)</w:t>
      </w:r>
      <w:r>
        <w:rPr>
          <w:rFonts w:ascii="Arial" w:cs="Arial" w:eastAsia="Arial" w:hAnsi="Arial"/>
          <w:sz w:val="19"/>
          <w:szCs w:val="19"/>
          <w:i w:val="1"/>
          <w:iCs w:val="1"/>
          <w:color w:val="auto"/>
        </w:rPr>
        <w:t xml:space="preserve"> </w:t>
      </w:r>
      <w:r>
        <w:rPr>
          <w:rFonts w:ascii="Arial" w:cs="Arial" w:eastAsia="Arial" w:hAnsi="Arial"/>
          <w:sz w:val="19"/>
          <w:szCs w:val="19"/>
          <w:color w:val="auto"/>
        </w:rPr>
        <w:t>shall survive the</w:t>
      </w:r>
      <w:r>
        <w:rPr>
          <w:rFonts w:ascii="Arial" w:cs="Arial" w:eastAsia="Arial" w:hAnsi="Arial"/>
          <w:sz w:val="19"/>
          <w:szCs w:val="19"/>
          <w:i w:val="1"/>
          <w:iCs w:val="1"/>
          <w:color w:val="auto"/>
        </w:rPr>
        <w:t xml:space="preserve"> </w:t>
      </w:r>
      <w:r>
        <w:rPr>
          <w:rFonts w:ascii="Arial" w:cs="Arial" w:eastAsia="Arial" w:hAnsi="Arial"/>
          <w:sz w:val="19"/>
          <w:szCs w:val="19"/>
          <w:color w:val="auto"/>
        </w:rPr>
        <w:t>resignation of the Administrative Agent, any L/C Issuer and the Swing Line Lender, the replacement of any Lender, the termination of the Commitments and the repayment, satisfaction or discharge of all the other Senior Credit Obligations.</w:t>
      </w:r>
    </w:p>
    <w:p>
      <w:pPr>
        <w:spacing w:after="0" w:line="109" w:lineRule="exact"/>
        <w:rPr>
          <w:sz w:val="20"/>
          <w:szCs w:val="20"/>
          <w:color w:val="auto"/>
        </w:rPr>
      </w:pPr>
    </w:p>
    <w:p>
      <w:pPr>
        <w:ind w:right="140" w:firstLine="1297"/>
        <w:spacing w:after="0" w:line="255" w:lineRule="auto"/>
        <w:rPr>
          <w:sz w:val="20"/>
          <w:szCs w:val="20"/>
          <w:color w:val="auto"/>
        </w:rPr>
      </w:pPr>
      <w:r>
        <w:rPr>
          <w:rFonts w:ascii="Arial" w:cs="Arial" w:eastAsia="Arial" w:hAnsi="Arial"/>
          <w:sz w:val="19"/>
          <w:szCs w:val="19"/>
          <w:b w:val="1"/>
          <w:bCs w:val="1"/>
          <w:color w:val="auto"/>
        </w:rPr>
        <w:t xml:space="preserve">Section 10.05 </w:t>
      </w:r>
      <w:r>
        <w:rPr>
          <w:rFonts w:ascii="Arial" w:cs="Arial" w:eastAsia="Arial" w:hAnsi="Arial"/>
          <w:sz w:val="19"/>
          <w:szCs w:val="19"/>
          <w:u w:val="single" w:color="auto"/>
          <w:color w:val="auto"/>
        </w:rPr>
        <w:t>Payments Set Aside</w:t>
      </w:r>
      <w:r>
        <w:rPr>
          <w:rFonts w:ascii="Arial" w:cs="Arial" w:eastAsia="Arial" w:hAnsi="Arial"/>
          <w:sz w:val="19"/>
          <w:szCs w:val="19"/>
          <w:color w:val="auto"/>
        </w:rPr>
        <w:t>. To the extent that any payment by or on behalf of any Borrower or any other Loan Party</w:t>
      </w:r>
      <w:r>
        <w:rPr>
          <w:rFonts w:ascii="Arial" w:cs="Arial" w:eastAsia="Arial" w:hAnsi="Arial"/>
          <w:sz w:val="19"/>
          <w:szCs w:val="19"/>
          <w:b w:val="1"/>
          <w:bCs w:val="1"/>
          <w:color w:val="auto"/>
        </w:rPr>
        <w:t xml:space="preserve"> </w:t>
      </w:r>
      <w:r>
        <w:rPr>
          <w:rFonts w:ascii="Arial" w:cs="Arial" w:eastAsia="Arial" w:hAnsi="Arial"/>
          <w:sz w:val="19"/>
          <w:szCs w:val="19"/>
          <w:color w:val="auto"/>
        </w:rPr>
        <w:t>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Insolvency or Liquidation Proceeding or otherwise, then (i) to the extent of such recovery, the obligation or part thereof originally intended to be satisfied shall be revived and continued in full force and effect as if such payment had not been made or such setoff had not occurred, and (ii) each Lender severally agrees to pay to the Administrative Agent and such L/C Issuer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clause (ii) of the preceding sentence shall survive the payment in full of the Senior Credit Obligations and the termination of this Agreement.</w:t>
      </w:r>
    </w:p>
    <w:p>
      <w:pPr>
        <w:spacing w:after="0" w:line="145"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0"/>
          <w:szCs w:val="20"/>
          <w:b w:val="1"/>
          <w:bCs w:val="1"/>
          <w:color w:val="auto"/>
        </w:rPr>
        <w:t>Section 10.06</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195" w:lineRule="exact"/>
        <w:rPr>
          <w:sz w:val="20"/>
          <w:szCs w:val="20"/>
          <w:color w:val="auto"/>
        </w:rPr>
      </w:pPr>
    </w:p>
    <w:p>
      <w:pPr>
        <w:ind w:right="120" w:firstLine="1305"/>
        <w:spacing w:after="0" w:line="345" w:lineRule="auto"/>
        <w:tabs>
          <w:tab w:leader="none" w:pos="2164" w:val="left"/>
        </w:tabs>
        <w:numPr>
          <w:ilvl w:val="0"/>
          <w:numId w:val="341"/>
        </w:numPr>
        <w:rPr>
          <w:rFonts w:ascii="Arial" w:cs="Arial" w:eastAsia="Arial" w:hAnsi="Arial"/>
          <w:sz w:val="16"/>
          <w:szCs w:val="16"/>
          <w:color w:val="auto"/>
        </w:rPr>
      </w:pPr>
      <w:r>
        <w:rPr>
          <w:rFonts w:ascii="Arial" w:cs="Arial" w:eastAsia="Arial" w:hAnsi="Arial"/>
          <w:sz w:val="16"/>
          <w:szCs w:val="16"/>
          <w:i w:val="1"/>
          <w:iCs w:val="1"/>
          <w:u w:val="single" w:color="auto"/>
          <w:color w:val="auto"/>
        </w:rPr>
        <w:t>Successors and Assigns Generally</w:t>
      </w:r>
      <w:r>
        <w:rPr>
          <w:rFonts w:ascii="Arial" w:cs="Arial" w:eastAsia="Arial" w:hAnsi="Arial"/>
          <w:sz w:val="16"/>
          <w:szCs w:val="16"/>
          <w:color w:val="auto"/>
        </w:rPr>
        <w:t>. The provisions of this Agreement shall be binding upon and inure to the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parties hereto and their respective successors and assigns permitted hereby, except that no Loan Party may assign or otherwise transfer any of its rights or obligations hereunder without the prior written consent of the Administrative Agent, the L/C Issuer, the Swing Line Lender and each Lender and no Lender may assign or otherwise transfer any of its rights or obligations hereunder except (i) to an Eligible Assignee in accordance with the provisions of subsection (b)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(ii) by way of participation in accordance with the provisions of subsection (d)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or (iii) by way of pledge or assignment of a security interest subject to the restrictions of subsection (f)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(and any other attempted assignment or transfer by any party hereto, except as set forth in </w:t>
      </w:r>
      <w:r>
        <w:rPr>
          <w:rFonts w:ascii="Arial" w:cs="Arial" w:eastAsia="Arial" w:hAnsi="Arial"/>
          <w:sz w:val="16"/>
          <w:szCs w:val="16"/>
          <w:u w:val="single" w:color="auto"/>
          <w:color w:val="auto"/>
        </w:rPr>
        <w:t>Section 10.06(h)(i)</w:t>
      </w:r>
      <w:r>
        <w:rPr>
          <w:rFonts w:ascii="Arial" w:cs="Arial" w:eastAsia="Arial" w:hAnsi="Arial"/>
          <w:sz w:val="16"/>
          <w:szCs w:val="16"/>
          <w:color w:val="auto"/>
        </w:rPr>
        <w:t>,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other Indemnitees) any legal or equitable right, remedy or claim under or by reason of this Agreement.</w:t>
      </w:r>
    </w:p>
    <w:p>
      <w:pPr>
        <w:spacing w:after="0" w:line="361" w:lineRule="exact"/>
        <w:rPr>
          <w:rFonts w:ascii="Arial" w:cs="Arial" w:eastAsia="Arial" w:hAnsi="Arial"/>
          <w:sz w:val="16"/>
          <w:szCs w:val="16"/>
          <w:color w:val="auto"/>
        </w:rPr>
      </w:pPr>
    </w:p>
    <w:p>
      <w:pPr>
        <w:ind w:firstLine="1305"/>
        <w:spacing w:after="0" w:line="322" w:lineRule="auto"/>
        <w:tabs>
          <w:tab w:leader="none" w:pos="2175" w:val="left"/>
        </w:tabs>
        <w:numPr>
          <w:ilvl w:val="0"/>
          <w:numId w:val="341"/>
        </w:numPr>
        <w:rPr>
          <w:rFonts w:ascii="Arial" w:cs="Arial" w:eastAsia="Arial" w:hAnsi="Arial"/>
          <w:sz w:val="18"/>
          <w:szCs w:val="18"/>
          <w:color w:val="auto"/>
        </w:rPr>
      </w:pPr>
      <w:r>
        <w:rPr>
          <w:rFonts w:ascii="Arial" w:cs="Arial" w:eastAsia="Arial" w:hAnsi="Arial"/>
          <w:sz w:val="18"/>
          <w:szCs w:val="18"/>
          <w:i w:val="1"/>
          <w:iCs w:val="1"/>
          <w:u w:val="single" w:color="auto"/>
          <w:color w:val="auto"/>
        </w:rPr>
        <w:t>Assignments by Lenders</w:t>
      </w:r>
      <w:r>
        <w:rPr>
          <w:rFonts w:ascii="Arial" w:cs="Arial" w:eastAsia="Arial" w:hAnsi="Arial"/>
          <w:sz w:val="18"/>
          <w:szCs w:val="18"/>
          <w:color w:val="auto"/>
        </w:rPr>
        <w:t>. Any Lender may at any time assign to one or more Eligible Assignees all or a portion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rights and obligations under this Agreement (including all or a portion of its Commitments and the Loans (including for purposes of this subsection (b), any Participation Interests in the Letters of Credit and Swing Line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112" w:lineRule="exact"/>
        <w:rPr>
          <w:rFonts w:ascii="Arial" w:cs="Arial" w:eastAsia="Arial" w:hAnsi="Arial"/>
          <w:sz w:val="18"/>
          <w:szCs w:val="18"/>
          <w:color w:val="auto"/>
        </w:rPr>
      </w:pPr>
    </w:p>
    <w:p>
      <w:pPr>
        <w:ind w:left="660" w:right="80" w:firstLine="807"/>
        <w:spacing w:after="0" w:line="299" w:lineRule="auto"/>
        <w:tabs>
          <w:tab w:leader="none" w:pos="2143" w:val="left"/>
        </w:tabs>
        <w:numPr>
          <w:ilvl w:val="1"/>
          <w:numId w:val="341"/>
        </w:numPr>
        <w:rPr>
          <w:rFonts w:ascii="Arial" w:cs="Arial" w:eastAsia="Arial" w:hAnsi="Arial"/>
          <w:sz w:val="19"/>
          <w:szCs w:val="19"/>
          <w:color w:val="auto"/>
        </w:rPr>
      </w:pPr>
      <w:r>
        <w:rPr>
          <w:rFonts w:ascii="Arial" w:cs="Arial" w:eastAsia="Arial" w:hAnsi="Arial"/>
          <w:sz w:val="19"/>
          <w:szCs w:val="19"/>
          <w:color w:val="auto"/>
        </w:rPr>
        <w:t>an assignment of the entire remaining amount of the assigning Lender’s Commitment and the Loans of the applicable Class, as the case may be, owing to it or in the case of an assignment to a Lender or an Affiliate of a Lender or an Approved Fund with respect to a Lender, (A) the aggregate amount of the Revolving Commitment (which for this purpose</w:t>
      </w:r>
    </w:p>
    <w:p>
      <w:pPr>
        <w:spacing w:after="0" w:line="200" w:lineRule="exact"/>
        <w:rPr>
          <w:rFonts w:ascii="Arial" w:cs="Arial" w:eastAsia="Arial" w:hAnsi="Arial"/>
          <w:sz w:val="19"/>
          <w:szCs w:val="19"/>
          <w:color w:val="auto"/>
        </w:rPr>
      </w:pPr>
    </w:p>
    <w:p>
      <w:pPr>
        <w:spacing w:after="0" w:line="374" w:lineRule="exact"/>
        <w:rPr>
          <w:rFonts w:ascii="Arial" w:cs="Arial" w:eastAsia="Arial" w:hAnsi="Arial"/>
          <w:sz w:val="19"/>
          <w:szCs w:val="19"/>
          <w:color w:val="auto"/>
        </w:rPr>
      </w:pPr>
    </w:p>
    <w:p>
      <w:pPr>
        <w:ind w:left="5560" w:hanging="110"/>
        <w:spacing w:after="0"/>
        <w:tabs>
          <w:tab w:leader="none" w:pos="5560" w:val="left"/>
        </w:tabs>
        <w:numPr>
          <w:ilvl w:val="2"/>
          <w:numId w:val="341"/>
        </w:numPr>
        <w:rPr>
          <w:rFonts w:ascii="Arial" w:cs="Arial" w:eastAsia="Arial" w:hAnsi="Arial"/>
          <w:sz w:val="20"/>
          <w:szCs w:val="20"/>
          <w:color w:val="auto"/>
        </w:rPr>
      </w:pPr>
      <w:r>
        <w:rPr>
          <w:rFonts w:ascii="Arial" w:cs="Arial" w:eastAsia="Arial" w:hAnsi="Arial"/>
          <w:sz w:val="20"/>
          <w:szCs w:val="20"/>
          <w:color w:val="auto"/>
        </w:rPr>
        <w:t>171 -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367" w:name="page368"/>
    <w:bookmarkEnd w:id="367"/>
    <w:p>
      <w:pPr>
        <w:spacing w:after="0" w:line="301" w:lineRule="auto"/>
        <w:rPr>
          <w:sz w:val="20"/>
          <w:szCs w:val="20"/>
          <w:color w:val="auto"/>
        </w:rPr>
      </w:pPr>
      <w:r>
        <w:rPr>
          <w:rFonts w:ascii="Arial" w:cs="Arial" w:eastAsia="Arial" w:hAnsi="Arial"/>
          <w:sz w:val="18"/>
          <w:szCs w:val="18"/>
          <w:color w:val="auto"/>
        </w:rPr>
        <w:t xml:space="preserve">includes Revolving Loans outstanding thereunder) or, if the Revolving Commitments are not then in effect, the principal outstanding balance of the Revolving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applicable Borrower otherwise consents (each such consent not to be unreasonably withheld or delayed) and (B) the aggregate amount of any Term Loans of an assigning Lender subject to each such assignments, determined as of the date the Assignment and Assumption with respect to such assignment is delivered to the Administrative Agent or, if “Trade Date” is specified in the Assignment and Assumption, as of the Trade Date, shall not be less than $1,000,000 unless each of the Administrative Agent and, so long as no Event of Default has occurred and is continuing, the applicable Borrower otherwise consents (each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37" w:lineRule="exact"/>
        <w:rPr>
          <w:sz w:val="20"/>
          <w:szCs w:val="20"/>
          <w:color w:val="auto"/>
        </w:rPr>
      </w:pPr>
    </w:p>
    <w:p>
      <w:pPr>
        <w:ind w:right="40" w:firstLine="807"/>
        <w:spacing w:after="0" w:line="278" w:lineRule="auto"/>
        <w:tabs>
          <w:tab w:leader="none" w:pos="1538" w:val="left"/>
        </w:tabs>
        <w:numPr>
          <w:ilvl w:val="0"/>
          <w:numId w:val="342"/>
        </w:numPr>
        <w:rPr>
          <w:rFonts w:ascii="Arial" w:cs="Arial" w:eastAsia="Arial" w:hAnsi="Arial"/>
          <w:sz w:val="20"/>
          <w:szCs w:val="20"/>
          <w:color w:val="auto"/>
        </w:rPr>
      </w:pPr>
      <w:r>
        <w:rPr>
          <w:rFonts w:ascii="Arial" w:cs="Arial" w:eastAsia="Arial" w:hAnsi="Arial"/>
          <w:sz w:val="20"/>
          <w:szCs w:val="20"/>
          <w:color w:val="auto"/>
        </w:rPr>
        <w:t>each partial assignment shall be made as an assignment of a proportionate part of all the assigning Lenders’ rights and obligations under this Agreement with respect to the Loans or the Commitment assigned, except that this clause (ii) shall not apply to rights in respect of Swing Line Loans;</w:t>
      </w:r>
    </w:p>
    <w:p>
      <w:pPr>
        <w:spacing w:after="0" w:line="146" w:lineRule="exact"/>
        <w:rPr>
          <w:rFonts w:ascii="Arial" w:cs="Arial" w:eastAsia="Arial" w:hAnsi="Arial"/>
          <w:sz w:val="20"/>
          <w:szCs w:val="20"/>
          <w:color w:val="auto"/>
        </w:rPr>
      </w:pPr>
    </w:p>
    <w:p>
      <w:pPr>
        <w:ind w:right="20" w:firstLine="807"/>
        <w:spacing w:after="0" w:line="356" w:lineRule="auto"/>
        <w:tabs>
          <w:tab w:leader="none" w:pos="1593"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the parties to each assignment shall execute and deliver to the Administrative Agent an Assignment and Assumption, together with a processing and recordation fee in the amount of $3,500;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Administrative Agent may, in its sole discretion, elect to waive such processing and recordation fee in the case of any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only a single processing and recordation fee shall be payable in respect of multiple contemporaneous assignments to Approved Funds with respect to any Lender. The assignee, if it is not a Lender, shall deliver to the Administrative Agent an Administrative Questionnaire;</w:t>
      </w:r>
    </w:p>
    <w:p>
      <w:pPr>
        <w:spacing w:after="0" w:line="94" w:lineRule="exact"/>
        <w:rPr>
          <w:rFonts w:ascii="Arial" w:cs="Arial" w:eastAsia="Arial" w:hAnsi="Arial"/>
          <w:sz w:val="16"/>
          <w:szCs w:val="16"/>
          <w:color w:val="auto"/>
        </w:rPr>
      </w:pPr>
    </w:p>
    <w:p>
      <w:pPr>
        <w:ind w:right="340" w:firstLine="807"/>
        <w:spacing w:after="0" w:line="347" w:lineRule="auto"/>
        <w:tabs>
          <w:tab w:leader="none" w:pos="1582" w:val="left"/>
        </w:tabs>
        <w:numPr>
          <w:ilvl w:val="0"/>
          <w:numId w:val="342"/>
        </w:numPr>
        <w:rPr>
          <w:rFonts w:ascii="Arial" w:cs="Arial" w:eastAsia="Arial" w:hAnsi="Arial"/>
          <w:sz w:val="18"/>
          <w:szCs w:val="18"/>
          <w:color w:val="auto"/>
        </w:rPr>
      </w:pPr>
      <w:r>
        <w:rPr>
          <w:rFonts w:ascii="Arial" w:cs="Arial" w:eastAsia="Arial" w:hAnsi="Arial"/>
          <w:sz w:val="18"/>
          <w:szCs w:val="18"/>
          <w:color w:val="auto"/>
        </w:rPr>
        <w:t>no such assignment shall be made to any Defaulting Lender or any of its Subsidiaries, or any Person who, upon becoming a Lender hereunder, would constitute any of the foregoing Persons described in this subclause (iv); and</w:t>
      </w:r>
    </w:p>
    <w:p>
      <w:pPr>
        <w:spacing w:after="0" w:line="90" w:lineRule="exact"/>
        <w:rPr>
          <w:rFonts w:ascii="Arial" w:cs="Arial" w:eastAsia="Arial" w:hAnsi="Arial"/>
          <w:sz w:val="18"/>
          <w:szCs w:val="18"/>
          <w:color w:val="auto"/>
        </w:rPr>
      </w:pPr>
    </w:p>
    <w:p>
      <w:pPr>
        <w:ind w:right="120" w:firstLine="807"/>
        <w:spacing w:after="0" w:line="302" w:lineRule="auto"/>
        <w:tabs>
          <w:tab w:leader="none" w:pos="152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applicable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w:t>
      </w: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4900" w:hanging="110"/>
        <w:spacing w:after="0"/>
        <w:tabs>
          <w:tab w:leader="none" w:pos="4900" w:val="left"/>
        </w:tabs>
        <w:numPr>
          <w:ilvl w:val="1"/>
          <w:numId w:val="342"/>
        </w:numPr>
        <w:rPr>
          <w:rFonts w:ascii="Arial" w:cs="Arial" w:eastAsia="Arial" w:hAnsi="Arial"/>
          <w:sz w:val="20"/>
          <w:szCs w:val="20"/>
          <w:color w:val="auto"/>
        </w:rPr>
      </w:pPr>
      <w:r>
        <w:rPr>
          <w:rFonts w:ascii="Arial" w:cs="Arial" w:eastAsia="Arial" w:hAnsi="Arial"/>
          <w:sz w:val="20"/>
          <w:szCs w:val="20"/>
          <w:color w:val="auto"/>
        </w:rPr>
        <w:t>172 -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48895</wp:posOffset>
            </wp:positionV>
            <wp:extent cx="72720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40"/>
          </w:cols>
          <w:pgMar w:left="900" w:top="379" w:right="259" w:bottom="1440" w:gutter="0" w:footer="0" w:header="0"/>
        </w:sectPr>
      </w:pPr>
    </w:p>
    <w:bookmarkStart w:id="368" w:name="page369"/>
    <w:bookmarkEnd w:id="368"/>
    <w:p>
      <w:pPr>
        <w:ind w:left="660" w:right="260"/>
        <w:spacing w:after="0" w:line="289" w:lineRule="auto"/>
        <w:rPr>
          <w:sz w:val="20"/>
          <w:szCs w:val="20"/>
          <w:color w:val="auto"/>
        </w:rPr>
      </w:pPr>
      <w:r>
        <w:rPr>
          <w:rFonts w:ascii="Arial" w:cs="Arial" w:eastAsia="Arial" w:hAnsi="Arial"/>
          <w:sz w:val="20"/>
          <w:szCs w:val="20"/>
          <w:color w:val="auto"/>
        </w:rPr>
        <w:t>paragraph, then the assignee of such interest shall be deemed to be a Defaulting Lender for all purposes of this Agreement until such compliance occurs.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subsection (c)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 xml:space="preserve"> with respect to facts and circumstances occurring prior to the effective date of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applicable Borrower (at its expense) shall execute and deliver a Note or Notes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spacing w:after="0" w:line="150" w:lineRule="exact"/>
        <w:rPr>
          <w:sz w:val="20"/>
          <w:szCs w:val="20"/>
          <w:color w:val="auto"/>
        </w:rPr>
      </w:pPr>
    </w:p>
    <w:p>
      <w:pPr>
        <w:ind w:firstLine="1305"/>
        <w:spacing w:after="0" w:line="302" w:lineRule="auto"/>
        <w:tabs>
          <w:tab w:leader="none" w:pos="2164" w:val="left"/>
        </w:tabs>
        <w:numPr>
          <w:ilvl w:val="1"/>
          <w:numId w:val="343"/>
        </w:numPr>
        <w:rPr>
          <w:rFonts w:ascii="Arial" w:cs="Arial" w:eastAsia="Arial" w:hAnsi="Arial"/>
          <w:sz w:val="18"/>
          <w:szCs w:val="18"/>
          <w:color w:val="auto"/>
        </w:rPr>
      </w:pPr>
      <w:r>
        <w:rPr>
          <w:rFonts w:ascii="Arial" w:cs="Arial" w:eastAsia="Arial" w:hAnsi="Arial"/>
          <w:sz w:val="18"/>
          <w:szCs w:val="18"/>
          <w:i w:val="1"/>
          <w:iCs w:val="1"/>
          <w:u w:val="single" w:color="auto"/>
          <w:color w:val="auto"/>
        </w:rPr>
        <w:t>Register</w:t>
      </w:r>
      <w:r>
        <w:rPr>
          <w:rFonts w:ascii="Arial" w:cs="Arial" w:eastAsia="Arial" w:hAnsi="Arial"/>
          <w:sz w:val="18"/>
          <w:szCs w:val="18"/>
          <w:color w:val="auto"/>
        </w:rPr>
        <w:t>. The Administrative Agent, acting solely for this purpose as agent of the Borrowers (and such agency being</w:t>
      </w:r>
      <w:r>
        <w:rPr>
          <w:rFonts w:ascii="Arial" w:cs="Arial" w:eastAsia="Arial" w:hAnsi="Arial"/>
          <w:sz w:val="18"/>
          <w:szCs w:val="18"/>
          <w:i w:val="1"/>
          <w:iCs w:val="1"/>
          <w:color w:val="auto"/>
        </w:rPr>
        <w:t xml:space="preserve"> </w:t>
      </w:r>
      <w:r>
        <w:rPr>
          <w:rFonts w:ascii="Arial" w:cs="Arial" w:eastAsia="Arial" w:hAnsi="Arial"/>
          <w:sz w:val="18"/>
          <w:szCs w:val="18"/>
          <w:color w:val="auto"/>
        </w:rPr>
        <w:t>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related interest amounts) of the Loans and L/C Obligations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The Register shall record each transfer of the Loans to a transferee upon written notification by the registered owner of such transfer,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failure to make any such recordation, or any error in such recordation, shall not affect any Lender’s Commitments in respect of any Loan. The entries in the Register shall be conclusive absent manifest error, and each Borrower, the Administrative Agent, the L/C Issuer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each Borrower, the L/C Issuer, the Collateral Agent, the Swing Line Lender and, with respect to its own interest only, any other Lender, at any reasonable time and from time to time upon reasonable prior notice.</w:t>
      </w:r>
    </w:p>
    <w:p>
      <w:pPr>
        <w:spacing w:after="0" w:line="129" w:lineRule="exact"/>
        <w:rPr>
          <w:rFonts w:ascii="Arial" w:cs="Arial" w:eastAsia="Arial" w:hAnsi="Arial"/>
          <w:sz w:val="18"/>
          <w:szCs w:val="18"/>
          <w:color w:val="auto"/>
        </w:rPr>
      </w:pPr>
    </w:p>
    <w:p>
      <w:pPr>
        <w:ind w:right="40" w:firstLine="1305"/>
        <w:spacing w:after="0" w:line="297" w:lineRule="auto"/>
        <w:tabs>
          <w:tab w:leader="none" w:pos="2175" w:val="left"/>
        </w:tabs>
        <w:numPr>
          <w:ilvl w:val="1"/>
          <w:numId w:val="343"/>
        </w:numPr>
        <w:rPr>
          <w:rFonts w:ascii="Arial" w:cs="Arial" w:eastAsia="Arial" w:hAnsi="Arial"/>
          <w:sz w:val="18"/>
          <w:szCs w:val="18"/>
          <w:color w:val="auto"/>
        </w:rPr>
      </w:pPr>
      <w:r>
        <w:rPr>
          <w:rFonts w:ascii="Arial" w:cs="Arial" w:eastAsia="Arial" w:hAnsi="Arial"/>
          <w:sz w:val="18"/>
          <w:szCs w:val="18"/>
          <w:i w:val="1"/>
          <w:iCs w:val="1"/>
          <w:u w:val="single" w:color="auto"/>
          <w:color w:val="auto"/>
        </w:rPr>
        <w:t>Participations</w:t>
      </w:r>
      <w:r>
        <w:rPr>
          <w:rFonts w:ascii="Arial" w:cs="Arial" w:eastAsia="Arial" w:hAnsi="Arial"/>
          <w:sz w:val="18"/>
          <w:szCs w:val="18"/>
          <w:color w:val="auto"/>
        </w:rPr>
        <w:t>. Any Lender may at any time, without the consent of, or notice to, the applicable Borrower,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the L/C Issuer or the Swing Line Lender sell participations to any Person (other than a natural Person, or a holding company, investment vehicle or trust for, or owned and operated for the primary benefit of a natural Person, Parent or any of its Subsidiaries)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 w:lineRule="exact"/>
        <w:rPr>
          <w:rFonts w:ascii="Arial" w:cs="Arial" w:eastAsia="Arial" w:hAnsi="Arial"/>
          <w:sz w:val="18"/>
          <w:szCs w:val="18"/>
          <w:color w:val="auto"/>
        </w:rPr>
      </w:pPr>
    </w:p>
    <w:p>
      <w:pPr>
        <w:ind w:right="20" w:firstLine="8"/>
        <w:spacing w:after="0" w:line="273" w:lineRule="auto"/>
        <w:tabs>
          <w:tab w:leader="none" w:pos="236" w:val="left"/>
        </w:tabs>
        <w:numPr>
          <w:ilvl w:val="0"/>
          <w:numId w:val="344"/>
        </w:numPr>
        <w:rPr>
          <w:rFonts w:ascii="Arial" w:cs="Arial" w:eastAsia="Arial" w:hAnsi="Arial"/>
          <w:sz w:val="20"/>
          <w:szCs w:val="20"/>
          <w:color w:val="auto"/>
        </w:rPr>
      </w:pPr>
      <w:r>
        <w:rPr>
          <w:rFonts w:ascii="Arial" w:cs="Arial" w:eastAsia="Arial" w:hAnsi="Arial"/>
          <w:sz w:val="20"/>
          <w:szCs w:val="20"/>
          <w:color w:val="auto"/>
        </w:rPr>
        <w:t xml:space="preserve">such Lender’s obligations under this Agreement shall remain unchanged, (ii) such Lender shall remain solely responsible to the other parties hereto for the performance of such obligations and (iii) the applicable Borrower, the Administrative Agent and the Lenders and L/C Issuer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20"/>
          <w:szCs w:val="20"/>
          <w:u w:val="single" w:color="auto"/>
          <w:color w:val="auto"/>
        </w:rPr>
        <w:t>Section 10.04(c)</w:t>
      </w:r>
      <w:r>
        <w:rPr>
          <w:rFonts w:ascii="Arial" w:cs="Arial" w:eastAsia="Arial" w:hAnsi="Arial"/>
          <w:sz w:val="20"/>
          <w:szCs w:val="20"/>
          <w:color w:val="auto"/>
        </w:rPr>
        <w:t xml:space="preserve"> without regard to the existence of any participation.</w:t>
      </w:r>
    </w:p>
    <w:p>
      <w:pPr>
        <w:spacing w:after="0" w:line="200" w:lineRule="exact"/>
        <w:rPr>
          <w:rFonts w:ascii="Arial" w:cs="Arial" w:eastAsia="Arial" w:hAnsi="Arial"/>
          <w:sz w:val="20"/>
          <w:szCs w:val="20"/>
          <w:color w:val="auto"/>
        </w:rPr>
      </w:pPr>
    </w:p>
    <w:p>
      <w:pPr>
        <w:spacing w:after="0" w:line="396" w:lineRule="exact"/>
        <w:rPr>
          <w:rFonts w:ascii="Arial" w:cs="Arial" w:eastAsia="Arial" w:hAnsi="Arial"/>
          <w:sz w:val="20"/>
          <w:szCs w:val="20"/>
          <w:color w:val="auto"/>
        </w:rPr>
      </w:pPr>
    </w:p>
    <w:p>
      <w:pPr>
        <w:ind w:left="5560" w:hanging="110"/>
        <w:spacing w:after="0"/>
        <w:tabs>
          <w:tab w:leader="none" w:pos="5560" w:val="left"/>
        </w:tabs>
        <w:numPr>
          <w:ilvl w:val="2"/>
          <w:numId w:val="344"/>
        </w:numPr>
        <w:rPr>
          <w:rFonts w:ascii="Arial" w:cs="Arial" w:eastAsia="Arial" w:hAnsi="Arial"/>
          <w:sz w:val="20"/>
          <w:szCs w:val="20"/>
          <w:color w:val="auto"/>
        </w:rPr>
      </w:pPr>
      <w:r>
        <w:rPr>
          <w:rFonts w:ascii="Arial" w:cs="Arial" w:eastAsia="Arial" w:hAnsi="Arial"/>
          <w:sz w:val="20"/>
          <w:szCs w:val="20"/>
          <w:color w:val="auto"/>
        </w:rPr>
        <w:t>173 -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79" w:right="259" w:bottom="1440" w:gutter="0" w:footer="0" w:header="0"/>
        </w:sectPr>
      </w:pPr>
    </w:p>
    <w:bookmarkStart w:id="369" w:name="page370"/>
    <w:bookmarkEnd w:id="369"/>
    <w:p>
      <w:pPr>
        <w:ind w:right="40" w:firstLine="1297"/>
        <w:spacing w:after="0" w:line="270"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that directly affects such Participant. Subject to subsection</w:t>
      </w:r>
    </w:p>
    <w:p>
      <w:pPr>
        <w:spacing w:after="0" w:line="3" w:lineRule="exact"/>
        <w:rPr>
          <w:sz w:val="20"/>
          <w:szCs w:val="20"/>
          <w:color w:val="auto"/>
        </w:rPr>
      </w:pPr>
    </w:p>
    <w:p>
      <w:pPr>
        <w:ind w:right="40" w:firstLine="8"/>
        <w:spacing w:after="0" w:line="269" w:lineRule="auto"/>
        <w:tabs>
          <w:tab w:leader="none" w:pos="269"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of this Section, each Borrower agrees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(subject to the requirements and limitations of such Sections) to the same extent as if it were a Lender and had acquired its interest by assignment pursuant to subsection (b) of this Section (it being understood that any documentation required under </w:t>
      </w:r>
      <w:r>
        <w:rPr>
          <w:rFonts w:ascii="Arial" w:cs="Arial" w:eastAsia="Arial" w:hAnsi="Arial"/>
          <w:sz w:val="18"/>
          <w:szCs w:val="18"/>
          <w:u w:val="single" w:color="auto"/>
          <w:color w:val="auto"/>
        </w:rPr>
        <w:t>Section 3.01(f)</w:t>
      </w:r>
      <w:r>
        <w:rPr>
          <w:rFonts w:ascii="Arial" w:cs="Arial" w:eastAsia="Arial" w:hAnsi="Arial"/>
          <w:sz w:val="18"/>
          <w:szCs w:val="18"/>
          <w:color w:val="auto"/>
        </w:rPr>
        <w:t xml:space="preserve"> shall be delivered to the Lender who sells the participation on or before the date on which such sale occurs) to the same extent as if it were a Lender and had acquired its interest by assignment pursuant to paragraph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u w:val="single" w:color="auto"/>
          <w:color w:val="auto"/>
        </w:rPr>
        <w:t>Sections 3.07</w:t>
      </w:r>
      <w:r>
        <w:rPr>
          <w:rFonts w:ascii="Arial" w:cs="Arial" w:eastAsia="Arial" w:hAnsi="Arial"/>
          <w:sz w:val="18"/>
          <w:szCs w:val="18"/>
          <w:color w:val="auto"/>
        </w:rPr>
        <w:t xml:space="preserve"> as if it were an assignee under paragraph (b) of this Section and (B) shall not be entitled to receive any greater payment under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each Borrower’s request and expense, to use reasonable efforts to cooperate with each Borrower to effectuate the provisions of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as though it were a Lender.</w:t>
      </w:r>
    </w:p>
    <w:p>
      <w:pPr>
        <w:spacing w:after="0" w:line="171" w:lineRule="exact"/>
        <w:rPr>
          <w:sz w:val="20"/>
          <w:szCs w:val="20"/>
          <w:color w:val="auto"/>
        </w:rPr>
      </w:pPr>
    </w:p>
    <w:p>
      <w:pPr>
        <w:ind w:firstLine="1297"/>
        <w:spacing w:after="0" w:line="255" w:lineRule="auto"/>
        <w:rPr>
          <w:sz w:val="20"/>
          <w:szCs w:val="20"/>
          <w:color w:val="auto"/>
        </w:rPr>
      </w:pPr>
      <w:r>
        <w:rPr>
          <w:rFonts w:ascii="Arial" w:cs="Arial" w:eastAsia="Arial" w:hAnsi="Arial"/>
          <w:sz w:val="19"/>
          <w:szCs w:val="19"/>
          <w:color w:val="auto"/>
        </w:rPr>
        <w:t>Each Lender that sells a participation shall, acting solely for this purpose as a non-fiduciary agent of the applicable Borrower, maintain a register on which it enters the name and address of each Participant and the principal amounts (and related interest amounts)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to any Person (including the identity of any Participant or any information relating to a Participant’s interest in any Commitments, Credit Extensions or other obligations under any Loan Document) except to the extent that such disclosure is necessary in connection with a Tax audit or other proceeding to establish that any such Commitment, Credit Extension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8" w:lineRule="exact"/>
        <w:rPr>
          <w:sz w:val="20"/>
          <w:szCs w:val="20"/>
          <w:color w:val="auto"/>
        </w:rPr>
      </w:pPr>
    </w:p>
    <w:p>
      <w:pPr>
        <w:ind w:right="300" w:firstLine="1297"/>
        <w:spacing w:after="0" w:line="287" w:lineRule="auto"/>
        <w:rPr>
          <w:sz w:val="20"/>
          <w:szCs w:val="20"/>
          <w:color w:val="auto"/>
        </w:rPr>
      </w:pPr>
      <w:r>
        <w:rPr>
          <w:rFonts w:ascii="Arial" w:cs="Arial" w:eastAsia="Arial" w:hAnsi="Arial"/>
          <w:sz w:val="19"/>
          <w:szCs w:val="19"/>
          <w:color w:val="auto"/>
        </w:rPr>
        <w:t>No participation shall be or shall be deemed to be a discharge, rescission, extinguishment or substitution of any outstanding Loan and any Loan subject to a participation shall continue to be the same obligation and not a new obligation.</w:t>
      </w:r>
    </w:p>
    <w:p>
      <w:pPr>
        <w:spacing w:after="0" w:line="166" w:lineRule="exact"/>
        <w:rPr>
          <w:sz w:val="20"/>
          <w:szCs w:val="20"/>
          <w:color w:val="auto"/>
        </w:rPr>
      </w:pPr>
    </w:p>
    <w:p>
      <w:pPr>
        <w:jc w:val="both"/>
        <w:ind w:right="60" w:firstLine="1305"/>
        <w:spacing w:after="0" w:line="314" w:lineRule="auto"/>
        <w:tabs>
          <w:tab w:leader="none" w:pos="2164" w:val="left"/>
        </w:tabs>
        <w:numPr>
          <w:ilvl w:val="0"/>
          <w:numId w:val="346"/>
        </w:numPr>
        <w:rPr>
          <w:rFonts w:ascii="Arial" w:cs="Arial" w:eastAsia="Arial" w:hAnsi="Arial"/>
          <w:sz w:val="18"/>
          <w:szCs w:val="18"/>
          <w:color w:val="auto"/>
        </w:rPr>
      </w:pPr>
      <w:r>
        <w:rPr>
          <w:rFonts w:ascii="Arial" w:cs="Arial" w:eastAsia="Arial" w:hAnsi="Arial"/>
          <w:sz w:val="18"/>
          <w:szCs w:val="18"/>
          <w:i w:val="1"/>
          <w:iCs w:val="1"/>
          <w:u w:val="single" w:color="auto"/>
          <w:color w:val="auto"/>
        </w:rPr>
        <w:t>Limitations on Participant Rights</w:t>
      </w:r>
      <w:r>
        <w:rPr>
          <w:rFonts w:ascii="Arial" w:cs="Arial" w:eastAsia="Arial" w:hAnsi="Arial"/>
          <w:sz w:val="18"/>
          <w:szCs w:val="18"/>
          <w:color w:val="auto"/>
        </w:rPr>
        <w:t>. A Participant shall not be entitled to receive any greater payment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applicable Borrower’s prior written consent (not to be unreasonably withheld or delayed) or the right to receive a greater payment results from a Change in Law after the participant becomes a Participant.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5560" w:hanging="110"/>
        <w:spacing w:after="0"/>
        <w:tabs>
          <w:tab w:leader="none" w:pos="5560" w:val="left"/>
        </w:tabs>
        <w:numPr>
          <w:ilvl w:val="1"/>
          <w:numId w:val="346"/>
        </w:numPr>
        <w:rPr>
          <w:rFonts w:ascii="Arial" w:cs="Arial" w:eastAsia="Arial" w:hAnsi="Arial"/>
          <w:sz w:val="20"/>
          <w:szCs w:val="20"/>
          <w:color w:val="auto"/>
        </w:rPr>
      </w:pPr>
      <w:r>
        <w:rPr>
          <w:rFonts w:ascii="Arial" w:cs="Arial" w:eastAsia="Arial" w:hAnsi="Arial"/>
          <w:sz w:val="20"/>
          <w:szCs w:val="20"/>
          <w:color w:val="auto"/>
        </w:rPr>
        <w:t>174 -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6" w:right="279" w:bottom="1440" w:gutter="0" w:footer="0" w:header="0"/>
        </w:sectPr>
      </w:pPr>
    </w:p>
    <w:bookmarkStart w:id="370" w:name="page371"/>
    <w:bookmarkEnd w:id="370"/>
    <w:p>
      <w:pPr>
        <w:ind w:left="-1200" w:firstLine="1305"/>
        <w:spacing w:after="0" w:line="273" w:lineRule="auto"/>
        <w:tabs>
          <w:tab w:leader="none" w:pos="943" w:val="left"/>
        </w:tabs>
        <w:numPr>
          <w:ilvl w:val="0"/>
          <w:numId w:val="347"/>
        </w:numPr>
        <w:rPr>
          <w:rFonts w:ascii="Arial" w:cs="Arial" w:eastAsia="Arial" w:hAnsi="Arial"/>
          <w:sz w:val="20"/>
          <w:szCs w:val="20"/>
          <w:color w:val="auto"/>
        </w:rPr>
      </w:pPr>
      <w:r>
        <w:rPr>
          <w:rFonts w:ascii="Arial" w:cs="Arial" w:eastAsia="Arial" w:hAnsi="Arial"/>
          <w:sz w:val="20"/>
          <w:szCs w:val="20"/>
          <w:i w:val="1"/>
          <w:iCs w:val="1"/>
          <w:u w:val="single" w:color="auto"/>
          <w:color w:val="auto"/>
        </w:rPr>
        <w:t>Certain Pledges</w:t>
      </w:r>
      <w:r>
        <w:rPr>
          <w:rFonts w:ascii="Arial" w:cs="Arial" w:eastAsia="Arial" w:hAnsi="Arial"/>
          <w:sz w:val="20"/>
          <w:szCs w:val="20"/>
          <w:color w:val="auto"/>
        </w:rPr>
        <w:t>. Any Lender may at any time, without the consent of the Borrowers or the Administrative Agent,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83" w:lineRule="exact"/>
        <w:rPr>
          <w:rFonts w:ascii="Arial" w:cs="Arial" w:eastAsia="Arial" w:hAnsi="Arial"/>
          <w:sz w:val="20"/>
          <w:szCs w:val="20"/>
          <w:color w:val="auto"/>
        </w:rPr>
      </w:pPr>
    </w:p>
    <w:p>
      <w:pPr>
        <w:ind w:left="-1200" w:right="40" w:firstLine="1305"/>
        <w:spacing w:after="0" w:line="285" w:lineRule="auto"/>
        <w:tabs>
          <w:tab w:leader="none" w:pos="975" w:val="left"/>
        </w:tabs>
        <w:numPr>
          <w:ilvl w:val="0"/>
          <w:numId w:val="347"/>
        </w:numPr>
        <w:rPr>
          <w:rFonts w:ascii="Arial" w:cs="Arial" w:eastAsia="Arial" w:hAnsi="Arial"/>
          <w:sz w:val="19"/>
          <w:szCs w:val="19"/>
          <w:color w:val="auto"/>
        </w:rPr>
      </w:pPr>
      <w:r>
        <w:rPr>
          <w:rFonts w:ascii="Arial" w:cs="Arial" w:eastAsia="Arial" w:hAnsi="Arial"/>
          <w:sz w:val="19"/>
          <w:szCs w:val="19"/>
          <w:i w:val="1"/>
          <w:iCs w:val="1"/>
          <w:u w:val="single" w:color="auto"/>
          <w:color w:val="auto"/>
        </w:rPr>
        <w:t>Electronic Execution of Assignments and Certain Other Documents</w:t>
      </w:r>
      <w:r>
        <w:rPr>
          <w:rFonts w:ascii="Arial" w:cs="Arial" w:eastAsia="Arial" w:hAnsi="Arial"/>
          <w:sz w:val="19"/>
          <w:szCs w:val="19"/>
          <w:color w:val="auto"/>
        </w:rPr>
        <w:t>. The words “execution,” “execute”, “signed,”</w:t>
      </w:r>
      <w:r>
        <w:rPr>
          <w:rFonts w:ascii="Arial" w:cs="Arial" w:eastAsia="Arial" w:hAnsi="Arial"/>
          <w:sz w:val="19"/>
          <w:szCs w:val="19"/>
          <w:i w:val="1"/>
          <w:iCs w:val="1"/>
          <w:color w:val="auto"/>
        </w:rPr>
        <w:t xml:space="preserve"> </w:t>
      </w:r>
      <w:r>
        <w:rPr>
          <w:rFonts w:ascii="Arial" w:cs="Arial" w:eastAsia="Arial" w:hAnsi="Arial"/>
          <w:sz w:val="19"/>
          <w:szCs w:val="19"/>
          <w:color w:val="auto"/>
        </w:rPr>
        <w:t>“signature,” and words of like import in or related to any document to be signed in connection with this Agreement and the transactions contemplated hereby (including without limitation Assignment and Assumptions, amendments or other Notices of Borrowing,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76" w:lineRule="exact"/>
        <w:rPr>
          <w:rFonts w:ascii="Arial" w:cs="Arial" w:eastAsia="Arial" w:hAnsi="Arial"/>
          <w:sz w:val="19"/>
          <w:szCs w:val="19"/>
          <w:color w:val="auto"/>
        </w:rPr>
      </w:pPr>
    </w:p>
    <w:p>
      <w:pPr>
        <w:ind w:left="980" w:hanging="875"/>
        <w:spacing w:after="0"/>
        <w:tabs>
          <w:tab w:leader="none" w:pos="980" w:val="left"/>
        </w:tabs>
        <w:numPr>
          <w:ilvl w:val="0"/>
          <w:numId w:val="347"/>
        </w:numPr>
        <w:rPr>
          <w:rFonts w:ascii="Arial" w:cs="Arial" w:eastAsia="Arial" w:hAnsi="Arial"/>
          <w:sz w:val="20"/>
          <w:szCs w:val="20"/>
          <w:color w:val="auto"/>
        </w:rPr>
      </w:pPr>
      <w:r>
        <w:rPr>
          <w:rFonts w:ascii="Arial" w:cs="Arial" w:eastAsia="Arial" w:hAnsi="Arial"/>
          <w:sz w:val="20"/>
          <w:szCs w:val="20"/>
          <w:i w:val="1"/>
          <w:iCs w:val="1"/>
          <w:u w:val="single" w:color="auto"/>
          <w:color w:val="auto"/>
        </w:rPr>
        <w:t>Disqualified Institutions</w:t>
      </w:r>
      <w:r>
        <w:rPr>
          <w:rFonts w:ascii="Arial" w:cs="Arial" w:eastAsia="Arial" w:hAnsi="Arial"/>
          <w:sz w:val="20"/>
          <w:szCs w:val="20"/>
          <w:color w:val="auto"/>
        </w:rPr>
        <w:t>.</w:t>
      </w:r>
    </w:p>
    <w:p>
      <w:pPr>
        <w:spacing w:after="0" w:line="135" w:lineRule="exact"/>
        <w:rPr>
          <w:sz w:val="20"/>
          <w:szCs w:val="20"/>
          <w:color w:val="auto"/>
        </w:rPr>
      </w:pPr>
    </w:p>
    <w:p>
      <w:pPr>
        <w:ind w:left="-540" w:firstLine="807"/>
        <w:spacing w:after="0" w:line="285" w:lineRule="auto"/>
        <w:tabs>
          <w:tab w:leader="none" w:pos="943" w:val="left"/>
        </w:tabs>
        <w:numPr>
          <w:ilvl w:val="0"/>
          <w:numId w:val="348"/>
        </w:numPr>
        <w:rPr>
          <w:rFonts w:ascii="Arial" w:cs="Arial" w:eastAsia="Arial" w:hAnsi="Arial"/>
          <w:sz w:val="19"/>
          <w:szCs w:val="19"/>
          <w:color w:val="auto"/>
        </w:rPr>
      </w:pPr>
      <w:r>
        <w:rPr>
          <w:rFonts w:ascii="Arial" w:cs="Arial" w:eastAsia="Arial" w:hAnsi="Arial"/>
          <w:sz w:val="19"/>
          <w:szCs w:val="19"/>
          <w:color w:val="auto"/>
        </w:rPr>
        <w:t>No assignment or participation shall be made to any Person that was a Disqualified Institution as of the date (the “</w:t>
      </w:r>
      <w:r>
        <w:rPr>
          <w:rFonts w:ascii="Arial" w:cs="Arial" w:eastAsia="Arial" w:hAnsi="Arial"/>
          <w:sz w:val="19"/>
          <w:szCs w:val="19"/>
          <w:u w:val="single" w:color="auto"/>
          <w:color w:val="auto"/>
        </w:rPr>
        <w:t>Trade Date</w:t>
      </w:r>
      <w:r>
        <w:rPr>
          <w:rFonts w:ascii="Arial" w:cs="Arial" w:eastAsia="Arial" w:hAnsi="Arial"/>
          <w:sz w:val="19"/>
          <w:szCs w:val="19"/>
          <w:color w:val="auto"/>
        </w:rPr>
        <w:t>”) on which the assigning Lender entered into a binding agreement to sell and assign all or a portion of its rights and obligations under this Agreement to such Person (unless the applicable Borrower has consented to such assignment in writing in its sole and absolute discretion, in which case such Person will not be considered a Disqualified Institution for the purpose of such assignment or participation). For the avoidance of doubt, with respect to any assignee that becomes a Disqualified Institution after the applicable Trade Date (including as a result of the delivery of a notice pursuant to, and/or the expiration of the notice period referred to in, the definition of “Disqualified Institution”), (x) such assignee shall not retroactively be disqualified from becoming a Lender and (y) the execution by the applicable Borrower of an Assignment and Assumption with respect to such assignee will not by itself result in such assignee no longer being considered a Disqualified Institution. Any assignment in violation of this clause (h)(i) shall not be void, but the other provisions of this clause (h) shall apply.</w:t>
      </w:r>
    </w:p>
    <w:p>
      <w:pPr>
        <w:spacing w:after="0" w:line="79" w:lineRule="exact"/>
        <w:rPr>
          <w:rFonts w:ascii="Arial" w:cs="Arial" w:eastAsia="Arial" w:hAnsi="Arial"/>
          <w:sz w:val="19"/>
          <w:szCs w:val="19"/>
          <w:color w:val="auto"/>
        </w:rPr>
      </w:pPr>
    </w:p>
    <w:p>
      <w:pPr>
        <w:ind w:left="-540" w:right="60" w:firstLine="807"/>
        <w:spacing w:after="0" w:line="303" w:lineRule="auto"/>
        <w:tabs>
          <w:tab w:leader="none" w:pos="99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If any assignment or participation is made to any Disqualified Institution without the applicable Borrower’s prior written consent in violation of clause (i) above, or if any Person becomes a Disqualified Institution after the applicable Trade Date, the applicable Borrower may, at its sole expense and effort, upon notice to the applicable Disqualified Institution and the Administrative Agent, (A) terminate any Revolving Commitment of such Disqualified Institution and repay all obligations of the Borrowers owing to such Disqualified Institution in connection with such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proceeds of Revolving Loans may not be used for such purpose, (B) in the case of outstanding Term Loans held by Disqualified Institutions, purchase or prepay such Term Loan by paying the lesser of (x) the principal amount thereof and (y) the amount that such Disqualified Institution paid to acquire such Term Loans, in each case plus accrued interest, accrued fees and all other amounts (other than principal amounts) payable to it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proceeds of Revolving Loans may not be used for such purpose</w:t>
      </w: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4360" w:hanging="110"/>
        <w:spacing w:after="0"/>
        <w:tabs>
          <w:tab w:leader="none" w:pos="4360" w:val="left"/>
        </w:tabs>
        <w:numPr>
          <w:ilvl w:val="1"/>
          <w:numId w:val="348"/>
        </w:numPr>
        <w:rPr>
          <w:rFonts w:ascii="Arial" w:cs="Arial" w:eastAsia="Arial" w:hAnsi="Arial"/>
          <w:sz w:val="20"/>
          <w:szCs w:val="20"/>
          <w:color w:val="auto"/>
        </w:rPr>
      </w:pPr>
      <w:r>
        <w:rPr>
          <w:rFonts w:ascii="Arial" w:cs="Arial" w:eastAsia="Arial" w:hAnsi="Arial"/>
          <w:sz w:val="20"/>
          <w:szCs w:val="20"/>
          <w:color w:val="auto"/>
        </w:rPr>
        <w:t>175 -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48895</wp:posOffset>
            </wp:positionV>
            <wp:extent cx="72720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79" w:right="239" w:bottom="1440" w:gutter="0" w:footer="0" w:header="0"/>
        </w:sectPr>
      </w:pPr>
    </w:p>
    <w:bookmarkStart w:id="371" w:name="page372"/>
    <w:bookmarkEnd w:id="371"/>
    <w:p>
      <w:pPr>
        <w:ind w:left="660" w:right="40"/>
        <w:spacing w:after="0" w:line="275" w:lineRule="auto"/>
        <w:rPr>
          <w:sz w:val="20"/>
          <w:szCs w:val="20"/>
          <w:color w:val="auto"/>
        </w:rPr>
      </w:pPr>
      <w:r>
        <w:rPr>
          <w:rFonts w:ascii="Arial" w:cs="Arial" w:eastAsia="Arial" w:hAnsi="Arial"/>
          <w:sz w:val="18"/>
          <w:szCs w:val="18"/>
          <w:color w:val="auto"/>
        </w:rPr>
        <w:t>and/or (C) require such Disqualified Institution to assign, without recourse (in accordance with and subject to the restrictions contained in this Section 10.06), all of its interest, rights and obligations under this Agreement to one or more Eligible Assignees at the lesser of</w:t>
      </w:r>
    </w:p>
    <w:p>
      <w:pPr>
        <w:spacing w:after="0" w:line="1" w:lineRule="exact"/>
        <w:rPr>
          <w:sz w:val="20"/>
          <w:szCs w:val="20"/>
          <w:color w:val="auto"/>
        </w:rPr>
      </w:pPr>
    </w:p>
    <w:p>
      <w:pPr>
        <w:jc w:val="both"/>
        <w:ind w:left="660" w:right="780" w:hanging="4"/>
        <w:spacing w:after="0" w:line="241" w:lineRule="auto"/>
        <w:tabs>
          <w:tab w:leader="none" w:pos="940" w:val="left"/>
        </w:tabs>
        <w:numPr>
          <w:ilvl w:val="0"/>
          <w:numId w:val="349"/>
        </w:numPr>
        <w:rPr>
          <w:rFonts w:ascii="Arial" w:cs="Arial" w:eastAsia="Arial" w:hAnsi="Arial"/>
          <w:sz w:val="20"/>
          <w:szCs w:val="20"/>
          <w:color w:val="auto"/>
        </w:rPr>
      </w:pPr>
      <w:r>
        <w:rPr>
          <w:rFonts w:ascii="Arial" w:cs="Arial" w:eastAsia="Arial" w:hAnsi="Arial"/>
          <w:sz w:val="20"/>
          <w:szCs w:val="20"/>
          <w:color w:val="auto"/>
        </w:rPr>
        <w:t>the principal amount thereof and (y) the amount that such Disqualified Institution paid to acquire such interests, rights and obligations, in each case plus accrued interest, accrued fees and all other amounts (other than principal amounts) payable to it hereunder.</w:t>
      </w:r>
    </w:p>
    <w:p>
      <w:pPr>
        <w:spacing w:after="0" w:line="209" w:lineRule="exact"/>
        <w:rPr>
          <w:rFonts w:ascii="Arial" w:cs="Arial" w:eastAsia="Arial" w:hAnsi="Arial"/>
          <w:sz w:val="20"/>
          <w:szCs w:val="20"/>
          <w:color w:val="auto"/>
        </w:rPr>
      </w:pPr>
    </w:p>
    <w:p>
      <w:pPr>
        <w:ind w:left="660" w:firstLine="807"/>
        <w:spacing w:after="0" w:line="284" w:lineRule="auto"/>
        <w:tabs>
          <w:tab w:leader="none" w:pos="2253" w:val="left"/>
        </w:tabs>
        <w:numPr>
          <w:ilvl w:val="1"/>
          <w:numId w:val="349"/>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Disqualified Institutions (A) will not (x) have the right to receive information, reports or other materials provided to Lenders by the applicable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or plan of liquidation pursuant to any Bankruptcy Laws (a “Bankruptcy Plan”), each Disqualified Institution party hereto hereby agrees (1) not to vote on such Bankruptcy Plan, (2) if such Disqualified Institution does vote on such Bankruptcy Plan notwithstanding the restriction in the foregoing clause (1), such vote will be deemed not to be in good faith and shall be “designated” pursuant to Section 1126(e) of the Bankruptcy Code (or any similar provision in any other Bankruptcy Laws), and such vote shall not be counted in determining whether the applicable class has accepted or rejected such Bankruptcy Plan in accordance with Section 1126(c) of the Bankruptcy Code (or any similar provision in any other Bankruptcy Laws) and (3) not to contest any request by any party for a determination by the court hearing such proceeding (or other applicable court of competent jurisdiction) effectuating the foregoing clause (2).</w:t>
      </w:r>
    </w:p>
    <w:p>
      <w:pPr>
        <w:spacing w:after="0" w:line="184" w:lineRule="exact"/>
        <w:rPr>
          <w:rFonts w:ascii="Arial" w:cs="Arial" w:eastAsia="Arial" w:hAnsi="Arial"/>
          <w:sz w:val="19"/>
          <w:szCs w:val="19"/>
          <w:color w:val="auto"/>
        </w:rPr>
      </w:pPr>
    </w:p>
    <w:p>
      <w:pPr>
        <w:ind w:left="660" w:right="120" w:firstLine="807"/>
        <w:spacing w:after="0" w:line="297" w:lineRule="auto"/>
        <w:tabs>
          <w:tab w:leader="none" w:pos="2242"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The Administrative Agent shall have the right, and the Borrower hereby expressly authorizes the Administrative Agent, to (A) post the list of Disqualified Institutions provided by the Lead Borrower and any updates thereto from time to time (collectively, the “DQ List”) on the Platform, including that portion of the Platform that is designated for “public side” Lenders and/or</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(B) provide the DQ List to each Lender requesting the same.</w:t>
      </w:r>
    </w:p>
    <w:p>
      <w:pPr>
        <w:spacing w:after="0" w:line="115" w:lineRule="exact"/>
        <w:rPr>
          <w:sz w:val="20"/>
          <w:szCs w:val="20"/>
          <w:color w:val="auto"/>
        </w:rPr>
      </w:pPr>
    </w:p>
    <w:p>
      <w:pPr>
        <w:ind w:right="20" w:firstLine="1297"/>
        <w:spacing w:after="0" w:line="271" w:lineRule="auto"/>
        <w:rPr>
          <w:sz w:val="20"/>
          <w:szCs w:val="20"/>
          <w:color w:val="auto"/>
        </w:rPr>
      </w:pPr>
      <w:r>
        <w:rPr>
          <w:rFonts w:ascii="Arial" w:cs="Arial" w:eastAsia="Arial" w:hAnsi="Arial"/>
          <w:sz w:val="18"/>
          <w:szCs w:val="18"/>
          <w:b w:val="1"/>
          <w:bCs w:val="1"/>
          <w:color w:val="auto"/>
        </w:rPr>
        <w:t xml:space="preserve">Section 10.07 </w:t>
      </w:r>
      <w:r>
        <w:rPr>
          <w:rFonts w:ascii="Arial" w:cs="Arial" w:eastAsia="Arial" w:hAnsi="Arial"/>
          <w:sz w:val="18"/>
          <w:szCs w:val="18"/>
          <w:u w:val="single" w:color="auto"/>
          <w:color w:val="auto"/>
        </w:rPr>
        <w:t>Treatment of Certain Information; Confidentiality</w:t>
      </w:r>
      <w:r>
        <w:rPr>
          <w:rFonts w:ascii="Arial" w:cs="Arial" w:eastAsia="Arial" w:hAnsi="Arial"/>
          <w:sz w:val="18"/>
          <w:szCs w:val="18"/>
          <w:color w:val="auto"/>
        </w:rPr>
        <w:t>. Each of the Agents, the Lenders and each L/C Issuer agrees</w:t>
      </w:r>
      <w:r>
        <w:rPr>
          <w:rFonts w:ascii="Arial" w:cs="Arial" w:eastAsia="Arial" w:hAnsi="Arial"/>
          <w:sz w:val="18"/>
          <w:szCs w:val="18"/>
          <w:b w:val="1"/>
          <w:bCs w:val="1"/>
          <w:color w:val="auto"/>
        </w:rPr>
        <w:t xml:space="preserve"> </w:t>
      </w:r>
      <w:r>
        <w:rPr>
          <w:rFonts w:ascii="Arial" w:cs="Arial" w:eastAsia="Arial" w:hAnsi="Arial"/>
          <w:sz w:val="18"/>
          <w:szCs w:val="18"/>
          <w:color w:val="auto"/>
        </w:rPr>
        <w:t>to maintain the confidentiality of the Information (as defined below), except that Information may be disclosed (a) to its Affiliates and to its Related Parties (collectively, “</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(it being understood that the Persons to whom such disclosure is made will be informed of the confidential nature of such Information and instructed to keep such Information confidential), (b) to the extent required or requested by any Governmental Authority or regulatory authority purporting to have jurisdiction over such Person or its Related Parties (including any self-regulatory authority, such as the National Association of Insurance Commissioners), (c) to the extent required by applicable Laws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to any state, federal or foreign authority or examiner regulating any Lender, (g) (i) any rating agency, and (ii) subject to an agreement containing provisions substantially the same as those of this </w:t>
      </w:r>
      <w:r>
        <w:rPr>
          <w:rFonts w:ascii="Arial" w:cs="Arial" w:eastAsia="Arial" w:hAnsi="Arial"/>
          <w:sz w:val="18"/>
          <w:szCs w:val="18"/>
          <w:u w:val="single" w:color="auto"/>
          <w:color w:val="auto"/>
        </w:rPr>
        <w:t>Section 10.07</w:t>
      </w:r>
      <w:r>
        <w:rPr>
          <w:rFonts w:ascii="Arial" w:cs="Arial" w:eastAsia="Arial" w:hAnsi="Arial"/>
          <w:sz w:val="18"/>
          <w:szCs w:val="18"/>
          <w:color w:val="auto"/>
        </w:rPr>
        <w:t>, to (x) any assignee of or Participant in (or their Representatives, it being understood that the Persons to whom such disclosure is made will be informed of the confidential nature</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- 176 -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372" w:name="page373"/>
    <w:bookmarkEnd w:id="372"/>
    <w:p>
      <w:pPr>
        <w:spacing w:after="0" w:line="255" w:lineRule="auto"/>
        <w:rPr>
          <w:sz w:val="20"/>
          <w:szCs w:val="20"/>
          <w:color w:val="auto"/>
        </w:rPr>
      </w:pPr>
      <w:r>
        <w:rPr>
          <w:rFonts w:ascii="Arial" w:cs="Arial" w:eastAsia="Arial" w:hAnsi="Arial"/>
          <w:sz w:val="19"/>
          <w:szCs w:val="19"/>
          <w:color w:val="auto"/>
        </w:rPr>
        <w:t>of such Information and instructed to keep such Information confidential), or any prospective assignee of or Participant in (or their Representatives, it being understood that the Persons to whom such disclosure is made will be informed of the confidential nature of such Information and instructed to keep such Information confidential) any of its rights or obligations under this Agreement or (y) any actual or prospective counterparty (or its Representatives, it being understood that the Persons to whom such disclosure is made will be informed of the confidential nature of such Information and instructed to keep such Information confidential) to any swap or derivative transaction relating to the Parent or any Borrower and their respective obligations, (h) with the consent of the Lead Borrower, (i) to the extent such Information (x) becomes publicly available other than as a result of a breach of this Section or (y) becomes available to the Administrative Agent, any Lender, the L/C Issuer or any of their respective Affiliates on a nonconfidential basis from a source other than a Borrower or (j) on a confidential basis to the CUSIP Service Bureau or any similar agency in connection with the issuance and monitoring of CUSIP numbers of other market identifiers with respect to the credit facilities provided herein. In addition, the Administrative Agent and the Lenders may disclose the existence of this Agreement and information about this Agreement to market data collectors, similar service providers to the lending industry and service providers to the Agents and the Lenders in connection with the administration of this Agreement, the other Loan Documents, and the Commitments.</w:t>
      </w:r>
    </w:p>
    <w:p>
      <w:pPr>
        <w:spacing w:after="0" w:line="142" w:lineRule="exact"/>
        <w:rPr>
          <w:sz w:val="20"/>
          <w:szCs w:val="20"/>
          <w:color w:val="auto"/>
        </w:rPr>
      </w:pPr>
    </w:p>
    <w:p>
      <w:pPr>
        <w:ind w:right="80" w:firstLine="1297"/>
        <w:spacing w:after="0" w:line="274" w:lineRule="auto"/>
        <w:rPr>
          <w:sz w:val="20"/>
          <w:szCs w:val="20"/>
          <w:color w:val="auto"/>
        </w:rPr>
      </w:pPr>
      <w:r>
        <w:rPr>
          <w:rFonts w:ascii="Arial" w:cs="Arial" w:eastAsia="Arial" w:hAnsi="Arial"/>
          <w:sz w:val="18"/>
          <w:szCs w:val="18"/>
          <w:color w:val="auto"/>
        </w:rPr>
        <w:t xml:space="preserve">For purposes of this Section, “Information” means all information received from any Borrower or any of their Subsidiaries relating to any Borrower or any of its Subsidiaries or any of their respective businesses, other than any such information that is available to the Administrative Agent, any Lender or the L/C Issuer on a nonconfidential basis prior to disclosure by such Borrower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Parent or any of its Subsidiary after the </w:t>
      </w:r>
      <w:r>
        <w:rPr>
          <w:rFonts w:ascii="Arial" w:cs="Arial" w:eastAsia="Arial" w:hAnsi="Arial"/>
          <w:sz w:val="18"/>
          <w:szCs w:val="18"/>
          <w:color w:val="FF0000"/>
          <w:strike w:val="1"/>
        </w:rPr>
        <w:t>date hereof</w:t>
      </w:r>
      <w:r>
        <w:rPr>
          <w:rFonts w:ascii="Arial" w:cs="Arial" w:eastAsia="Arial" w:hAnsi="Arial"/>
          <w:sz w:val="18"/>
          <w:szCs w:val="18"/>
          <w:u w:val="single" w:color="auto"/>
          <w:color w:val="0000FF"/>
        </w:rPr>
        <w:t>Closing Date</w:t>
      </w:r>
      <w:r>
        <w:rPr>
          <w:rFonts w:ascii="Arial" w:cs="Arial" w:eastAsia="Arial" w:hAnsi="Arial"/>
          <w:sz w:val="18"/>
          <w:szCs w:val="18"/>
          <w:color w:val="auto"/>
        </w:rPr>
        <w:t>,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29" w:lineRule="exact"/>
        <w:rPr>
          <w:sz w:val="20"/>
          <w:szCs w:val="20"/>
          <w:color w:val="auto"/>
        </w:rPr>
      </w:pPr>
    </w:p>
    <w:p>
      <w:pPr>
        <w:ind w:right="80" w:firstLine="1297"/>
        <w:spacing w:after="0" w:line="246" w:lineRule="auto"/>
        <w:rPr>
          <w:sz w:val="20"/>
          <w:szCs w:val="20"/>
          <w:color w:val="auto"/>
        </w:rPr>
      </w:pPr>
      <w:r>
        <w:rPr>
          <w:rFonts w:ascii="Arial" w:cs="Arial" w:eastAsia="Arial" w:hAnsi="Arial"/>
          <w:sz w:val="20"/>
          <w:szCs w:val="20"/>
          <w:color w:val="auto"/>
        </w:rPr>
        <w:t>Each of the Administrative Agent, the Lenders and the L/C Issuer acknowledges that (a) the Information may include material non-public information concerning Parent or any of its Subsidiaries,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45" w:lineRule="exact"/>
        <w:rPr>
          <w:sz w:val="20"/>
          <w:szCs w:val="20"/>
          <w:color w:val="auto"/>
        </w:rPr>
      </w:pPr>
    </w:p>
    <w:p>
      <w:pPr>
        <w:ind w:right="60" w:firstLine="1297"/>
        <w:spacing w:after="0" w:line="271" w:lineRule="auto"/>
        <w:rPr>
          <w:sz w:val="20"/>
          <w:szCs w:val="20"/>
          <w:color w:val="auto"/>
        </w:rPr>
      </w:pPr>
      <w:r>
        <w:rPr>
          <w:rFonts w:ascii="Arial" w:cs="Arial" w:eastAsia="Arial" w:hAnsi="Arial"/>
          <w:sz w:val="18"/>
          <w:szCs w:val="18"/>
          <w:b w:val="1"/>
          <w:bCs w:val="1"/>
          <w:color w:val="auto"/>
        </w:rPr>
        <w:t xml:space="preserve">Section 10.08 </w:t>
      </w:r>
      <w:r>
        <w:rPr>
          <w:rFonts w:ascii="Arial" w:cs="Arial" w:eastAsia="Arial" w:hAnsi="Arial"/>
          <w:sz w:val="18"/>
          <w:szCs w:val="18"/>
          <w:u w:val="single" w:color="auto"/>
          <w:color w:val="auto"/>
        </w:rPr>
        <w:t>Right of Setoff</w:t>
      </w:r>
      <w:r>
        <w:rPr>
          <w:rFonts w:ascii="Arial" w:cs="Arial" w:eastAsia="Arial" w:hAnsi="Arial"/>
          <w:sz w:val="18"/>
          <w:szCs w:val="18"/>
          <w:color w:val="auto"/>
        </w:rPr>
        <w:t>. If an Event of Default shall have occurred and be continuing, each Lender, each L/C Issuer,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Borrower or any other Loan Party against any and all of the then due and owing obligations of such Borrower or such Loan Party, as applicable, now or hereafter existing under this Agreement or any other Loan Document to such Lender or L/C Issuer, irrespective of whether or not such Lender or the L/C Issuer shall have made any demand under this Agreement or any other Loan Document or (x) such obligations may be contingent or unmatured or (y) are owed to a branch or office or Affiliate of such Lender or the L/C Issuer different from the branch or office or Affiliate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 and the Lenders, and (y) the</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- 177 -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6" w:right="279" w:bottom="1440" w:gutter="0" w:footer="0" w:header="0"/>
        </w:sectPr>
      </w:pPr>
    </w:p>
    <w:bookmarkStart w:id="373" w:name="page374"/>
    <w:bookmarkEnd w:id="373"/>
    <w:p>
      <w:pPr>
        <w:ind w:right="60"/>
        <w:spacing w:after="0" w:line="243" w:lineRule="auto"/>
        <w:rPr>
          <w:sz w:val="20"/>
          <w:szCs w:val="20"/>
          <w:color w:val="auto"/>
        </w:rPr>
      </w:pPr>
      <w:r>
        <w:rPr>
          <w:rFonts w:ascii="Arial" w:cs="Arial" w:eastAsia="Arial" w:hAnsi="Arial"/>
          <w:sz w:val="20"/>
          <w:szCs w:val="20"/>
          <w:color w:val="auto"/>
        </w:rPr>
        <w:t xml:space="preserve">Defaulting Lender shall provide promptly to the Administrative Agent a statement describing in reasonable detail the Senior Credit Obligations owing to such Defaulting Lender as to which it exercised such right of setoff. The rights of each Lender and L/C Issuer and their respective Affiliates under this Section are in addition to other rights and remedies (including other rights of setoff) that such Lender, the L/C Issuer or their respective Affiliates may have. Each Lender and L/C Issuer agrees to notify the applicable Borrower and the Administrative Agent promptly after any such setoff and application;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to give such notice shall not affect the validity of such setoff and application.</w:t>
      </w:r>
    </w:p>
    <w:p>
      <w:pPr>
        <w:spacing w:after="0" w:line="82" w:lineRule="exact"/>
        <w:rPr>
          <w:sz w:val="20"/>
          <w:szCs w:val="20"/>
          <w:color w:val="auto"/>
        </w:rPr>
      </w:pPr>
    </w:p>
    <w:p>
      <w:pPr>
        <w:ind w:firstLine="1297"/>
        <w:spacing w:after="0" w:line="274" w:lineRule="auto"/>
        <w:rPr>
          <w:sz w:val="20"/>
          <w:szCs w:val="20"/>
          <w:color w:val="auto"/>
        </w:rPr>
      </w:pPr>
      <w:r>
        <w:rPr>
          <w:rFonts w:ascii="Arial" w:cs="Arial" w:eastAsia="Arial" w:hAnsi="Arial"/>
          <w:sz w:val="18"/>
          <w:szCs w:val="18"/>
          <w:b w:val="1"/>
          <w:bCs w:val="1"/>
          <w:color w:val="auto"/>
        </w:rPr>
        <w:t xml:space="preserve">Section 10.09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to the contrary contained in any Loan Document,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paid or agreed to be paid under the Loan Documents shall not exceed the maximum rate of non-usurious interest permitted by applicable Law (the “</w:t>
      </w:r>
      <w:r>
        <w:rPr>
          <w:rFonts w:ascii="Arial" w:cs="Arial" w:eastAsia="Arial" w:hAnsi="Arial"/>
          <w:sz w:val="18"/>
          <w:szCs w:val="18"/>
          <w:u w:val="single" w:color="auto"/>
          <w:color w:val="auto"/>
        </w:rPr>
        <w:t>Maximum Rate</w:t>
      </w:r>
      <w:r>
        <w:rPr>
          <w:rFonts w:ascii="Arial" w:cs="Arial" w:eastAsia="Arial" w:hAnsi="Arial"/>
          <w:sz w:val="18"/>
          <w:szCs w:val="18"/>
          <w:color w:val="auto"/>
        </w:rPr>
        <w:t>”). If the Administrative Agent or any Lender shall receive interest in an amount that exceeds the Maximum Rate, the excess interest shall be applied to the principal of the Loans or, if it exceeds such unpaid principal, refunded to the applicable Borrower. In determining whether the interest contracted for, charged, or received by the Administrative Agent or a Lender exceeds the Maximum Rate, such Person may, to the extent permitted by applicable Law, (i) characterize any payment that is not principal as an expense, fee, or premium rather than interest, (ii) exclude voluntary prepayments and the effects thereof and (iii) amortize, prorate, allocate, and spread in equal or unequal parts the total amount of interest throughout the contemplated term of the Senior Credit Obligations hereunder.</w:t>
      </w:r>
    </w:p>
    <w:p>
      <w:pPr>
        <w:spacing w:after="0" w:line="54" w:lineRule="exact"/>
        <w:rPr>
          <w:sz w:val="20"/>
          <w:szCs w:val="20"/>
          <w:color w:val="auto"/>
        </w:rPr>
      </w:pPr>
    </w:p>
    <w:p>
      <w:pPr>
        <w:ind w:right="60" w:firstLine="1297"/>
        <w:spacing w:after="0" w:line="307" w:lineRule="auto"/>
        <w:rPr>
          <w:sz w:val="20"/>
          <w:szCs w:val="20"/>
          <w:color w:val="auto"/>
        </w:rPr>
      </w:pPr>
      <w:r>
        <w:rPr>
          <w:rFonts w:ascii="Arial" w:cs="Arial" w:eastAsia="Arial" w:hAnsi="Arial"/>
          <w:sz w:val="16"/>
          <w:szCs w:val="16"/>
          <w:b w:val="1"/>
          <w:bCs w:val="1"/>
          <w:color w:val="auto"/>
        </w:rPr>
        <w:t xml:space="preserve">Section 10.10 </w:t>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This Agreement may be executed in counterparts (and by different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contained herein, the Fee Letter shall survive the Closing Date.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2" w:lineRule="exact"/>
        <w:rPr>
          <w:sz w:val="20"/>
          <w:szCs w:val="20"/>
          <w:color w:val="auto"/>
        </w:rPr>
      </w:pPr>
    </w:p>
    <w:p>
      <w:pPr>
        <w:ind w:firstLine="1297"/>
        <w:spacing w:after="0" w:line="272" w:lineRule="auto"/>
        <w:rPr>
          <w:sz w:val="20"/>
          <w:szCs w:val="20"/>
          <w:color w:val="auto"/>
        </w:rPr>
      </w:pPr>
      <w:r>
        <w:rPr>
          <w:rFonts w:ascii="Arial" w:cs="Arial" w:eastAsia="Arial" w:hAnsi="Arial"/>
          <w:sz w:val="18"/>
          <w:szCs w:val="18"/>
          <w:b w:val="1"/>
          <w:bCs w:val="1"/>
          <w:color w:val="auto"/>
        </w:rPr>
        <w:t xml:space="preserve">Section 10.11 </w:t>
      </w:r>
      <w:r>
        <w:rPr>
          <w:rFonts w:ascii="Arial" w:cs="Arial" w:eastAsia="Arial" w:hAnsi="Arial"/>
          <w:sz w:val="18"/>
          <w:szCs w:val="18"/>
          <w:u w:val="single" w:color="auto"/>
          <w:color w:val="auto"/>
        </w:rPr>
        <w:t>Survival of Agreement</w:t>
      </w:r>
      <w:r>
        <w:rPr>
          <w:rFonts w:ascii="Arial" w:cs="Arial" w:eastAsia="Arial" w:hAnsi="Arial"/>
          <w:sz w:val="18"/>
          <w:szCs w:val="18"/>
          <w:color w:val="auto"/>
        </w:rPr>
        <w:t>. All covenants, agreements, representations and warranties made by the Loan Parties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Loan Documents and in the certificates or other instruments delivered in connection with or pursuant to this Agreement or any other Loan Document or other document delivered pursuant hereto or thereto or in connection herewith or therewith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Agents, the L/C Issuer or any Lender may have had notice or knowledge of any Default, Event of Default, or incorrect representation or warranty at the time of any Credit Extension, and shall continue in full force and effect until the Discharge of Senior Credit Obligations (other than contingent indemnification obligations). The provisions of </w:t>
      </w:r>
      <w:r>
        <w:rPr>
          <w:rFonts w:ascii="Arial" w:cs="Arial" w:eastAsia="Arial" w:hAnsi="Arial"/>
          <w:sz w:val="18"/>
          <w:szCs w:val="18"/>
          <w:u w:val="single" w:color="auto"/>
          <w:color w:val="auto"/>
        </w:rPr>
        <w:t>Sections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10.10</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10.16</w:t>
      </w:r>
      <w:r>
        <w:rPr>
          <w:rFonts w:ascii="Arial" w:cs="Arial" w:eastAsia="Arial" w:hAnsi="Arial"/>
          <w:sz w:val="18"/>
          <w:szCs w:val="18"/>
          <w:color w:val="auto"/>
        </w:rPr>
        <w:t xml:space="preserve"> shall survive and remain in full force and effect regardless of the repayment of the Loans, the payment of the Reimbursement Obligations, the expiration or termination of the Letters of Credit and the Commitments or the termination of this Agreement or any provision hereof.</w:t>
      </w:r>
    </w:p>
    <w:p>
      <w:pPr>
        <w:spacing w:after="0" w:line="58" w:lineRule="exact"/>
        <w:rPr>
          <w:sz w:val="20"/>
          <w:szCs w:val="20"/>
          <w:color w:val="auto"/>
        </w:rPr>
      </w:pPr>
    </w:p>
    <w:p>
      <w:pPr>
        <w:ind w:right="520" w:firstLine="1297"/>
        <w:spacing w:after="0" w:line="267" w:lineRule="auto"/>
        <w:rPr>
          <w:sz w:val="20"/>
          <w:szCs w:val="20"/>
          <w:color w:val="auto"/>
        </w:rPr>
      </w:pPr>
      <w:r>
        <w:rPr>
          <w:rFonts w:ascii="Arial" w:cs="Arial" w:eastAsia="Arial" w:hAnsi="Arial"/>
          <w:sz w:val="20"/>
          <w:szCs w:val="20"/>
          <w:b w:val="1"/>
          <w:bCs w:val="1"/>
          <w:color w:val="auto"/>
        </w:rPr>
        <w:t xml:space="preserve">Section 10.12 </w:t>
      </w: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of this Agreement or the other Loan Documents held to be invalid, illegal or</w:t>
      </w:r>
      <w:r>
        <w:rPr>
          <w:rFonts w:ascii="Arial" w:cs="Arial" w:eastAsia="Arial" w:hAnsi="Arial"/>
          <w:sz w:val="20"/>
          <w:szCs w:val="20"/>
          <w:b w:val="1"/>
          <w:bCs w:val="1"/>
          <w:color w:val="auto"/>
        </w:rPr>
        <w:t xml:space="preserve"> </w:t>
      </w:r>
      <w:r>
        <w:rPr>
          <w:rFonts w:ascii="Arial" w:cs="Arial" w:eastAsia="Arial" w:hAnsi="Arial"/>
          <w:sz w:val="20"/>
          <w:szCs w:val="20"/>
          <w:color w:val="auto"/>
        </w:rPr>
        <w:t>unenforceable in any jurisdiction shall, as to such jurisdiction, be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374" w:name="page375"/>
    <w:bookmarkEnd w:id="374"/>
    <w:p>
      <w:pPr>
        <w:ind w:right="160"/>
        <w:spacing w:after="0" w:line="243" w:lineRule="auto"/>
        <w:rPr>
          <w:sz w:val="20"/>
          <w:szCs w:val="20"/>
          <w:color w:val="auto"/>
        </w:rPr>
      </w:pPr>
      <w:r>
        <w:rPr>
          <w:rFonts w:ascii="Arial" w:cs="Arial" w:eastAsia="Arial" w:hAnsi="Arial"/>
          <w:sz w:val="20"/>
          <w:szCs w:val="20"/>
          <w:color w:val="auto"/>
        </w:rPr>
        <w:t xml:space="preserve">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w:t>
      </w:r>
      <w:r>
        <w:rPr>
          <w:rFonts w:ascii="Arial" w:cs="Arial" w:eastAsia="Arial" w:hAnsi="Arial"/>
          <w:sz w:val="20"/>
          <w:szCs w:val="20"/>
          <w:u w:val="single" w:color="auto"/>
          <w:color w:val="auto"/>
        </w:rPr>
        <w:t>Section 10.12</w:t>
      </w:r>
      <w:r>
        <w:rPr>
          <w:rFonts w:ascii="Arial" w:cs="Arial" w:eastAsia="Arial" w:hAnsi="Arial"/>
          <w:sz w:val="20"/>
          <w:szCs w:val="20"/>
          <w:color w:val="auto"/>
        </w:rPr>
        <w:t>, if and to the extent that the enforceability of any provisions in this Agreement relating to Defaulting Lenders shall be limited by Bankruptcy Laws, as determined in good faith by the Administrative Agent, the L/C Issuer or the Swing Line Lender, as applicable, then such provisions shall be deemed to be in effect only to the extent not so limited.</w:t>
      </w:r>
    </w:p>
    <w:p>
      <w:pPr>
        <w:spacing w:after="0" w:line="150"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0"/>
          <w:szCs w:val="20"/>
          <w:b w:val="1"/>
          <w:bCs w:val="1"/>
          <w:color w:val="auto"/>
        </w:rPr>
        <w:t>Section 10.13</w:t>
      </w:r>
      <w:r>
        <w:rPr>
          <w:sz w:val="20"/>
          <w:szCs w:val="20"/>
          <w:color w:val="auto"/>
        </w:rPr>
        <w:tab/>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w:t>
      </w:r>
    </w:p>
    <w:p>
      <w:pPr>
        <w:spacing w:after="0" w:line="195" w:lineRule="exact"/>
        <w:rPr>
          <w:sz w:val="20"/>
          <w:szCs w:val="20"/>
          <w:color w:val="auto"/>
        </w:rPr>
      </w:pPr>
    </w:p>
    <w:p>
      <w:pPr>
        <w:ind w:right="60" w:firstLine="1305"/>
        <w:spacing w:after="0" w:line="274" w:lineRule="auto"/>
        <w:tabs>
          <w:tab w:leader="none" w:pos="2164" w:val="left"/>
        </w:tabs>
        <w:numPr>
          <w:ilvl w:val="0"/>
          <w:numId w:val="350"/>
        </w:numPr>
        <w:rPr>
          <w:rFonts w:ascii="Arial" w:cs="Arial" w:eastAsia="Arial" w:hAnsi="Arial"/>
          <w:sz w:val="20"/>
          <w:szCs w:val="20"/>
          <w:color w:val="auto"/>
        </w:rPr>
      </w:pPr>
      <w:r>
        <w:rPr>
          <w:rFonts w:ascii="Arial" w:cs="Arial" w:eastAsia="Arial" w:hAnsi="Arial"/>
          <w:sz w:val="20"/>
          <w:szCs w:val="20"/>
          <w:i w:val="1"/>
          <w:iCs w:val="1"/>
          <w:u w:val="single" w:color="auto"/>
          <w:color w:val="auto"/>
        </w:rPr>
        <w:t>Governing Law</w:t>
      </w:r>
      <w:r>
        <w:rPr>
          <w:rFonts w:ascii="Arial" w:cs="Arial" w:eastAsia="Arial" w:hAnsi="Arial"/>
          <w:sz w:val="20"/>
          <w:szCs w:val="20"/>
          <w:color w:val="auto"/>
        </w:rPr>
        <w:t>. This Agreement and the other Loan Documents and any claims, controversy, dispute or cause of</w:t>
      </w:r>
      <w:r>
        <w:rPr>
          <w:rFonts w:ascii="Arial" w:cs="Arial" w:eastAsia="Arial" w:hAnsi="Arial"/>
          <w:sz w:val="20"/>
          <w:szCs w:val="20"/>
          <w:i w:val="1"/>
          <w:iCs w:val="1"/>
          <w:color w:val="auto"/>
        </w:rPr>
        <w:t xml:space="preserve"> </w:t>
      </w:r>
      <w:r>
        <w:rPr>
          <w:rFonts w:ascii="Arial" w:cs="Arial" w:eastAsia="Arial" w:hAnsi="Arial"/>
          <w:sz w:val="20"/>
          <w:szCs w:val="20"/>
          <w:color w:val="auto"/>
        </w:rPr>
        <w:t>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51" w:lineRule="exact"/>
        <w:rPr>
          <w:rFonts w:ascii="Arial" w:cs="Arial" w:eastAsia="Arial" w:hAnsi="Arial"/>
          <w:sz w:val="20"/>
          <w:szCs w:val="20"/>
          <w:color w:val="auto"/>
        </w:rPr>
      </w:pPr>
    </w:p>
    <w:p>
      <w:pPr>
        <w:ind w:right="20" w:firstLine="1305"/>
        <w:spacing w:after="0" w:line="303" w:lineRule="auto"/>
        <w:tabs>
          <w:tab w:leader="none" w:pos="2175" w:val="left"/>
        </w:tabs>
        <w:numPr>
          <w:ilvl w:val="0"/>
          <w:numId w:val="350"/>
        </w:numPr>
        <w:rPr>
          <w:rFonts w:ascii="Arial" w:cs="Arial" w:eastAsia="Arial" w:hAnsi="Arial"/>
          <w:sz w:val="18"/>
          <w:szCs w:val="18"/>
          <w:color w:val="auto"/>
        </w:rPr>
      </w:pPr>
      <w:r>
        <w:rPr>
          <w:rFonts w:ascii="Arial" w:cs="Arial" w:eastAsia="Arial" w:hAnsi="Arial"/>
          <w:sz w:val="18"/>
          <w:szCs w:val="18"/>
          <w:i w:val="1"/>
          <w:iCs w:val="1"/>
          <w:u w:val="single" w:color="auto"/>
          <w:color w:val="auto"/>
        </w:rPr>
        <w:t>Submission to Jurisdiction</w:t>
      </w:r>
      <w:r>
        <w:rPr>
          <w:rFonts w:ascii="Arial" w:cs="Arial" w:eastAsia="Arial" w:hAnsi="Arial"/>
          <w:sz w:val="18"/>
          <w:szCs w:val="18"/>
          <w:color w:val="auto"/>
        </w:rPr>
        <w:t>. Each party hereby irrevocably and unconditionally submits, for itself and its property,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any Loan Document, or for recognition or enforcement of any judgment,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any Borrower or its properties in the courts of any jurisdiction.</w:t>
      </w:r>
    </w:p>
    <w:p>
      <w:pPr>
        <w:spacing w:after="0" w:line="128" w:lineRule="exact"/>
        <w:rPr>
          <w:rFonts w:ascii="Arial" w:cs="Arial" w:eastAsia="Arial" w:hAnsi="Arial"/>
          <w:sz w:val="18"/>
          <w:szCs w:val="18"/>
          <w:color w:val="auto"/>
        </w:rPr>
      </w:pPr>
    </w:p>
    <w:p>
      <w:pPr>
        <w:ind w:firstLine="1305"/>
        <w:spacing w:after="0" w:line="273" w:lineRule="auto"/>
        <w:tabs>
          <w:tab w:leader="none" w:pos="2164" w:val="left"/>
        </w:tabs>
        <w:numPr>
          <w:ilvl w:val="0"/>
          <w:numId w:val="350"/>
        </w:numPr>
        <w:rPr>
          <w:rFonts w:ascii="Arial" w:cs="Arial" w:eastAsia="Arial" w:hAnsi="Arial"/>
          <w:sz w:val="20"/>
          <w:szCs w:val="20"/>
          <w:color w:val="auto"/>
        </w:rPr>
      </w:pPr>
      <w:r>
        <w:rPr>
          <w:rFonts w:ascii="Arial" w:cs="Arial" w:eastAsia="Arial" w:hAnsi="Arial"/>
          <w:sz w:val="20"/>
          <w:szCs w:val="20"/>
          <w:i w:val="1"/>
          <w:iCs w:val="1"/>
          <w:u w:val="single" w:color="auto"/>
          <w:color w:val="auto"/>
        </w:rPr>
        <w:t>Waiver of Venue</w:t>
      </w:r>
      <w:r>
        <w:rPr>
          <w:rFonts w:ascii="Arial" w:cs="Arial" w:eastAsia="Arial" w:hAnsi="Arial"/>
          <w:sz w:val="20"/>
          <w:szCs w:val="20"/>
          <w:color w:val="auto"/>
        </w:rPr>
        <w:t>. Each party hereby irrevocably and unconditionally waives, to the fullest extent permitted by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applicable Laws, any objection which it may now or hereafter have to the laying of venue of any suit, action or proceeding arising out of or relating to this Agreement or any other Loan Document in any court referred to in </w:t>
      </w:r>
      <w:r>
        <w:rPr>
          <w:rFonts w:ascii="Arial" w:cs="Arial" w:eastAsia="Arial" w:hAnsi="Arial"/>
          <w:sz w:val="20"/>
          <w:szCs w:val="20"/>
          <w:u w:val="single" w:color="auto"/>
          <w:color w:val="auto"/>
        </w:rPr>
        <w:t>Section 10.13(b)</w:t>
      </w:r>
      <w:r>
        <w:rPr>
          <w:rFonts w:ascii="Arial" w:cs="Arial" w:eastAsia="Arial" w:hAnsi="Arial"/>
          <w:sz w:val="20"/>
          <w:szCs w:val="20"/>
          <w:color w:val="auto"/>
        </w:rPr>
        <w:t>. Each of the parties hereto hereby irrevocably waives, to the fullest extent permitted by applicable Law, the defense of an inconvenient forum to the maintenance of such action or proceeding in any such court.</w:t>
      </w:r>
    </w:p>
    <w:p>
      <w:pPr>
        <w:spacing w:after="0" w:line="150" w:lineRule="exact"/>
        <w:rPr>
          <w:rFonts w:ascii="Arial" w:cs="Arial" w:eastAsia="Arial" w:hAnsi="Arial"/>
          <w:sz w:val="20"/>
          <w:szCs w:val="20"/>
          <w:color w:val="auto"/>
        </w:rPr>
      </w:pPr>
    </w:p>
    <w:p>
      <w:pPr>
        <w:ind w:firstLine="1305"/>
        <w:spacing w:after="0" w:line="305" w:lineRule="auto"/>
        <w:tabs>
          <w:tab w:leader="none" w:pos="2175" w:val="left"/>
        </w:tabs>
        <w:numPr>
          <w:ilvl w:val="0"/>
          <w:numId w:val="350"/>
        </w:numPr>
        <w:rPr>
          <w:rFonts w:ascii="Arial" w:cs="Arial" w:eastAsia="Arial" w:hAnsi="Arial"/>
          <w:sz w:val="18"/>
          <w:szCs w:val="18"/>
          <w:color w:val="auto"/>
        </w:rPr>
      </w:pPr>
      <w:r>
        <w:rPr>
          <w:rFonts w:ascii="Arial" w:cs="Arial" w:eastAsia="Arial" w:hAnsi="Arial"/>
          <w:sz w:val="18"/>
          <w:szCs w:val="18"/>
          <w:i w:val="1"/>
          <w:iCs w:val="1"/>
          <w:u w:val="single" w:color="auto"/>
          <w:color w:val="auto"/>
        </w:rPr>
        <w:t>Service of Process</w:t>
      </w:r>
      <w:r>
        <w:rPr>
          <w:rFonts w:ascii="Arial" w:cs="Arial" w:eastAsia="Arial" w:hAnsi="Arial"/>
          <w:sz w:val="18"/>
          <w:szCs w:val="18"/>
          <w:color w:val="auto"/>
        </w:rPr>
        <w:t>. Each party hereto irrevocably consents to service of process in any action or proceeding arising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out of or relating to any Loan Document, in the manner provided for notices (other than telecopier) in </w:t>
      </w:r>
      <w:r>
        <w:rPr>
          <w:rFonts w:ascii="Arial" w:cs="Arial" w:eastAsia="Arial" w:hAnsi="Arial"/>
          <w:sz w:val="18"/>
          <w:szCs w:val="18"/>
          <w:u w:val="single" w:color="auto"/>
          <w:color w:val="auto"/>
        </w:rPr>
        <w:t>Section 10.02</w:t>
      </w:r>
      <w:r>
        <w:rPr>
          <w:rFonts w:ascii="Arial" w:cs="Arial" w:eastAsia="Arial" w:hAnsi="Arial"/>
          <w:sz w:val="18"/>
          <w:szCs w:val="18"/>
          <w:color w:val="auto"/>
        </w:rPr>
        <w:t>. Nothing in this Agreement or any other Loan Document will affect the right of any party hereto to serve process in any other manner permitted by applicable Laws. Each of the Parent and each Irish Borrower hereby irrevocably appoints the U.S. Borrower as its agent for service of process with respect to all of the Loan Documents and all other related agreements to which it is a party (the “</w:t>
      </w:r>
      <w:r>
        <w:rPr>
          <w:rFonts w:ascii="Arial" w:cs="Arial" w:eastAsia="Arial" w:hAnsi="Arial"/>
          <w:sz w:val="18"/>
          <w:szCs w:val="18"/>
          <w:u w:val="single" w:color="auto"/>
          <w:color w:val="auto"/>
        </w:rPr>
        <w:t>Process Agent</w:t>
      </w:r>
      <w:r>
        <w:rPr>
          <w:rFonts w:ascii="Arial" w:cs="Arial" w:eastAsia="Arial" w:hAnsi="Arial"/>
          <w:sz w:val="18"/>
          <w:szCs w:val="18"/>
          <w:color w:val="auto"/>
        </w:rPr>
        <w:t>”) and the U.S. Borrower hereby accepts such appointment as the Process Agent and hereby agrees to forward promptly to the Parent and each Irish Borrower, as applicable, all legal process addressed to the Parent and each Irish Borrower, as applicable, received by the Process Agent.</w:t>
      </w:r>
    </w:p>
    <w:p>
      <w:pPr>
        <w:spacing w:after="0" w:line="130" w:lineRule="exact"/>
        <w:rPr>
          <w:rFonts w:ascii="Arial" w:cs="Arial" w:eastAsia="Arial" w:hAnsi="Arial"/>
          <w:sz w:val="18"/>
          <w:szCs w:val="18"/>
          <w:color w:val="auto"/>
        </w:rPr>
      </w:pPr>
    </w:p>
    <w:p>
      <w:pPr>
        <w:ind w:right="740" w:firstLine="1305"/>
        <w:spacing w:after="0" w:line="289" w:lineRule="auto"/>
        <w:tabs>
          <w:tab w:leader="none" w:pos="2164" w:val="left"/>
        </w:tabs>
        <w:numPr>
          <w:ilvl w:val="0"/>
          <w:numId w:val="350"/>
        </w:numPr>
        <w:rPr>
          <w:rFonts w:ascii="Arial" w:cs="Arial" w:eastAsia="Arial" w:hAnsi="Arial"/>
          <w:sz w:val="20"/>
          <w:szCs w:val="20"/>
          <w:color w:val="auto"/>
        </w:rPr>
      </w:pPr>
      <w:r>
        <w:rPr>
          <w:rFonts w:ascii="Arial" w:cs="Arial" w:eastAsia="Arial" w:hAnsi="Arial"/>
          <w:sz w:val="20"/>
          <w:szCs w:val="20"/>
          <w:i w:val="1"/>
          <w:iCs w:val="1"/>
          <w:u w:val="single" w:color="auto"/>
          <w:color w:val="auto"/>
        </w:rPr>
        <w:t>Waiver of Jury Trial</w:t>
      </w:r>
      <w:r>
        <w:rPr>
          <w:rFonts w:ascii="Arial" w:cs="Arial" w:eastAsia="Arial" w:hAnsi="Arial"/>
          <w:sz w:val="20"/>
          <w:szCs w:val="20"/>
          <w:color w:val="auto"/>
        </w:rPr>
        <w:t>. EACH PARTY HERETO HEREBY IRREVOCABLY WAIVES, TO THE FULLEST</w:t>
      </w:r>
      <w:r>
        <w:rPr>
          <w:rFonts w:ascii="Arial" w:cs="Arial" w:eastAsia="Arial" w:hAnsi="Arial"/>
          <w:sz w:val="20"/>
          <w:szCs w:val="20"/>
          <w:i w:val="1"/>
          <w:iCs w:val="1"/>
          <w:color w:val="auto"/>
        </w:rPr>
        <w:t xml:space="preserve"> </w:t>
      </w:r>
      <w:r>
        <w:rPr>
          <w:rFonts w:ascii="Arial" w:cs="Arial" w:eastAsia="Arial" w:hAnsi="Arial"/>
          <w:sz w:val="20"/>
          <w:szCs w:val="20"/>
          <w:color w:val="auto"/>
        </w:rPr>
        <w:t>EXTENT PERMITTED BY APPLICABLE LAW, ANY RIGHT IT</w:t>
      </w: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p>
      <w:pPr>
        <w:ind w:left="5560" w:hanging="110"/>
        <w:spacing w:after="0"/>
        <w:tabs>
          <w:tab w:leader="none" w:pos="5560" w:val="left"/>
        </w:tabs>
        <w:numPr>
          <w:ilvl w:val="1"/>
          <w:numId w:val="350"/>
        </w:numPr>
        <w:rPr>
          <w:rFonts w:ascii="Arial" w:cs="Arial" w:eastAsia="Arial" w:hAnsi="Arial"/>
          <w:sz w:val="20"/>
          <w:szCs w:val="20"/>
          <w:color w:val="auto"/>
        </w:rPr>
      </w:pPr>
      <w:r>
        <w:rPr>
          <w:rFonts w:ascii="Arial" w:cs="Arial" w:eastAsia="Arial" w:hAnsi="Arial"/>
          <w:sz w:val="20"/>
          <w:szCs w:val="20"/>
          <w:color w:val="auto"/>
        </w:rPr>
        <w:t>179 -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375" w:name="page376"/>
    <w:bookmarkEnd w:id="375"/>
    <w:p>
      <w:pPr>
        <w:ind w:right="40"/>
        <w:spacing w:after="0" w:line="270" w:lineRule="auto"/>
        <w:rPr>
          <w:sz w:val="20"/>
          <w:szCs w:val="20"/>
          <w:color w:val="auto"/>
        </w:rPr>
      </w:pPr>
      <w:r>
        <w:rPr>
          <w:rFonts w:ascii="Arial" w:cs="Arial" w:eastAsia="Arial" w:hAnsi="Arial"/>
          <w:sz w:val="20"/>
          <w:szCs w:val="20"/>
          <w:color w:val="auto"/>
        </w:rPr>
        <w:t>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39"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0"/>
          <w:szCs w:val="20"/>
          <w:b w:val="1"/>
          <w:bCs w:val="1"/>
          <w:color w:val="auto"/>
        </w:rPr>
        <w:t>Section 10.14</w:t>
      </w:r>
      <w:r>
        <w:rPr>
          <w:sz w:val="20"/>
          <w:szCs w:val="20"/>
          <w:color w:val="auto"/>
        </w:rPr>
        <w:tab/>
      </w:r>
      <w:r>
        <w:rPr>
          <w:rFonts w:ascii="Arial" w:cs="Arial" w:eastAsia="Arial" w:hAnsi="Arial"/>
          <w:sz w:val="18"/>
          <w:szCs w:val="18"/>
          <w:u w:val="single" w:color="auto"/>
          <w:color w:val="auto"/>
        </w:rPr>
        <w:t>PATRIOT Act Notice; Lender’s Compliance Certification</w:t>
      </w:r>
      <w:r>
        <w:rPr>
          <w:rFonts w:ascii="Arial" w:cs="Arial" w:eastAsia="Arial" w:hAnsi="Arial"/>
          <w:sz w:val="18"/>
          <w:szCs w:val="18"/>
          <w:color w:val="auto"/>
        </w:rPr>
        <w:t>.</w:t>
      </w:r>
    </w:p>
    <w:p>
      <w:pPr>
        <w:spacing w:after="0" w:line="195" w:lineRule="exact"/>
        <w:rPr>
          <w:sz w:val="20"/>
          <w:szCs w:val="20"/>
          <w:color w:val="auto"/>
        </w:rPr>
      </w:pPr>
    </w:p>
    <w:p>
      <w:pPr>
        <w:ind w:right="280" w:firstLine="1305"/>
        <w:spacing w:after="0" w:line="297" w:lineRule="auto"/>
        <w:tabs>
          <w:tab w:leader="none" w:pos="216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Each Lender that is subject to the Patriot Act (as hereinafter defined) and the Administrative Agent (for itself and not on behalf of any Lender) hereby notifies the Borrowers that pursuant to the requirements of the USA PATRIOT Act (Title III of Pub. L.</w:t>
      </w:r>
    </w:p>
    <w:p>
      <w:pPr>
        <w:ind w:right="120"/>
        <w:spacing w:after="0" w:line="287" w:lineRule="auto"/>
        <w:rPr>
          <w:rFonts w:ascii="Arial" w:cs="Arial" w:eastAsia="Arial" w:hAnsi="Arial"/>
          <w:sz w:val="18"/>
          <w:szCs w:val="18"/>
          <w:color w:val="auto"/>
        </w:rPr>
      </w:pPr>
      <w:r>
        <w:rPr>
          <w:rFonts w:ascii="Arial" w:cs="Arial" w:eastAsia="Arial" w:hAnsi="Arial"/>
          <w:sz w:val="19"/>
          <w:szCs w:val="19"/>
          <w:color w:val="auto"/>
        </w:rPr>
        <w:t>107-56 (signed into law October 26, 2001) (the “</w:t>
      </w:r>
      <w:r>
        <w:rPr>
          <w:rFonts w:ascii="Arial" w:cs="Arial" w:eastAsia="Arial" w:hAnsi="Arial"/>
          <w:sz w:val="19"/>
          <w:szCs w:val="19"/>
          <w:u w:val="single" w:color="auto"/>
          <w:color w:val="auto"/>
        </w:rPr>
        <w:t>Patriot Act</w:t>
      </w:r>
      <w:r>
        <w:rPr>
          <w:rFonts w:ascii="Arial" w:cs="Arial" w:eastAsia="Arial" w:hAnsi="Arial"/>
          <w:sz w:val="19"/>
          <w:szCs w:val="19"/>
          <w:color w:val="auto"/>
        </w:rPr>
        <w:t>”), it is required to obtain, verify and record information that identifies each Borrower, which information includes the name, address and tax identification number of each Loan Party and other information regarding such Borrower that will allow such Lender or the Administrative Agent, as applicable, to identify each such Loan Party in accordance with the Patriot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 anti-money laundering rules and regulations, including the Patriot Act. This notice is given in accordance with the requirements of the Patriot Act and is effective as to the Lenders and the Administrative Agent.</w:t>
      </w:r>
    </w:p>
    <w:p>
      <w:pPr>
        <w:spacing w:after="0" w:line="142" w:lineRule="exact"/>
        <w:rPr>
          <w:rFonts w:ascii="Arial" w:cs="Arial" w:eastAsia="Arial" w:hAnsi="Arial"/>
          <w:sz w:val="18"/>
          <w:szCs w:val="18"/>
          <w:color w:val="auto"/>
        </w:rPr>
      </w:pPr>
    </w:p>
    <w:p>
      <w:pPr>
        <w:ind w:firstLine="1305"/>
        <w:spacing w:after="0" w:line="304" w:lineRule="auto"/>
        <w:tabs>
          <w:tab w:leader="none" w:pos="2175" w:val="left"/>
        </w:tabs>
        <w:numPr>
          <w:ilvl w:val="0"/>
          <w:numId w:val="351"/>
        </w:numPr>
        <w:rPr>
          <w:rFonts w:ascii="Arial" w:cs="Arial" w:eastAsia="Arial" w:hAnsi="Arial"/>
          <w:sz w:val="18"/>
          <w:szCs w:val="18"/>
          <w:color w:val="auto"/>
        </w:rPr>
      </w:pPr>
      <w:r>
        <w:rPr>
          <w:rFonts w:ascii="Arial" w:cs="Arial" w:eastAsia="Arial" w:hAnsi="Arial"/>
          <w:sz w:val="18"/>
          <w:szCs w:val="18"/>
          <w:i w:val="1"/>
          <w:iCs w:val="1"/>
          <w:u w:val="single" w:color="auto"/>
          <w:color w:val="auto"/>
        </w:rPr>
        <w:t>Lenders’ Certification</w:t>
      </w:r>
      <w:r>
        <w:rPr>
          <w:rFonts w:ascii="Arial" w:cs="Arial" w:eastAsia="Arial" w:hAnsi="Arial"/>
          <w:sz w:val="18"/>
          <w:szCs w:val="18"/>
          <w:color w:val="auto"/>
        </w:rPr>
        <w:t>. Each Lender or assignee or Participant of a Lender that is not incorporated under the Laws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United States or a State thereof (and is not excepted from the certification requirement contained in Section 313 of the Patriot Act and the applicable regulations because it is both (i) an Affiliate of a depository institution or foreign bank that maintains a physical presence in the United States or foreign country and (ii) subject to supervision by a banking regulatory authority regulating such affiliated depository institution or foreign bank) shall deliver to the Administrative Agent the certification or, if applicable, recertification, certifying that such Lender is not a “shell” and certifying to other matters as required by Section 313 of the Patriot Act and the applicable regulations thereunder: (i) within 10 days after the Closing Date or, if later, the date such Lender, assignee or Participant of a Lender becomes a Lender, assignee or Participant of a Lender hereunder and (ii) at such other times as are required under the Patriot Act.</w:t>
      </w:r>
    </w:p>
    <w:p>
      <w:pPr>
        <w:spacing w:after="0" w:line="111" w:lineRule="exact"/>
        <w:rPr>
          <w:sz w:val="20"/>
          <w:szCs w:val="20"/>
          <w:color w:val="auto"/>
        </w:rPr>
      </w:pPr>
    </w:p>
    <w:p>
      <w:pPr>
        <w:ind w:right="20" w:firstLine="1297"/>
        <w:spacing w:after="0" w:line="256" w:lineRule="auto"/>
        <w:rPr>
          <w:sz w:val="20"/>
          <w:szCs w:val="20"/>
          <w:color w:val="auto"/>
        </w:rPr>
      </w:pPr>
      <w:r>
        <w:rPr>
          <w:rFonts w:ascii="Arial" w:cs="Arial" w:eastAsia="Arial" w:hAnsi="Arial"/>
          <w:sz w:val="19"/>
          <w:szCs w:val="19"/>
          <w:b w:val="1"/>
          <w:bCs w:val="1"/>
          <w:color w:val="auto"/>
        </w:rPr>
        <w:t xml:space="preserve">Section 10.15 </w:t>
      </w:r>
      <w:r>
        <w:rPr>
          <w:rFonts w:ascii="Arial" w:cs="Arial" w:eastAsia="Arial" w:hAnsi="Arial"/>
          <w:sz w:val="19"/>
          <w:szCs w:val="19"/>
          <w:u w:val="single" w:color="auto"/>
          <w:color w:val="auto"/>
        </w:rPr>
        <w:t>No Advisory or Fiduciary Responsibility</w:t>
      </w:r>
      <w:r>
        <w:rPr>
          <w:rFonts w:ascii="Arial" w:cs="Arial" w:eastAsia="Arial" w:hAnsi="Arial"/>
          <w:sz w:val="19"/>
          <w:szCs w:val="19"/>
          <w:color w:val="auto"/>
        </w:rPr>
        <w:t>. In connection with all aspects of each transaction contemplated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hereby, each Borrower acknowledges and agrees, and acknowledges its Affiliates’ understanding, that: (i) the credit facilities provided for hereunder and any related arranging or other services in connection therewith (including in connection with any amendment, waiver or other modification hereof or of any other Loan Document) are an arm’s-length commercial transaction between the Parent, the Borrowers and their Affiliates, on the one hand, and the Administrative Agent, the Collateral Agent, the Additional Agents, the Joint Bookrunners, the Lead </w:t>
      </w:r>
      <w:r>
        <w:rPr>
          <w:rFonts w:ascii="Arial" w:cs="Arial" w:eastAsia="Arial" w:hAnsi="Arial"/>
          <w:sz w:val="19"/>
          <w:szCs w:val="19"/>
          <w:color w:val="FF0000"/>
          <w:strike w:val="1"/>
        </w:rPr>
        <w:t>Arranger</w:t>
      </w:r>
      <w:r>
        <w:rPr>
          <w:rFonts w:ascii="Arial" w:cs="Arial" w:eastAsia="Arial" w:hAnsi="Arial"/>
          <w:sz w:val="19"/>
          <w:szCs w:val="19"/>
          <w:u w:val="single" w:color="auto"/>
          <w:color w:val="0000FF"/>
        </w:rPr>
        <w:t>Arrangers, the Amendment No. 1 Arrangers</w:t>
      </w:r>
      <w:r>
        <w:rPr>
          <w:rFonts w:ascii="Arial" w:cs="Arial" w:eastAsia="Arial" w:hAnsi="Arial"/>
          <w:sz w:val="19"/>
          <w:szCs w:val="19"/>
          <w:color w:val="FF0000"/>
        </w:rPr>
        <w:t xml:space="preserve"> </w:t>
      </w:r>
      <w:r>
        <w:rPr>
          <w:rFonts w:ascii="Arial" w:cs="Arial" w:eastAsia="Arial" w:hAnsi="Arial"/>
          <w:sz w:val="19"/>
          <w:szCs w:val="19"/>
          <w:color w:val="000000"/>
        </w:rPr>
        <w:t>and the Lenders, on the other hand, and Parent and each Borrower are capable of</w:t>
      </w:r>
      <w:r>
        <w:rPr>
          <w:rFonts w:ascii="Arial" w:cs="Arial" w:eastAsia="Arial" w:hAnsi="Arial"/>
          <w:sz w:val="19"/>
          <w:szCs w:val="19"/>
          <w:color w:val="FF0000"/>
        </w:rPr>
        <w:t xml:space="preserve"> </w:t>
      </w:r>
      <w:r>
        <w:rPr>
          <w:rFonts w:ascii="Arial" w:cs="Arial" w:eastAsia="Arial" w:hAnsi="Arial"/>
          <w:sz w:val="19"/>
          <w:szCs w:val="19"/>
          <w:color w:val="000000"/>
        </w:rPr>
        <w:t xml:space="preserve">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the Administrative Agent, the Collateral Agent, the Additional Agents, the Joint Bookrunners, the Lead </w:t>
      </w:r>
      <w:r>
        <w:rPr>
          <w:rFonts w:ascii="Arial" w:cs="Arial" w:eastAsia="Arial" w:hAnsi="Arial"/>
          <w:sz w:val="19"/>
          <w:szCs w:val="19"/>
          <w:color w:val="FF0000"/>
          <w:strike w:val="1"/>
        </w:rPr>
        <w:t>Arranger</w:t>
      </w:r>
      <w:r>
        <w:rPr>
          <w:rFonts w:ascii="Arial" w:cs="Arial" w:eastAsia="Arial" w:hAnsi="Arial"/>
          <w:sz w:val="19"/>
          <w:szCs w:val="19"/>
          <w:u w:val="single" w:color="auto"/>
          <w:color w:val="0000FF"/>
        </w:rPr>
        <w:t>Arrangers,</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the Amendment No. 1 Arrangers</w:t>
      </w:r>
      <w:r>
        <w:rPr>
          <w:rFonts w:ascii="Arial" w:cs="Arial" w:eastAsia="Arial" w:hAnsi="Arial"/>
          <w:sz w:val="19"/>
          <w:szCs w:val="19"/>
          <w:color w:val="0000FF"/>
        </w:rPr>
        <w:t xml:space="preserve"> </w:t>
      </w:r>
      <w:r>
        <w:rPr>
          <w:rFonts w:ascii="Arial" w:cs="Arial" w:eastAsia="Arial" w:hAnsi="Arial"/>
          <w:sz w:val="19"/>
          <w:szCs w:val="19"/>
          <w:color w:val="000000"/>
        </w:rPr>
        <w:t>and the Lenders are 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376" w:name="page377"/>
    <w:bookmarkEnd w:id="376"/>
    <w:p>
      <w:pPr>
        <w:spacing w:after="0" w:line="268" w:lineRule="auto"/>
        <w:rPr>
          <w:sz w:val="20"/>
          <w:szCs w:val="20"/>
          <w:color w:val="auto"/>
        </w:rPr>
      </w:pPr>
      <w:r>
        <w:rPr>
          <w:rFonts w:ascii="Arial" w:cs="Arial" w:eastAsia="Arial" w:hAnsi="Arial"/>
          <w:sz w:val="18"/>
          <w:szCs w:val="18"/>
          <w:color w:val="auto"/>
        </w:rPr>
        <w:t xml:space="preserve">have been acting solely as a principal and are not the agent or fiduciary for Parent and any Borrower or any of their respective Affiliates, stockholders, creditors or employees or any other Person; (iii) neither the Administrative Agent, the Collateral Agent, the Additional Agents, the Joint Bookrunners, the Lead </w:t>
      </w:r>
      <w:r>
        <w:rPr>
          <w:rFonts w:ascii="Arial" w:cs="Arial" w:eastAsia="Arial" w:hAnsi="Arial"/>
          <w:sz w:val="18"/>
          <w:szCs w:val="18"/>
          <w:color w:val="FF0000"/>
          <w:strike w:val="1"/>
        </w:rPr>
        <w:t>Arranger</w:t>
      </w:r>
      <w:r>
        <w:rPr>
          <w:rFonts w:ascii="Arial" w:cs="Arial" w:eastAsia="Arial" w:hAnsi="Arial"/>
          <w:sz w:val="18"/>
          <w:szCs w:val="18"/>
          <w:u w:val="single" w:color="auto"/>
          <w:color w:val="0000FF"/>
        </w:rPr>
        <w:t>Arrangers, the Amendment No. 1 Arrangers</w:t>
      </w:r>
      <w:r>
        <w:rPr>
          <w:rFonts w:ascii="Arial" w:cs="Arial" w:eastAsia="Arial" w:hAnsi="Arial"/>
          <w:sz w:val="18"/>
          <w:szCs w:val="18"/>
          <w:color w:val="auto"/>
        </w:rPr>
        <w:t xml:space="preserve"> nor the Lenders has assumed or will assume an advisory, agency or fiduciary responsibility in favor of any Borrower with respect to any of the transactions contemplated hereby or the process leading thereto, including with respect to any amendment, waiver or other modification hereof or of any other Loan Document (irrespective of whether the Administrative Agent, the Collateral Agent, the Additional Agents, the Joint Bookrunners, the Lead </w:t>
      </w:r>
      <w:r>
        <w:rPr>
          <w:rFonts w:ascii="Arial" w:cs="Arial" w:eastAsia="Arial" w:hAnsi="Arial"/>
          <w:sz w:val="18"/>
          <w:szCs w:val="18"/>
          <w:color w:val="FF0000"/>
          <w:strike w:val="1"/>
        </w:rPr>
        <w:t>Arranger</w:t>
      </w:r>
      <w:r>
        <w:rPr>
          <w:rFonts w:ascii="Arial" w:cs="Arial" w:eastAsia="Arial" w:hAnsi="Arial"/>
          <w:sz w:val="18"/>
          <w:szCs w:val="18"/>
          <w:u w:val="single" w:color="auto"/>
          <w:color w:val="0000FF"/>
        </w:rPr>
        <w:t>Arrangers, the Amendment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No. 1 Arrangers</w:t>
      </w:r>
      <w:r>
        <w:rPr>
          <w:rFonts w:ascii="Arial" w:cs="Arial" w:eastAsia="Arial" w:hAnsi="Arial"/>
          <w:sz w:val="18"/>
          <w:szCs w:val="18"/>
          <w:color w:val="0000FF"/>
        </w:rPr>
        <w:t xml:space="preserve"> </w:t>
      </w:r>
      <w:r>
        <w:rPr>
          <w:rFonts w:ascii="Arial" w:cs="Arial" w:eastAsia="Arial" w:hAnsi="Arial"/>
          <w:sz w:val="18"/>
          <w:szCs w:val="18"/>
          <w:color w:val="000000"/>
        </w:rPr>
        <w:t>and the Lenders have advised or are currently advising any Borrower or any of their respective Affiliates on other matters) and</w:t>
      </w:r>
      <w:r>
        <w:rPr>
          <w:rFonts w:ascii="Arial" w:cs="Arial" w:eastAsia="Arial" w:hAnsi="Arial"/>
          <w:sz w:val="18"/>
          <w:szCs w:val="18"/>
          <w:color w:val="0000FF"/>
        </w:rPr>
        <w:t xml:space="preserve"> </w:t>
      </w:r>
      <w:r>
        <w:rPr>
          <w:rFonts w:ascii="Arial" w:cs="Arial" w:eastAsia="Arial" w:hAnsi="Arial"/>
          <w:sz w:val="18"/>
          <w:szCs w:val="18"/>
          <w:color w:val="000000"/>
        </w:rPr>
        <w:t xml:space="preserve">neither the Administrative Agent, the Collateral Agent, the Additional Agents, the Joint Bookrunners, the Lead </w:t>
      </w:r>
      <w:r>
        <w:rPr>
          <w:rFonts w:ascii="Arial" w:cs="Arial" w:eastAsia="Arial" w:hAnsi="Arial"/>
          <w:sz w:val="18"/>
          <w:szCs w:val="18"/>
          <w:color w:val="FF0000"/>
          <w:strike w:val="1"/>
        </w:rPr>
        <w:t>Arranger</w:t>
      </w:r>
      <w:r>
        <w:rPr>
          <w:rFonts w:ascii="Arial" w:cs="Arial" w:eastAsia="Arial" w:hAnsi="Arial"/>
          <w:sz w:val="18"/>
          <w:szCs w:val="18"/>
          <w:u w:val="single" w:color="auto"/>
          <w:color w:val="0000FF"/>
        </w:rPr>
        <w:t>Arrangers, the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Amendment No. 1 Arrangers</w:t>
      </w:r>
      <w:r>
        <w:rPr>
          <w:rFonts w:ascii="Arial" w:cs="Arial" w:eastAsia="Arial" w:hAnsi="Arial"/>
          <w:sz w:val="18"/>
          <w:szCs w:val="18"/>
          <w:color w:val="0000FF"/>
        </w:rPr>
        <w:t xml:space="preserve"> </w:t>
      </w:r>
      <w:r>
        <w:rPr>
          <w:rFonts w:ascii="Arial" w:cs="Arial" w:eastAsia="Arial" w:hAnsi="Arial"/>
          <w:sz w:val="18"/>
          <w:szCs w:val="18"/>
          <w:color w:val="000000"/>
        </w:rPr>
        <w:t>nor any Lender has any obligation to Parent, any Borrower or any of their respective Affiliates with respect to the</w:t>
      </w:r>
      <w:r>
        <w:rPr>
          <w:rFonts w:ascii="Arial" w:cs="Arial" w:eastAsia="Arial" w:hAnsi="Arial"/>
          <w:sz w:val="18"/>
          <w:szCs w:val="18"/>
          <w:color w:val="0000FF"/>
        </w:rPr>
        <w:t xml:space="preserve"> </w:t>
      </w:r>
      <w:r>
        <w:rPr>
          <w:rFonts w:ascii="Arial" w:cs="Arial" w:eastAsia="Arial" w:hAnsi="Arial"/>
          <w:sz w:val="18"/>
          <w:szCs w:val="18"/>
          <w:color w:val="000000"/>
        </w:rPr>
        <w:t>transactions contemplated hereby except those obligations expressly set forth herein and in the other Loan Documents; (iv) the Administrative Agent, the Collateral Agent, the Additional Agents, the Joint Bookrunners</w:t>
      </w:r>
      <w:r>
        <w:rPr>
          <w:rFonts w:ascii="Arial" w:cs="Arial" w:eastAsia="Arial" w:hAnsi="Arial"/>
          <w:sz w:val="18"/>
          <w:szCs w:val="18"/>
          <w:u w:val="single" w:color="auto"/>
          <w:color w:val="0000FF"/>
        </w:rPr>
        <w:t>, the Lead Arranger, the Amendment No. 1 Arrangers</w:t>
      </w:r>
      <w:r>
        <w:rPr>
          <w:rFonts w:ascii="Arial" w:cs="Arial" w:eastAsia="Arial" w:hAnsi="Arial"/>
          <w:sz w:val="18"/>
          <w:szCs w:val="18"/>
          <w:color w:val="000000"/>
        </w:rPr>
        <w:t xml:space="preserve"> and their respective Affiliates may be engaged in a broad range of transactions that involve interests that differ from those of Parent, each Borrower and their respective Affiliates, and neither the Administrative Agent, the Collateral Agent, the Additional Agents, the Joint Bookrunners, the Lead </w:t>
      </w:r>
      <w:r>
        <w:rPr>
          <w:rFonts w:ascii="Arial" w:cs="Arial" w:eastAsia="Arial" w:hAnsi="Arial"/>
          <w:sz w:val="18"/>
          <w:szCs w:val="18"/>
          <w:color w:val="FF0000"/>
          <w:strike w:val="1"/>
        </w:rPr>
        <w:t>Arranger</w:t>
      </w:r>
      <w:r>
        <w:rPr>
          <w:rFonts w:ascii="Arial" w:cs="Arial" w:eastAsia="Arial" w:hAnsi="Arial"/>
          <w:sz w:val="18"/>
          <w:szCs w:val="18"/>
          <w:u w:val="single" w:color="auto"/>
          <w:color w:val="0000FF"/>
        </w:rPr>
        <w:t>Arrangers, the Amendment No. 1 Arrangers</w:t>
      </w:r>
      <w:r>
        <w:rPr>
          <w:rFonts w:ascii="Arial" w:cs="Arial" w:eastAsia="Arial" w:hAnsi="Arial"/>
          <w:sz w:val="18"/>
          <w:szCs w:val="18"/>
          <w:color w:val="FF0000"/>
        </w:rPr>
        <w:t xml:space="preserve"> </w:t>
      </w:r>
      <w:r>
        <w:rPr>
          <w:rFonts w:ascii="Arial" w:cs="Arial" w:eastAsia="Arial" w:hAnsi="Arial"/>
          <w:sz w:val="18"/>
          <w:szCs w:val="18"/>
          <w:color w:val="000000"/>
        </w:rPr>
        <w:t>nor any Lender has any obligation to disclose any of such interests by virtue of any</w:t>
      </w:r>
      <w:r>
        <w:rPr>
          <w:rFonts w:ascii="Arial" w:cs="Arial" w:eastAsia="Arial" w:hAnsi="Arial"/>
          <w:sz w:val="18"/>
          <w:szCs w:val="18"/>
          <w:color w:val="FF0000"/>
        </w:rPr>
        <w:t xml:space="preserve"> </w:t>
      </w:r>
      <w:r>
        <w:rPr>
          <w:rFonts w:ascii="Arial" w:cs="Arial" w:eastAsia="Arial" w:hAnsi="Arial"/>
          <w:sz w:val="18"/>
          <w:szCs w:val="18"/>
          <w:color w:val="000000"/>
        </w:rPr>
        <w:t xml:space="preserve">advisory, agency or fiduciary relationship; and (v) the Administrative Agent, the Collateral Agent, the Additional Agents, the Joint Bookrunners, the Lead </w:t>
      </w:r>
      <w:r>
        <w:rPr>
          <w:rFonts w:ascii="Arial" w:cs="Arial" w:eastAsia="Arial" w:hAnsi="Arial"/>
          <w:sz w:val="18"/>
          <w:szCs w:val="18"/>
          <w:color w:val="FF0000"/>
          <w:strike w:val="1"/>
        </w:rPr>
        <w:t>Arranger</w:t>
      </w:r>
      <w:r>
        <w:rPr>
          <w:rFonts w:ascii="Arial" w:cs="Arial" w:eastAsia="Arial" w:hAnsi="Arial"/>
          <w:sz w:val="18"/>
          <w:szCs w:val="18"/>
          <w:u w:val="single" w:color="auto"/>
          <w:color w:val="0000FF"/>
        </w:rPr>
        <w:t>Arrangers, the Amendment No. 1 Arrangers</w:t>
      </w:r>
      <w:r>
        <w:rPr>
          <w:rFonts w:ascii="Arial" w:cs="Arial" w:eastAsia="Arial" w:hAnsi="Arial"/>
          <w:sz w:val="18"/>
          <w:szCs w:val="18"/>
          <w:color w:val="000000"/>
        </w:rPr>
        <w:t xml:space="preserve"> and the Lenders have not provided and will not provide any legal, accounting, regulatory or Tax advice with respect to any of the transactions contemplated hereby (including any amendment, waiver or other modification hereof or of any other Loan Document) and Parent and each Borrower have consulted their own legal, accounting, regulatory and Tax advisors to the extent they have deemed appropriate. Parent and each Borrower hereby waive and release, to the fullest extent permitted by law, any claims that they may have against the Administrative Agent, the Collateral Agent, the Additional Agents, the Joint Bookrunners, the Lead </w:t>
      </w:r>
      <w:r>
        <w:rPr>
          <w:rFonts w:ascii="Arial" w:cs="Arial" w:eastAsia="Arial" w:hAnsi="Arial"/>
          <w:sz w:val="18"/>
          <w:szCs w:val="18"/>
          <w:color w:val="FF0000"/>
          <w:strike w:val="1"/>
        </w:rPr>
        <w:t>Arranger</w:t>
      </w:r>
      <w:r>
        <w:rPr>
          <w:rFonts w:ascii="Arial" w:cs="Arial" w:eastAsia="Arial" w:hAnsi="Arial"/>
          <w:sz w:val="18"/>
          <w:szCs w:val="18"/>
          <w:u w:val="single" w:color="auto"/>
          <w:color w:val="0000FF"/>
        </w:rPr>
        <w:t>Arrangers, the Amendment No. 1 Arrangers</w:t>
      </w:r>
      <w:r>
        <w:rPr>
          <w:rFonts w:ascii="Arial" w:cs="Arial" w:eastAsia="Arial" w:hAnsi="Arial"/>
          <w:sz w:val="18"/>
          <w:szCs w:val="18"/>
          <w:color w:val="000000"/>
        </w:rPr>
        <w:t xml:space="preserve"> and the Lenders with respect to any breach or alleged breach of agency or fiduciary duty. Parent and each Borrower further agree not to assert any claim Parent or such Borrower might allege based on any actual or potential conflicts of interest that might be asserted to arise or result from Bank of America and its affiliates’ relationships with Parent and each Borrower as described and referred to herein.</w:t>
      </w:r>
    </w:p>
    <w:p>
      <w:pPr>
        <w:spacing w:after="0" w:line="133"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0"/>
          <w:szCs w:val="20"/>
          <w:b w:val="1"/>
          <w:bCs w:val="1"/>
          <w:color w:val="auto"/>
        </w:rPr>
        <w:t>Section 10.16</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195" w:lineRule="exact"/>
        <w:rPr>
          <w:sz w:val="20"/>
          <w:szCs w:val="20"/>
          <w:color w:val="auto"/>
        </w:rPr>
      </w:pPr>
    </w:p>
    <w:p>
      <w:pPr>
        <w:ind w:firstLine="1305"/>
        <w:spacing w:after="0" w:line="303" w:lineRule="auto"/>
        <w:tabs>
          <w:tab w:leader="none" w:pos="216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obligations of the Loan Parties hereunder and under the other Loan Documents to make payments in a specified currency (the “</w:t>
      </w:r>
      <w:r>
        <w:rPr>
          <w:rFonts w:ascii="Arial" w:cs="Arial" w:eastAsia="Arial" w:hAnsi="Arial"/>
          <w:sz w:val="18"/>
          <w:szCs w:val="18"/>
          <w:u w:val="single" w:color="auto"/>
          <w:color w:val="auto"/>
        </w:rPr>
        <w:t>Obligation Currency</w:t>
      </w:r>
      <w:r>
        <w:rPr>
          <w:rFonts w:ascii="Arial" w:cs="Arial" w:eastAsia="Arial" w:hAnsi="Arial"/>
          <w:sz w:val="18"/>
          <w:szCs w:val="18"/>
          <w:color w:val="auto"/>
        </w:rPr>
        <w:t>”) shall not be discharged or satisfied by any tender or recovery pursuant to any judgment expressed in or converted into any currency other than the Obligation Currency, except to the extent that such tender or recovery results in the effective receipt by a Finance Party of the full amount of the Obligation Currency expressed to be payable to it under this Agreement or another Loan Document. If, for the purpose of obtaining or enforcing judgment against any Loan Party in any court or in any jurisdiction, it becomes necessary to convert into or from any currency other than the Obligation Currency (such other currency being hereinafter referred to as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an amount due in the Obligation Currency, the conversion shall be made, at the rate of exchange (as quoted by the Administrative Agent or if the Administrative Agent does not quote a rate of exchange on such currency, by a known dealer in such currency designated by the Administrative Agent) determined, in each case, as of the Business Day immediately preceding the date on which the judgment is given (such Business Day being hereinafter referred to as the “</w:t>
      </w:r>
      <w:r>
        <w:rPr>
          <w:rFonts w:ascii="Arial" w:cs="Arial" w:eastAsia="Arial" w:hAnsi="Arial"/>
          <w:sz w:val="18"/>
          <w:szCs w:val="18"/>
          <w:u w:val="single" w:color="auto"/>
          <w:color w:val="auto"/>
        </w:rPr>
        <w:t>Judgment Currency Conversion Date</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74" w:lineRule="exact"/>
        <w:rPr>
          <w:rFonts w:ascii="Arial" w:cs="Arial" w:eastAsia="Arial" w:hAnsi="Arial"/>
          <w:sz w:val="18"/>
          <w:szCs w:val="18"/>
          <w:color w:val="auto"/>
        </w:rPr>
      </w:pPr>
    </w:p>
    <w:p>
      <w:pPr>
        <w:ind w:left="5560" w:hanging="110"/>
        <w:spacing w:after="0"/>
        <w:tabs>
          <w:tab w:leader="none" w:pos="5560" w:val="left"/>
        </w:tabs>
        <w:numPr>
          <w:ilvl w:val="1"/>
          <w:numId w:val="352"/>
        </w:numPr>
        <w:rPr>
          <w:rFonts w:ascii="Arial" w:cs="Arial" w:eastAsia="Arial" w:hAnsi="Arial"/>
          <w:sz w:val="20"/>
          <w:szCs w:val="20"/>
          <w:color w:val="auto"/>
        </w:rPr>
      </w:pPr>
      <w:r>
        <w:rPr>
          <w:rFonts w:ascii="Arial" w:cs="Arial" w:eastAsia="Arial" w:hAnsi="Arial"/>
          <w:sz w:val="20"/>
          <w:szCs w:val="20"/>
          <w:color w:val="auto"/>
        </w:rPr>
        <w:t>181 -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6" w:right="279" w:bottom="1440" w:gutter="0" w:footer="0" w:header="0"/>
        </w:sectPr>
      </w:pPr>
    </w:p>
    <w:bookmarkStart w:id="377" w:name="page378"/>
    <w:bookmarkEnd w:id="377"/>
    <w:p>
      <w:pPr>
        <w:ind w:firstLine="1305"/>
        <w:spacing w:after="0" w:line="272" w:lineRule="auto"/>
        <w:tabs>
          <w:tab w:leader="none" w:pos="2175" w:val="left"/>
        </w:tabs>
        <w:numPr>
          <w:ilvl w:val="0"/>
          <w:numId w:val="353"/>
        </w:numPr>
        <w:rPr>
          <w:rFonts w:ascii="Arial" w:cs="Arial" w:eastAsia="Arial" w:hAnsi="Arial"/>
          <w:sz w:val="20"/>
          <w:szCs w:val="20"/>
          <w:color w:val="auto"/>
        </w:rPr>
      </w:pPr>
      <w:r>
        <w:rPr>
          <w:rFonts w:ascii="Arial" w:cs="Arial" w:eastAsia="Arial" w:hAnsi="Arial"/>
          <w:sz w:val="20"/>
          <w:szCs w:val="20"/>
          <w:color w:val="auto"/>
        </w:rPr>
        <w:t>If there is a change in the rate of exchange prevailing between the Judgment Currency Conversion Date and the date of actual payment of the amount due, each Borrower covenants and agrees to pay, or cause to be paid, or remit, or cause to be remitted,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151" w:lineRule="exact"/>
        <w:rPr>
          <w:rFonts w:ascii="Arial" w:cs="Arial" w:eastAsia="Arial" w:hAnsi="Arial"/>
          <w:sz w:val="20"/>
          <w:szCs w:val="20"/>
          <w:color w:val="auto"/>
        </w:rPr>
      </w:pPr>
    </w:p>
    <w:p>
      <w:pPr>
        <w:ind w:right="100" w:firstLine="1305"/>
        <w:spacing w:after="0" w:line="289" w:lineRule="auto"/>
        <w:tabs>
          <w:tab w:leader="none" w:pos="2164" w:val="left"/>
        </w:tabs>
        <w:numPr>
          <w:ilvl w:val="0"/>
          <w:numId w:val="353"/>
        </w:numPr>
        <w:rPr>
          <w:rFonts w:ascii="Arial" w:cs="Arial" w:eastAsia="Arial" w:hAnsi="Arial"/>
          <w:sz w:val="20"/>
          <w:szCs w:val="20"/>
          <w:color w:val="auto"/>
        </w:rPr>
      </w:pPr>
      <w:r>
        <w:rPr>
          <w:rFonts w:ascii="Arial" w:cs="Arial" w:eastAsia="Arial" w:hAnsi="Arial"/>
          <w:sz w:val="20"/>
          <w:szCs w:val="20"/>
          <w:color w:val="auto"/>
        </w:rPr>
        <w:t xml:space="preserve">For purposes of determining any rate of exchange or currency equivalent for this </w:t>
      </w:r>
      <w:r>
        <w:rPr>
          <w:rFonts w:ascii="Arial" w:cs="Arial" w:eastAsia="Arial" w:hAnsi="Arial"/>
          <w:sz w:val="20"/>
          <w:szCs w:val="20"/>
          <w:u w:val="single" w:color="auto"/>
          <w:color w:val="auto"/>
        </w:rPr>
        <w:t>Section 10.16</w:t>
      </w:r>
      <w:r>
        <w:rPr>
          <w:rFonts w:ascii="Arial" w:cs="Arial" w:eastAsia="Arial" w:hAnsi="Arial"/>
          <w:sz w:val="20"/>
          <w:szCs w:val="20"/>
          <w:color w:val="auto"/>
        </w:rPr>
        <w:t>, such amounts shall include any premium and costs payable in connection with the purchase of the Obligation Currency.</w:t>
      </w:r>
    </w:p>
    <w:p>
      <w:pPr>
        <w:spacing w:after="0" w:line="142" w:lineRule="exact"/>
        <w:rPr>
          <w:sz w:val="20"/>
          <w:szCs w:val="20"/>
          <w:color w:val="auto"/>
        </w:rPr>
      </w:pPr>
    </w:p>
    <w:p>
      <w:pPr>
        <w:ind w:firstLine="1297"/>
        <w:spacing w:after="0" w:line="287" w:lineRule="auto"/>
        <w:rPr>
          <w:sz w:val="20"/>
          <w:szCs w:val="20"/>
          <w:color w:val="auto"/>
        </w:rPr>
      </w:pPr>
      <w:r>
        <w:rPr>
          <w:rFonts w:ascii="Arial" w:cs="Arial" w:eastAsia="Arial" w:hAnsi="Arial"/>
          <w:sz w:val="20"/>
          <w:szCs w:val="20"/>
          <w:b w:val="1"/>
          <w:bCs w:val="1"/>
          <w:u w:val="single" w:color="auto"/>
          <w:color w:val="0000FF"/>
        </w:rPr>
        <w:t xml:space="preserve">Section 10.17 </w:t>
      </w:r>
      <w:r>
        <w:rPr>
          <w:rFonts w:ascii="Arial" w:cs="Arial" w:eastAsia="Arial" w:hAnsi="Arial"/>
          <w:sz w:val="20"/>
          <w:szCs w:val="20"/>
          <w:u w:val="single" w:color="auto"/>
          <w:color w:val="0000FF"/>
        </w:rPr>
        <w:t>Acknowledgment and Consents to Bail-In of EEA Financial Institutions. Solely to the extent any Lender or</w:t>
      </w:r>
      <w:r>
        <w:rPr>
          <w:rFonts w:ascii="Arial" w:cs="Arial" w:eastAsia="Arial" w:hAnsi="Arial"/>
          <w:sz w:val="20"/>
          <w:szCs w:val="20"/>
          <w:b w:val="1"/>
          <w:bCs w:val="1"/>
          <w:u w:val="single" w:color="auto"/>
          <w:color w:val="0000FF"/>
        </w:rPr>
        <w:t xml:space="preserve"> </w:t>
      </w:r>
      <w:r>
        <w:rPr>
          <w:rFonts w:ascii="Arial" w:cs="Arial" w:eastAsia="Arial" w:hAnsi="Arial"/>
          <w:sz w:val="20"/>
          <w:szCs w:val="20"/>
          <w:u w:val="single" w:color="auto"/>
          <w:color w:val="0000FF"/>
        </w:rPr>
        <w:t>L/C Issuer that is an EEA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52" w:lineRule="exact"/>
        <w:rPr>
          <w:sz w:val="20"/>
          <w:szCs w:val="20"/>
          <w:color w:val="auto"/>
        </w:rPr>
      </w:pPr>
    </w:p>
    <w:p>
      <w:pPr>
        <w:ind w:right="20" w:firstLine="1305"/>
        <w:spacing w:after="0" w:line="303" w:lineRule="auto"/>
        <w:tabs>
          <w:tab w:leader="none" w:pos="1714" w:val="left"/>
        </w:tabs>
        <w:numPr>
          <w:ilvl w:val="0"/>
          <w:numId w:val="354"/>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application of any Write-Down and Conversion Powers by an EEA Resolution Authority to any such liabilities arising hereunder which may be payable to it by any Lender or L/C Issuer that is an EEA Financial Institution; and</w:t>
      </w:r>
    </w:p>
    <w:p>
      <w:pPr>
        <w:spacing w:after="0" w:line="135" w:lineRule="exact"/>
        <w:rPr>
          <w:rFonts w:ascii="Arial" w:cs="Arial" w:eastAsia="Arial" w:hAnsi="Arial"/>
          <w:sz w:val="20"/>
          <w:szCs w:val="20"/>
          <w:u w:val="single" w:color="auto"/>
          <w:color w:val="0000FF"/>
        </w:rPr>
      </w:pPr>
    </w:p>
    <w:p>
      <w:pPr>
        <w:ind w:left="1740" w:hanging="435"/>
        <w:spacing w:after="0"/>
        <w:tabs>
          <w:tab w:leader="none" w:pos="1740" w:val="left"/>
        </w:tabs>
        <w:numPr>
          <w:ilvl w:val="0"/>
          <w:numId w:val="354"/>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effects of any Bail-In Action on any such liability, including, if applicable:</w:t>
      </w:r>
    </w:p>
    <w:p>
      <w:pPr>
        <w:spacing w:after="0" w:line="215" w:lineRule="exact"/>
        <w:rPr>
          <w:rFonts w:ascii="Arial" w:cs="Arial" w:eastAsia="Arial" w:hAnsi="Arial"/>
          <w:sz w:val="20"/>
          <w:szCs w:val="20"/>
          <w:u w:val="single" w:color="auto"/>
          <w:color w:val="0000FF"/>
        </w:rPr>
      </w:pPr>
    </w:p>
    <w:p>
      <w:pPr>
        <w:ind w:left="1860" w:hanging="393"/>
        <w:spacing w:after="0"/>
        <w:tabs>
          <w:tab w:leader="none" w:pos="1860" w:val="left"/>
        </w:tabs>
        <w:numPr>
          <w:ilvl w:val="1"/>
          <w:numId w:val="354"/>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a reduction in full or in part or cancellation of any such liability;</w:t>
      </w:r>
    </w:p>
    <w:p>
      <w:pPr>
        <w:spacing w:after="0" w:line="215" w:lineRule="exact"/>
        <w:rPr>
          <w:rFonts w:ascii="Arial" w:cs="Arial" w:eastAsia="Arial" w:hAnsi="Arial"/>
          <w:sz w:val="20"/>
          <w:szCs w:val="20"/>
          <w:u w:val="single" w:color="auto"/>
          <w:color w:val="0000FF"/>
        </w:rPr>
      </w:pPr>
    </w:p>
    <w:p>
      <w:pPr>
        <w:ind w:left="660" w:firstLine="807"/>
        <w:spacing w:after="0" w:line="288" w:lineRule="auto"/>
        <w:tabs>
          <w:tab w:leader="none" w:pos="1910" w:val="left"/>
        </w:tabs>
        <w:numPr>
          <w:ilvl w:val="1"/>
          <w:numId w:val="354"/>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2" w:lineRule="exact"/>
        <w:rPr>
          <w:rFonts w:ascii="Arial" w:cs="Arial" w:eastAsia="Arial" w:hAnsi="Arial"/>
          <w:sz w:val="20"/>
          <w:szCs w:val="20"/>
          <w:u w:val="single" w:color="auto"/>
          <w:color w:val="0000FF"/>
        </w:rPr>
      </w:pPr>
    </w:p>
    <w:p>
      <w:pPr>
        <w:ind w:left="660" w:right="160" w:firstLine="807"/>
        <w:spacing w:after="0" w:line="303" w:lineRule="auto"/>
        <w:tabs>
          <w:tab w:leader="none" w:pos="1965" w:val="left"/>
        </w:tabs>
        <w:numPr>
          <w:ilvl w:val="1"/>
          <w:numId w:val="354"/>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variation of the terms of such liability in connection with the exercise of the Write-Down and Conversion Powers of any EEA Resolution Authority.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79" w:right="259" w:bottom="1440" w:gutter="0" w:footer="0" w:header="0"/>
        </w:sectPr>
      </w:pPr>
    </w:p>
    <w:bookmarkStart w:id="378" w:name="page379"/>
    <w:bookmarkEnd w:id="378"/>
    <w:p>
      <w:pPr>
        <w:ind w:firstLine="1297"/>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day and year first above written.</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JAZZ PHARMACEUTICALS, INC.</w:t>
      </w:r>
      <w:r>
        <w:rPr>
          <w:rFonts w:ascii="Arial" w:cs="Arial" w:eastAsia="Arial" w:hAnsi="Arial"/>
          <w:sz w:val="20"/>
          <w:szCs w:val="20"/>
          <w:color w:val="auto"/>
        </w:rPr>
        <w:t>, as U.S.</w:t>
      </w:r>
    </w:p>
    <w:p>
      <w:pPr>
        <w:spacing w:after="0" w:line="60"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Borrower</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Title:</w:t>
      </w:r>
    </w:p>
    <w:p>
      <w:pPr>
        <w:spacing w:after="0" w:line="29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31115</wp:posOffset>
            </wp:positionV>
            <wp:extent cx="318135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Arial" w:cs="Arial" w:eastAsia="Arial" w:hAnsi="Arial"/>
          <w:sz w:val="20"/>
          <w:szCs w:val="20"/>
          <w:b w:val="1"/>
          <w:bCs w:val="1"/>
          <w:color w:val="auto"/>
        </w:rPr>
        <w:t>[NAME OF SIGNATORY]</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JAZZ PHARMACEUTICALS PUBLIC</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LIMITED COMPANY</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[NAME OF SIGNATORY]</w:t>
      </w: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20"/>
          <w:szCs w:val="20"/>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15951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20"/>
          <w:szCs w:val="20"/>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15951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20"/>
          <w:szCs w:val="20"/>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15951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20"/>
          <w:szCs w:val="20"/>
          <w:color w:val="auto"/>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15951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20"/>
          <w:szCs w:val="20"/>
          <w:color w:val="auto"/>
        </w:rPr>
        <w:t>(Witness’ Occupation)</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31115</wp:posOffset>
            </wp:positionV>
            <wp:extent cx="318135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JAZZ SECURITIES LIMITED</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[NAME OF SIGNATORY]</w:t>
      </w:r>
    </w:p>
    <w:p>
      <w:pPr>
        <w:spacing w:after="0" w:line="384" w:lineRule="exact"/>
        <w:rPr>
          <w:sz w:val="20"/>
          <w:szCs w:val="20"/>
          <w:color w:val="auto"/>
        </w:rPr>
      </w:pPr>
    </w:p>
    <w:p>
      <w:pPr>
        <w:ind w:left="40"/>
        <w:spacing w:after="0"/>
        <w:rPr>
          <w:sz w:val="20"/>
          <w:szCs w:val="20"/>
          <w:color w:val="auto"/>
        </w:rPr>
      </w:pPr>
      <w:r>
        <w:rPr>
          <w:rFonts w:ascii="Arial" w:cs="Arial" w:eastAsia="Arial" w:hAnsi="Arial"/>
          <w:sz w:val="20"/>
          <w:szCs w:val="20"/>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15951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20"/>
          <w:szCs w:val="20"/>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15951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20"/>
          <w:szCs w:val="20"/>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15951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20"/>
          <w:szCs w:val="20"/>
          <w:color w:val="auto"/>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15951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20"/>
          <w:szCs w:val="20"/>
          <w:color w:val="auto"/>
        </w:rPr>
        <w:t>(Witness’ Occupation)</w:t>
      </w:r>
    </w:p>
    <w:p>
      <w:pPr>
        <w:sectPr>
          <w:pgSz w:w="11900" w:h="16838" w:orient="portrait"/>
          <w:cols w:equalWidth="0" w:num="1">
            <w:col w:w="11140"/>
          </w:cols>
          <w:pgMar w:left="240" w:top="366" w:right="519" w:bottom="5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2720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366" w:right="519" w:bottom="557" w:gutter="0" w:footer="0" w:header="0"/>
          <w:type w:val="continuous"/>
        </w:sectPr>
      </w:pPr>
    </w:p>
    <w:bookmarkStart w:id="379" w:name="page380"/>
    <w:bookmarkEnd w:id="379"/>
    <w:p>
      <w:pPr>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4044950</wp:posOffset>
            </wp:positionH>
            <wp:positionV relativeFrom="paragraph">
              <wp:posOffset>31115</wp:posOffset>
            </wp:positionV>
            <wp:extent cx="318135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JAZZ PHARMACEUTICALS IRELAND LIMITED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 OF SIGNATORY]</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439420</wp:posOffset>
            </wp:positionV>
            <wp:extent cx="15951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439420</wp:posOffset>
            </wp:positionV>
            <wp:extent cx="15951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439420</wp:posOffset>
            </wp:positionV>
            <wp:extent cx="15951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439420</wp:posOffset>
            </wp:positionV>
            <wp:extent cx="15951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(Witness’ Occupation)</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4044950</wp:posOffset>
            </wp:positionH>
            <wp:positionV relativeFrom="paragraph">
              <wp:posOffset>31115</wp:posOffset>
            </wp:positionV>
            <wp:extent cx="318135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JAZZ FINANCING I LIMITED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 OF SIGNATORY]</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387985</wp:posOffset>
            </wp:positionV>
            <wp:extent cx="15951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387985</wp:posOffset>
            </wp:positionV>
            <wp:extent cx="15951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387985</wp:posOffset>
            </wp:positionV>
            <wp:extent cx="15951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387985</wp:posOffset>
            </wp:positionV>
            <wp:extent cx="15951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(Witness’ Occupation)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ind w:right="3119"/>
        <w:spacing w:after="0"/>
        <w:rPr>
          <w:sz w:val="20"/>
          <w:szCs w:val="20"/>
          <w:color w:val="auto"/>
        </w:rPr>
      </w:pPr>
      <w:r>
        <w:rPr>
          <w:rFonts w:ascii="Arial" w:cs="Arial" w:eastAsia="Arial" w:hAnsi="Arial"/>
          <w:sz w:val="20"/>
          <w:szCs w:val="20"/>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66040</wp:posOffset>
            </wp:positionV>
            <wp:extent cx="72720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179"/>
          </w:cols>
          <w:pgMar w:left="280" w:top="522" w:right="1440" w:bottom="1440" w:gutter="0" w:footer="0" w:header="0"/>
        </w:sectPr>
      </w:pPr>
    </w:p>
    <w:bookmarkStart w:id="380" w:name="page381"/>
    <w:bookmarkEnd w:id="380"/>
    <w:p>
      <w:pPr>
        <w:ind w:left="5980"/>
        <w:spacing w:after="0"/>
        <w:rPr>
          <w:sz w:val="20"/>
          <w:szCs w:val="20"/>
          <w:color w:val="auto"/>
        </w:rPr>
      </w:pPr>
      <w:r>
        <w:rPr>
          <w:rFonts w:ascii="Arial" w:cs="Arial" w:eastAsia="Arial" w:hAnsi="Arial"/>
          <w:sz w:val="18"/>
          <w:szCs w:val="18"/>
          <w:color w:val="auto"/>
        </w:rPr>
        <w:t>BANK OF AMERICA, N.A., as L/C Issuer and</w:t>
      </w:r>
    </w:p>
    <w:p>
      <w:pPr>
        <w:spacing w:after="0" w:line="39"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Swing Line Lender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27305</wp:posOffset>
            </wp:positionV>
            <wp:extent cx="227266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47"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59" w:lineRule="exact"/>
        <w:rPr>
          <w:sz w:val="20"/>
          <w:szCs w:val="20"/>
          <w:color w:val="auto"/>
        </w:rPr>
      </w:pPr>
    </w:p>
    <w:p>
      <w:pPr>
        <w:ind w:left="5980"/>
        <w:spacing w:after="0"/>
        <w:rPr>
          <w:sz w:val="20"/>
          <w:szCs w:val="20"/>
          <w:color w:val="auto"/>
        </w:rPr>
      </w:pPr>
      <w:r>
        <w:rPr>
          <w:rFonts w:ascii="Arial" w:cs="Arial" w:eastAsia="Arial" w:hAnsi="Arial"/>
          <w:sz w:val="19"/>
          <w:szCs w:val="19"/>
          <w:color w:val="auto"/>
        </w:rPr>
        <w:t>BANK OF AMERICA, N.A., as Administrative</w:t>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Agent and Collateral Agent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27305</wp:posOffset>
            </wp:positionV>
            <wp:extent cx="227266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47"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780"/>
          </w:cols>
          <w:pgMar w:left="1440" w:top="527" w:right="679" w:bottom="1440" w:gutter="0" w:footer="0" w:header="0"/>
        </w:sectPr>
      </w:pPr>
    </w:p>
    <w:bookmarkStart w:id="381" w:name="page382"/>
    <w:bookmarkEnd w:id="381"/>
    <w:p>
      <w:pPr>
        <w:jc w:val="right"/>
        <w:spacing w:after="0"/>
        <w:rPr>
          <w:sz w:val="20"/>
          <w:szCs w:val="20"/>
          <w:color w:val="auto"/>
        </w:rPr>
      </w:pPr>
      <w:r>
        <w:rPr>
          <w:rFonts w:ascii="Arial" w:cs="Arial" w:eastAsia="Arial" w:hAnsi="Arial"/>
          <w:sz w:val="20"/>
          <w:szCs w:val="20"/>
          <w:color w:val="auto"/>
        </w:rPr>
        <w:t>, as a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3659505</wp:posOffset>
            </wp:positionH>
            <wp:positionV relativeFrom="paragraph">
              <wp:posOffset>27305</wp:posOffset>
            </wp:positionV>
            <wp:extent cx="223837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4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Lender</w:t>
      </w:r>
    </w:p>
    <w:p>
      <w:pPr>
        <w:spacing w:after="0" w:line="378"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27305</wp:posOffset>
            </wp:positionV>
            <wp:extent cx="25730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7"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Signature Page -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720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180"/>
          </w:cols>
          <w:pgMar w:left="1440" w:top="528" w:right="279" w:bottom="1440" w:gutter="0" w:footer="0" w:header="0"/>
        </w:sectPr>
      </w:pPr>
    </w:p>
    <w:bookmarkStart w:id="382" w:name="page383"/>
    <w:bookmarkEnd w:id="382"/>
    <w:p>
      <w:pPr>
        <w:jc w:val="right"/>
        <w:spacing w:after="0"/>
        <w:rPr>
          <w:sz w:val="20"/>
          <w:szCs w:val="20"/>
          <w:color w:val="auto"/>
        </w:rPr>
      </w:pPr>
      <w:r>
        <w:rPr>
          <w:rFonts w:ascii="Arial" w:cs="Arial" w:eastAsia="Arial" w:hAnsi="Arial"/>
          <w:sz w:val="20"/>
          <w:szCs w:val="20"/>
          <w:color w:val="auto"/>
        </w:rPr>
        <w:t>, as a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3659505</wp:posOffset>
            </wp:positionH>
            <wp:positionV relativeFrom="paragraph">
              <wp:posOffset>27305</wp:posOffset>
            </wp:positionV>
            <wp:extent cx="19812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4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Lender</w:t>
      </w:r>
    </w:p>
    <w:p>
      <w:pPr>
        <w:spacing w:after="0" w:line="378"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27305</wp:posOffset>
            </wp:positionV>
            <wp:extent cx="25730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7"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Signature Page - Credit Agreement</w:t>
      </w:r>
    </w:p>
    <w:p>
      <w:pPr>
        <w:sectPr>
          <w:pgSz w:w="11900" w:h="16838" w:orient="portrait"/>
          <w:cols w:equalWidth="0" w:num="1">
            <w:col w:w="10180"/>
          </w:cols>
          <w:pgMar w:left="1440" w:top="528" w:right="279" w:bottom="1440" w:gutter="0" w:footer="0" w:header="0"/>
        </w:sectPr>
      </w:pPr>
    </w:p>
    <w:bookmarkStart w:id="383" w:name="page384"/>
    <w:bookmarkEnd w:id="383"/>
    <w:p>
      <w:pPr>
        <w:jc w:val="right"/>
        <w:spacing w:after="0"/>
        <w:rPr>
          <w:sz w:val="20"/>
          <w:szCs w:val="20"/>
          <w:color w:val="auto"/>
        </w:rPr>
      </w:pPr>
      <w:r>
        <w:rPr>
          <w:rFonts w:ascii="Arial" w:cs="Arial" w:eastAsia="Arial" w:hAnsi="Arial"/>
          <w:sz w:val="22"/>
          <w:szCs w:val="22"/>
          <w:b w:val="1"/>
          <w:bCs w:val="1"/>
          <w:color w:val="auto"/>
        </w:rPr>
        <w:t>Exhibit 10.3</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[JAZZ PHARMACEUTICALS LETTERHEAD]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PERSONAL, PRIVATE AND CONFIDENTIAL</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2 May 2016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Paul Treacy</w:t>
      </w:r>
    </w:p>
    <w:p>
      <w:pPr>
        <w:spacing w:after="0" w:line="200" w:lineRule="exact"/>
        <w:rPr>
          <w:sz w:val="20"/>
          <w:szCs w:val="20"/>
          <w:color w:val="auto"/>
        </w:rPr>
      </w:pPr>
    </w:p>
    <w:p>
      <w:pPr>
        <w:spacing w:after="0" w:line="311" w:lineRule="exact"/>
        <w:rPr>
          <w:sz w:val="20"/>
          <w:szCs w:val="20"/>
          <w:color w:val="auto"/>
        </w:rPr>
      </w:pPr>
    </w:p>
    <w:p>
      <w:pPr>
        <w:ind w:right="5500"/>
        <w:spacing w:after="0" w:line="412" w:lineRule="auto"/>
        <w:rPr>
          <w:sz w:val="20"/>
          <w:szCs w:val="20"/>
          <w:color w:val="auto"/>
        </w:rPr>
      </w:pPr>
      <w:r>
        <w:rPr>
          <w:rFonts w:ascii="Arial" w:cs="Arial" w:eastAsia="Arial" w:hAnsi="Arial"/>
          <w:sz w:val="22"/>
          <w:szCs w:val="22"/>
          <w:b w:val="1"/>
          <w:bCs w:val="1"/>
          <w:color w:val="auto"/>
        </w:rPr>
        <w:t xml:space="preserve">Re: Amended and Restated Change in Control Severance Terms </w:t>
      </w:r>
      <w:r>
        <w:rPr>
          <w:rFonts w:ascii="Arial" w:cs="Arial" w:eastAsia="Arial" w:hAnsi="Arial"/>
          <w:sz w:val="22"/>
          <w:szCs w:val="22"/>
          <w:color w:val="auto"/>
        </w:rPr>
        <w:t>Dear Paul:</w:t>
      </w:r>
    </w:p>
    <w:p>
      <w:pPr>
        <w:spacing w:after="0" w:line="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As was discussed with you, the Jazz Compensation Committee recently approved an updated Executive Change in Control and Severance Benefit Plan (the “</w:t>
      </w:r>
      <w:r>
        <w:rPr>
          <w:rFonts w:ascii="Arial" w:cs="Arial" w:eastAsia="Arial" w:hAnsi="Arial"/>
          <w:sz w:val="19"/>
          <w:szCs w:val="19"/>
          <w:b w:val="1"/>
          <w:bCs w:val="1"/>
          <w:color w:val="auto"/>
        </w:rPr>
        <w:t>Change in Control Plan</w:t>
      </w:r>
      <w:r>
        <w:rPr>
          <w:rFonts w:ascii="Arial" w:cs="Arial" w:eastAsia="Arial" w:hAnsi="Arial"/>
          <w:sz w:val="19"/>
          <w:szCs w:val="19"/>
          <w:color w:val="auto"/>
        </w:rPr>
        <w:t>”) that provides eligibility for severance benefits to certain designated employees in the United States in the event of covered terminations of employment within twelve (12) months following a Change in Control. These updates to the Change in Control Plan included, but were not limited to, modifications to the definition of “Cause,” broadening the definitions of “Good Reason” and “Change in Control” in ways that provide greater protection to Participants, and expanding the definition of “Covered Termination” to include terminations due to disability or death. The level of severance benefits provided under the Change in Control Plan has remained the same.</w:t>
      </w:r>
    </w:p>
    <w:p>
      <w:pPr>
        <w:spacing w:after="0" w:line="11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Because the Change in Control Plan does not apply to non-U.S. employees, your terms and conditions of employment dated 10 June 2014 (the “</w:t>
      </w:r>
      <w:r>
        <w:rPr>
          <w:rFonts w:ascii="Arial" w:cs="Arial" w:eastAsia="Arial" w:hAnsi="Arial"/>
          <w:sz w:val="19"/>
          <w:szCs w:val="19"/>
          <w:b w:val="1"/>
          <w:bCs w:val="1"/>
          <w:color w:val="auto"/>
        </w:rPr>
        <w:t>Employment Agreement</w:t>
      </w:r>
      <w:r>
        <w:rPr>
          <w:rFonts w:ascii="Arial" w:cs="Arial" w:eastAsia="Arial" w:hAnsi="Arial"/>
          <w:sz w:val="19"/>
          <w:szCs w:val="19"/>
          <w:color w:val="auto"/>
        </w:rPr>
        <w:t>”) was amended previously to provide equivalent cash severance benefits in the event of a covered termination within twelve (12) months following a Change in Control. This was accomplished by adding Schedule 1 to your Employment Agreement, which contains the Change in Control severance terms. We are now proposing to amend and restate your Schedule 1 in order to incorporate the relevant updates from the Change in Control Plan into your Change in Control severance terms. As noted above, the level of severance benefits is unchanged. Enclosed is the proposed Amended and Restated Schedule 1 which will entirely replace your current Schedule 1. In all other respects, the remaining terms and conditions set forth in your Employment Agreement are unaffected and shall continue in effect.</w:t>
      </w:r>
    </w:p>
    <w:p>
      <w:pPr>
        <w:spacing w:after="0" w:line="116" w:lineRule="exact"/>
        <w:rPr>
          <w:sz w:val="20"/>
          <w:szCs w:val="20"/>
          <w:color w:val="auto"/>
        </w:rPr>
      </w:pPr>
    </w:p>
    <w:p>
      <w:pPr>
        <w:jc w:val="both"/>
        <w:ind w:right="300"/>
        <w:spacing w:after="0" w:line="253" w:lineRule="auto"/>
        <w:rPr>
          <w:sz w:val="20"/>
          <w:szCs w:val="20"/>
          <w:color w:val="auto"/>
        </w:rPr>
      </w:pPr>
      <w:r>
        <w:rPr>
          <w:rFonts w:ascii="Arial" w:cs="Arial" w:eastAsia="Arial" w:hAnsi="Arial"/>
          <w:sz w:val="22"/>
          <w:szCs w:val="22"/>
          <w:color w:val="auto"/>
        </w:rPr>
        <w:t>To accept the Amended and Restated Schedule 1, please sign and date it in the relevant signature block at the end, and return the fully signed original to me at your earliest convenience and by no later than 13 May 2016. Do not hesitate to let me know if you have any questions.</w:t>
      </w:r>
    </w:p>
    <w:p>
      <w:pPr>
        <w:sectPr>
          <w:pgSz w:w="11900" w:h="16838" w:orient="portrait"/>
          <w:cols w:equalWidth="0" w:num="1">
            <w:col w:w="11420"/>
          </w:cols>
          <w:pgMar w:left="240" w:top="733" w:right="239" w:bottom="1440" w:gutter="0" w:footer="0" w:header="0"/>
        </w:sectPr>
      </w:pPr>
    </w:p>
    <w:bookmarkStart w:id="384" w:name="page385"/>
    <w:bookmarkEnd w:id="384"/>
    <w:p>
      <w:pPr>
        <w:spacing w:after="0"/>
        <w:rPr>
          <w:sz w:val="20"/>
          <w:szCs w:val="20"/>
          <w:color w:val="auto"/>
        </w:rPr>
      </w:pPr>
      <w:r>
        <w:rPr>
          <w:rFonts w:ascii="Arial" w:cs="Arial" w:eastAsia="Arial" w:hAnsi="Arial"/>
          <w:sz w:val="19"/>
          <w:szCs w:val="19"/>
          <w:color w:val="auto"/>
        </w:rPr>
        <w:t>I wish to also take this opportunity to thank you for your valuable contributions to Jazz.</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Best regards,</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Heather P. McGaughey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Heather McGaughey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 Human Resources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Encl.: Amended and Restated Schedule 1 to Terms and Conditions of Employment</w:t>
      </w:r>
    </w:p>
    <w:p>
      <w:pPr>
        <w:sectPr>
          <w:pgSz w:w="11900" w:h="16838" w:orient="portrait"/>
          <w:cols w:equalWidth="0" w:num="1">
            <w:col w:w="10219"/>
          </w:cols>
          <w:pgMar w:left="240" w:top="631" w:right="1440" w:bottom="1440" w:gutter="0" w:footer="0" w:header="0"/>
        </w:sectPr>
      </w:pPr>
    </w:p>
    <w:bookmarkStart w:id="385" w:name="page386"/>
    <w:bookmarkEnd w:id="385"/>
    <w:p>
      <w:pPr>
        <w:jc w:val="center"/>
        <w:ind w:right="312"/>
        <w:spacing w:after="0"/>
        <w:rPr>
          <w:sz w:val="20"/>
          <w:szCs w:val="20"/>
          <w:color w:val="auto"/>
        </w:rPr>
      </w:pPr>
      <w:r>
        <w:rPr>
          <w:rFonts w:ascii="Arial" w:cs="Arial" w:eastAsia="Arial" w:hAnsi="Arial"/>
          <w:sz w:val="22"/>
          <w:szCs w:val="22"/>
          <w:b w:val="1"/>
          <w:bCs w:val="1"/>
          <w:color w:val="auto"/>
        </w:rPr>
        <w:t>AMENDED AND RESTATED SCHEDULE 1</w:t>
      </w:r>
    </w:p>
    <w:p>
      <w:pPr>
        <w:spacing w:after="0" w:line="260"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to Terms and Conditions of Employment for Paul Treacy</w:t>
      </w:r>
    </w:p>
    <w:p>
      <w:pPr>
        <w:spacing w:after="0" w:line="260"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Effective Date: 15 May 2016</w:t>
      </w:r>
    </w:p>
    <w:p>
      <w:pPr>
        <w:spacing w:after="0" w:line="260" w:lineRule="exact"/>
        <w:rPr>
          <w:sz w:val="20"/>
          <w:szCs w:val="20"/>
          <w:color w:val="auto"/>
        </w:rPr>
      </w:pPr>
    </w:p>
    <w:p>
      <w:pPr>
        <w:jc w:val="both"/>
        <w:ind w:left="328" w:hanging="328"/>
        <w:spacing w:after="0" w:line="315" w:lineRule="auto"/>
        <w:tabs>
          <w:tab w:leader="none" w:pos="328" w:val="left"/>
        </w:tabs>
        <w:numPr>
          <w:ilvl w:val="0"/>
          <w:numId w:val="355"/>
        </w:numPr>
        <w:rPr>
          <w:rFonts w:ascii="Arial" w:cs="Arial" w:eastAsia="Arial" w:hAnsi="Arial"/>
          <w:sz w:val="19"/>
          <w:szCs w:val="19"/>
          <w:color w:val="auto"/>
        </w:rPr>
      </w:pPr>
      <w:r>
        <w:rPr>
          <w:rFonts w:ascii="Arial" w:cs="Arial" w:eastAsia="Arial" w:hAnsi="Arial"/>
          <w:sz w:val="19"/>
          <w:szCs w:val="19"/>
          <w:b w:val="1"/>
          <w:bCs w:val="1"/>
          <w:color w:val="auto"/>
        </w:rPr>
        <w:t xml:space="preserve">Covered Termination: </w:t>
      </w:r>
      <w:r>
        <w:rPr>
          <w:rFonts w:ascii="Arial" w:cs="Arial" w:eastAsia="Arial" w:hAnsi="Arial"/>
          <w:sz w:val="19"/>
          <w:szCs w:val="19"/>
          <w:color w:val="auto"/>
        </w:rPr>
        <w:t>The Executive will be eligible for the severance benefits (the “</w:t>
      </w:r>
      <w:r>
        <w:rPr>
          <w:rFonts w:ascii="Arial" w:cs="Arial" w:eastAsia="Arial" w:hAnsi="Arial"/>
          <w:sz w:val="19"/>
          <w:szCs w:val="19"/>
          <w:b w:val="1"/>
          <w:bCs w:val="1"/>
          <w:color w:val="auto"/>
        </w:rPr>
        <w:t>Severance Benefits</w:t>
      </w:r>
      <w:r>
        <w:rPr>
          <w:rFonts w:ascii="Arial" w:cs="Arial" w:eastAsia="Arial" w:hAnsi="Arial"/>
          <w:sz w:val="19"/>
          <w:szCs w:val="19"/>
          <w:color w:val="auto"/>
        </w:rPr>
        <w:t>”) set forth in</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Amended and Restated Schedule 1 (the “</w:t>
      </w:r>
      <w:r>
        <w:rPr>
          <w:rFonts w:ascii="Arial" w:cs="Arial" w:eastAsia="Arial" w:hAnsi="Arial"/>
          <w:sz w:val="19"/>
          <w:szCs w:val="19"/>
          <w:b w:val="1"/>
          <w:bCs w:val="1"/>
          <w:color w:val="auto"/>
        </w:rPr>
        <w:t>Schedule</w:t>
      </w:r>
      <w:r>
        <w:rPr>
          <w:rFonts w:ascii="Arial" w:cs="Arial" w:eastAsia="Arial" w:hAnsi="Arial"/>
          <w:sz w:val="19"/>
          <w:szCs w:val="19"/>
          <w:color w:val="auto"/>
        </w:rPr>
        <w:t>”) in the event of a Covered Termination which is effective on or within twelve (12) months following a Change in Control, subject to the requirements set forth in this Schedule.</w:t>
      </w:r>
    </w:p>
    <w:p>
      <w:pPr>
        <w:spacing w:after="0" w:line="166" w:lineRule="exact"/>
        <w:rPr>
          <w:rFonts w:ascii="Arial" w:cs="Arial" w:eastAsia="Arial" w:hAnsi="Arial"/>
          <w:sz w:val="19"/>
          <w:szCs w:val="19"/>
          <w:color w:val="auto"/>
        </w:rPr>
      </w:pPr>
    </w:p>
    <w:p>
      <w:pPr>
        <w:ind w:left="328" w:hanging="328"/>
        <w:spacing w:after="0" w:line="269" w:lineRule="auto"/>
        <w:tabs>
          <w:tab w:leader="none" w:pos="328" w:val="left"/>
        </w:tabs>
        <w:numPr>
          <w:ilvl w:val="0"/>
          <w:numId w:val="355"/>
        </w:numPr>
        <w:rPr>
          <w:rFonts w:ascii="Arial" w:cs="Arial" w:eastAsia="Arial" w:hAnsi="Arial"/>
          <w:sz w:val="22"/>
          <w:szCs w:val="22"/>
          <w:color w:val="auto"/>
        </w:rPr>
      </w:pPr>
      <w:r>
        <w:rPr>
          <w:rFonts w:ascii="Arial" w:cs="Arial" w:eastAsia="Arial" w:hAnsi="Arial"/>
          <w:sz w:val="22"/>
          <w:szCs w:val="22"/>
          <w:b w:val="1"/>
          <w:bCs w:val="1"/>
          <w:color w:val="auto"/>
        </w:rPr>
        <w:t xml:space="preserve">Severance Benefits: </w:t>
      </w:r>
      <w:r>
        <w:rPr>
          <w:rFonts w:ascii="Arial" w:cs="Arial" w:eastAsia="Arial" w:hAnsi="Arial"/>
          <w:sz w:val="22"/>
          <w:szCs w:val="22"/>
          <w:color w:val="auto"/>
        </w:rPr>
        <w:t>The Severance Benefits will consist of a cash severance payment and payments for continued health</w:t>
      </w:r>
      <w:r>
        <w:rPr>
          <w:rFonts w:ascii="Arial" w:cs="Arial" w:eastAsia="Arial" w:hAnsi="Arial"/>
          <w:sz w:val="22"/>
          <w:szCs w:val="22"/>
          <w:b w:val="1"/>
          <w:bCs w:val="1"/>
          <w:color w:val="auto"/>
        </w:rPr>
        <w:t xml:space="preserve"> </w:t>
      </w:r>
      <w:r>
        <w:rPr>
          <w:rFonts w:ascii="Arial" w:cs="Arial" w:eastAsia="Arial" w:hAnsi="Arial"/>
          <w:sz w:val="22"/>
          <w:szCs w:val="22"/>
          <w:color w:val="auto"/>
        </w:rPr>
        <w:t>care insurance coverage, as follows:</w:t>
      </w:r>
    </w:p>
    <w:p>
      <w:pPr>
        <w:spacing w:after="0" w:line="202" w:lineRule="exact"/>
        <w:rPr>
          <w:rFonts w:ascii="Arial" w:cs="Arial" w:eastAsia="Arial" w:hAnsi="Arial"/>
          <w:sz w:val="22"/>
          <w:szCs w:val="22"/>
          <w:color w:val="auto"/>
        </w:rPr>
      </w:pPr>
    </w:p>
    <w:p>
      <w:pPr>
        <w:ind w:left="968" w:hanging="320"/>
        <w:spacing w:after="0"/>
        <w:tabs>
          <w:tab w:leader="none" w:pos="968" w:val="left"/>
        </w:tabs>
        <w:numPr>
          <w:ilvl w:val="1"/>
          <w:numId w:val="355"/>
        </w:numPr>
        <w:rPr>
          <w:rFonts w:ascii="Arial" w:cs="Arial" w:eastAsia="Arial" w:hAnsi="Arial"/>
          <w:sz w:val="19"/>
          <w:szCs w:val="19"/>
          <w:color w:val="auto"/>
        </w:rPr>
      </w:pPr>
      <w:r>
        <w:rPr>
          <w:rFonts w:ascii="Arial" w:cs="Arial" w:eastAsia="Arial" w:hAnsi="Arial"/>
          <w:sz w:val="19"/>
          <w:szCs w:val="19"/>
          <w:b w:val="1"/>
          <w:bCs w:val="1"/>
          <w:color w:val="auto"/>
        </w:rPr>
        <w:t xml:space="preserve">Cash Severance Benefits: </w:t>
      </w:r>
      <w:r>
        <w:rPr>
          <w:rFonts w:ascii="Arial" w:cs="Arial" w:eastAsia="Arial" w:hAnsi="Arial"/>
          <w:sz w:val="19"/>
          <w:szCs w:val="19"/>
          <w:color w:val="auto"/>
        </w:rPr>
        <w:t>A lump sum cash severance payment will be paid to the Executive in an amount equal to</w:t>
      </w:r>
    </w:p>
    <w:p>
      <w:pPr>
        <w:spacing w:after="0" w:line="62" w:lineRule="exact"/>
        <w:rPr>
          <w:rFonts w:ascii="Arial" w:cs="Arial" w:eastAsia="Arial" w:hAnsi="Arial"/>
          <w:sz w:val="19"/>
          <w:szCs w:val="19"/>
          <w:color w:val="auto"/>
        </w:rPr>
      </w:pPr>
    </w:p>
    <w:p>
      <w:pPr>
        <w:jc w:val="both"/>
        <w:ind w:left="968"/>
        <w:spacing w:after="0" w:line="256" w:lineRule="auto"/>
        <w:rPr>
          <w:rFonts w:ascii="Arial" w:cs="Arial" w:eastAsia="Arial" w:hAnsi="Arial"/>
          <w:sz w:val="19"/>
          <w:szCs w:val="19"/>
          <w:color w:val="auto"/>
        </w:rPr>
      </w:pPr>
      <w:r>
        <w:rPr>
          <w:rFonts w:ascii="Arial" w:cs="Arial" w:eastAsia="Arial" w:hAnsi="Arial"/>
          <w:sz w:val="21"/>
          <w:szCs w:val="21"/>
          <w:color w:val="auto"/>
        </w:rPr>
        <w:t>the sum of the following three components (the “</w:t>
      </w:r>
      <w:r>
        <w:rPr>
          <w:rFonts w:ascii="Arial" w:cs="Arial" w:eastAsia="Arial" w:hAnsi="Arial"/>
          <w:sz w:val="21"/>
          <w:szCs w:val="21"/>
          <w:b w:val="1"/>
          <w:bCs w:val="1"/>
          <w:color w:val="auto"/>
        </w:rPr>
        <w:t>Severance Payment</w:t>
      </w:r>
      <w:r>
        <w:rPr>
          <w:rFonts w:ascii="Arial" w:cs="Arial" w:eastAsia="Arial" w:hAnsi="Arial"/>
          <w:sz w:val="21"/>
          <w:szCs w:val="21"/>
          <w:color w:val="auto"/>
        </w:rPr>
        <w:t>”): (1) Executive’s Final Basic Salary multiplied by 150%; (2) the product of the Final Basic Salary multiplied by the Bonus Percentage multiplied by 150%; and (3) the product of the Final Basic Salary multiplied by the Bonus Percentage multiplied by the Bonus Multiplier. Notwithstanding the foregoing, to the extent applicable, the Severance Payment shall be reduced by any amounts paid to Executive (i) for performance for the calendar year in which the Covered Termination occurs under any bonus plan maintained by the Company or an Affiliate (which shall not include any one-time or extraordinary bonus payments provided outside of a plan for performance); (ii) during any period of garden leave immediately preceding the Covered Termination, (iii) qualifying as pay-in-lieu of notice, or (iv) any other severance benefits whether contractual or statutory (including but not limited to any statutory redundancy pay) or other similar benefits payable to the Executive in connection with the Executive’s termination of employment. The Severance Payment shall be paid to the Executive in a single lump sum payment on the sixtieth (60th) day following the date of the Covered Termination.</w:t>
      </w:r>
    </w:p>
    <w:p>
      <w:pPr>
        <w:spacing w:after="0" w:line="226" w:lineRule="exact"/>
        <w:rPr>
          <w:rFonts w:ascii="Arial" w:cs="Arial" w:eastAsia="Arial" w:hAnsi="Arial"/>
          <w:sz w:val="19"/>
          <w:szCs w:val="19"/>
          <w:color w:val="auto"/>
        </w:rPr>
      </w:pPr>
    </w:p>
    <w:p>
      <w:pPr>
        <w:jc w:val="both"/>
        <w:ind w:left="968"/>
        <w:spacing w:after="0" w:line="302" w:lineRule="auto"/>
        <w:rPr>
          <w:rFonts w:ascii="Arial" w:cs="Arial" w:eastAsia="Arial" w:hAnsi="Arial"/>
          <w:sz w:val="19"/>
          <w:szCs w:val="19"/>
          <w:color w:val="auto"/>
        </w:rPr>
      </w:pPr>
      <w:r>
        <w:rPr>
          <w:rFonts w:ascii="Arial" w:cs="Arial" w:eastAsia="Arial" w:hAnsi="Arial"/>
          <w:sz w:val="19"/>
          <w:szCs w:val="19"/>
          <w:color w:val="auto"/>
        </w:rPr>
        <w:t>By way of example, if the effective date of the Covered Termination is 30 June, Executive’s Final Basic Salary is €100,000, and his target bonus is 40% of basic salary (and Executive has not received any higher annual bonus (i) in either of the last two calendar years prior to the Covered Termination, or (ii) in either of the last two calendar years prior to the Change in Control), the Severance Payment shall be calculated as follows:</w:t>
      </w:r>
    </w:p>
    <w:p>
      <w:pPr>
        <w:spacing w:after="0" w:line="183" w:lineRule="exact"/>
        <w:rPr>
          <w:rFonts w:ascii="Arial" w:cs="Arial" w:eastAsia="Arial" w:hAnsi="Arial"/>
          <w:sz w:val="19"/>
          <w:szCs w:val="19"/>
          <w:color w:val="auto"/>
        </w:rPr>
      </w:pPr>
    </w:p>
    <w:p>
      <w:pPr>
        <w:ind w:left="1448" w:hanging="475"/>
        <w:spacing w:after="0"/>
        <w:tabs>
          <w:tab w:leader="none" w:pos="1448" w:val="left"/>
        </w:tabs>
        <w:numPr>
          <w:ilvl w:val="2"/>
          <w:numId w:val="355"/>
        </w:numPr>
        <w:rPr>
          <w:rFonts w:ascii="Arial" w:cs="Arial" w:eastAsia="Arial" w:hAnsi="Arial"/>
          <w:sz w:val="22"/>
          <w:szCs w:val="22"/>
          <w:color w:val="auto"/>
        </w:rPr>
      </w:pPr>
      <w:r>
        <w:rPr>
          <w:rFonts w:ascii="Arial" w:cs="Arial" w:eastAsia="Arial" w:hAnsi="Arial"/>
          <w:sz w:val="22"/>
          <w:szCs w:val="22"/>
          <w:color w:val="auto"/>
        </w:rPr>
        <w:t>€100,000 x 150% (1.5) = €150,000</w:t>
      </w:r>
    </w:p>
    <w:p>
      <w:pPr>
        <w:spacing w:after="0" w:line="21" w:lineRule="exact"/>
        <w:rPr>
          <w:rFonts w:ascii="Arial" w:cs="Arial" w:eastAsia="Arial" w:hAnsi="Arial"/>
          <w:sz w:val="22"/>
          <w:szCs w:val="22"/>
          <w:color w:val="auto"/>
        </w:rPr>
      </w:pPr>
    </w:p>
    <w:p>
      <w:pPr>
        <w:ind w:left="1448" w:hanging="475"/>
        <w:spacing w:after="0"/>
        <w:tabs>
          <w:tab w:leader="none" w:pos="1448" w:val="left"/>
        </w:tabs>
        <w:numPr>
          <w:ilvl w:val="2"/>
          <w:numId w:val="355"/>
        </w:numPr>
        <w:rPr>
          <w:rFonts w:ascii="Arial" w:cs="Arial" w:eastAsia="Arial" w:hAnsi="Arial"/>
          <w:sz w:val="22"/>
          <w:szCs w:val="22"/>
          <w:color w:val="auto"/>
        </w:rPr>
      </w:pPr>
      <w:r>
        <w:rPr>
          <w:rFonts w:ascii="Arial" w:cs="Arial" w:eastAsia="Arial" w:hAnsi="Arial"/>
          <w:sz w:val="22"/>
          <w:szCs w:val="22"/>
          <w:color w:val="auto"/>
        </w:rPr>
        <w:t>€100,000 x bonus percentage (.4) x 150% (1.5) = €60,000</w:t>
      </w:r>
    </w:p>
    <w:p>
      <w:pPr>
        <w:spacing w:after="0" w:line="3" w:lineRule="exact"/>
        <w:rPr>
          <w:rFonts w:ascii="Arial" w:cs="Arial" w:eastAsia="Arial" w:hAnsi="Arial"/>
          <w:sz w:val="22"/>
          <w:szCs w:val="22"/>
          <w:color w:val="auto"/>
        </w:rPr>
      </w:pPr>
    </w:p>
    <w:p>
      <w:pPr>
        <w:ind w:left="1448" w:hanging="475"/>
        <w:spacing w:after="0"/>
        <w:tabs>
          <w:tab w:leader="none" w:pos="1448" w:val="left"/>
        </w:tabs>
        <w:numPr>
          <w:ilvl w:val="2"/>
          <w:numId w:val="355"/>
        </w:numPr>
        <w:rPr>
          <w:rFonts w:ascii="Arial" w:cs="Arial" w:eastAsia="Arial" w:hAnsi="Arial"/>
          <w:sz w:val="22"/>
          <w:szCs w:val="22"/>
          <w:color w:val="auto"/>
        </w:rPr>
      </w:pPr>
      <w:r>
        <w:rPr>
          <w:rFonts w:ascii="Arial" w:cs="Arial" w:eastAsia="Arial" w:hAnsi="Arial"/>
          <w:sz w:val="22"/>
          <w:szCs w:val="22"/>
          <w:color w:val="auto"/>
        </w:rPr>
        <w:t>€100,000 x bonus percentage (.4) x 6/12 = €20,000</w:t>
      </w:r>
    </w:p>
    <w:p>
      <w:pPr>
        <w:sectPr>
          <w:pgSz w:w="11900" w:h="16838" w:orient="portrait"/>
          <w:cols w:equalWidth="0" w:num="1">
            <w:col w:w="11088"/>
          </w:cols>
          <w:pgMar w:left="572" w:top="625" w:right="239" w:bottom="1440" w:gutter="0" w:footer="0" w:header="0"/>
        </w:sectPr>
      </w:pPr>
    </w:p>
    <w:bookmarkStart w:id="386" w:name="page387"/>
    <w:bookmarkEnd w:id="386"/>
    <w:p>
      <w:pPr>
        <w:ind w:left="968"/>
        <w:spacing w:after="0"/>
        <w:rPr>
          <w:sz w:val="20"/>
          <w:szCs w:val="20"/>
          <w:color w:val="auto"/>
        </w:rPr>
      </w:pPr>
      <w:r>
        <w:rPr>
          <w:rFonts w:ascii="Arial" w:cs="Arial" w:eastAsia="Arial" w:hAnsi="Arial"/>
          <w:sz w:val="22"/>
          <w:szCs w:val="22"/>
          <w:b w:val="1"/>
          <w:bCs w:val="1"/>
          <w:color w:val="auto"/>
        </w:rPr>
        <w:t>Total Severance Payment: €150,000 + €60,000 + €20,000 = €230,000</w:t>
      </w:r>
    </w:p>
    <w:p>
      <w:pPr>
        <w:spacing w:after="0" w:line="260" w:lineRule="exact"/>
        <w:rPr>
          <w:sz w:val="20"/>
          <w:szCs w:val="20"/>
          <w:color w:val="auto"/>
        </w:rPr>
      </w:pPr>
    </w:p>
    <w:p>
      <w:pPr>
        <w:jc w:val="both"/>
        <w:ind w:left="968" w:hanging="320"/>
        <w:spacing w:after="0" w:line="288" w:lineRule="auto"/>
        <w:tabs>
          <w:tab w:leader="none" w:pos="968" w:val="left"/>
        </w:tabs>
        <w:numPr>
          <w:ilvl w:val="1"/>
          <w:numId w:val="356"/>
        </w:numPr>
        <w:rPr>
          <w:rFonts w:ascii="Arial" w:cs="Arial" w:eastAsia="Arial" w:hAnsi="Arial"/>
          <w:sz w:val="19"/>
          <w:szCs w:val="19"/>
          <w:color w:val="auto"/>
        </w:rPr>
      </w:pPr>
      <w:r>
        <w:rPr>
          <w:rFonts w:ascii="Arial" w:cs="Arial" w:eastAsia="Arial" w:hAnsi="Arial"/>
          <w:sz w:val="19"/>
          <w:szCs w:val="19"/>
          <w:b w:val="1"/>
          <w:bCs w:val="1"/>
          <w:color w:val="auto"/>
        </w:rPr>
        <w:t xml:space="preserve">Health Continuation Coverage Benefits: </w:t>
      </w:r>
      <w:r>
        <w:rPr>
          <w:rFonts w:ascii="Arial" w:cs="Arial" w:eastAsia="Arial" w:hAnsi="Arial"/>
          <w:sz w:val="19"/>
          <w:szCs w:val="19"/>
          <w:color w:val="auto"/>
        </w:rPr>
        <w:t>To the extent that Executive elects continued private health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coverage following the Covered Termination at a level equivalent to the private health insurance coverage available to Executive during his employment, the Employer shall pay the applicable premiums (inclusive of premiums for the Executive’s participating dependents, if any) for such plan coverage for a period of eighteen (18) months following the date of the Covered Termination (or such earlier date if the Executive dies, if Executive and/or his dependents are no longer eligible for coverage, or if Executive obtains new employment which includes eligibility for health plan coverage). The provision of these benefits is subject to health insurance coverage being obtained on normal terms and subject to medical and other underwriting requirements and other terms and conditions. The Executive shall be required to notify the Employer immediately if the Executive becomes covered by a health insurance plan of a subsequent employer or if the Executive or his participating dependents otherwise cease to be eligible for coverage during the period provided above. Upon the conclusion of such period of insurance premium payments made by the Employer, the Executive will be responsible for the entire payment of premiums.</w:t>
      </w:r>
    </w:p>
    <w:p>
      <w:pPr>
        <w:spacing w:after="0" w:line="189" w:lineRule="exact"/>
        <w:rPr>
          <w:rFonts w:ascii="Arial" w:cs="Arial" w:eastAsia="Arial" w:hAnsi="Arial"/>
          <w:sz w:val="19"/>
          <w:szCs w:val="19"/>
          <w:color w:val="auto"/>
        </w:rPr>
      </w:pPr>
    </w:p>
    <w:p>
      <w:pPr>
        <w:ind w:left="328" w:hanging="328"/>
        <w:spacing w:after="0"/>
        <w:tabs>
          <w:tab w:leader="none" w:pos="328" w:val="left"/>
        </w:tabs>
        <w:numPr>
          <w:ilvl w:val="0"/>
          <w:numId w:val="357"/>
        </w:numPr>
        <w:rPr>
          <w:rFonts w:ascii="Arial" w:cs="Arial" w:eastAsia="Arial" w:hAnsi="Arial"/>
          <w:sz w:val="22"/>
          <w:szCs w:val="22"/>
          <w:color w:val="auto"/>
        </w:rPr>
      </w:pPr>
      <w:r>
        <w:rPr>
          <w:rFonts w:ascii="Arial" w:cs="Arial" w:eastAsia="Arial" w:hAnsi="Arial"/>
          <w:sz w:val="22"/>
          <w:szCs w:val="22"/>
          <w:b w:val="1"/>
          <w:bCs w:val="1"/>
          <w:color w:val="auto"/>
        </w:rPr>
        <w:t>Certain Definitions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968" w:hanging="320"/>
        <w:spacing w:after="0" w:line="269" w:lineRule="auto"/>
        <w:tabs>
          <w:tab w:leader="none" w:pos="968" w:val="left"/>
        </w:tabs>
        <w:numPr>
          <w:ilvl w:val="1"/>
          <w:numId w:val="3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any “parent” or “subsidiary” of the Company as such terms are defined in Rule 405 of the United States Securities Act of 1933, as amended.</w:t>
      </w:r>
    </w:p>
    <w:p>
      <w:pPr>
        <w:spacing w:after="0" w:line="202" w:lineRule="exact"/>
        <w:rPr>
          <w:rFonts w:ascii="Arial" w:cs="Arial" w:eastAsia="Arial" w:hAnsi="Arial"/>
          <w:sz w:val="22"/>
          <w:szCs w:val="22"/>
          <w:color w:val="auto"/>
        </w:rPr>
      </w:pPr>
    </w:p>
    <w:p>
      <w:pPr>
        <w:ind w:left="968" w:right="20" w:hanging="320"/>
        <w:spacing w:after="0" w:line="269" w:lineRule="auto"/>
        <w:tabs>
          <w:tab w:leader="none" w:pos="968" w:val="left"/>
        </w:tabs>
        <w:numPr>
          <w:ilvl w:val="1"/>
          <w:numId w:val="3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Basic Salary</w:t>
      </w:r>
      <w:r>
        <w:rPr>
          <w:rFonts w:ascii="Arial" w:cs="Arial" w:eastAsia="Arial" w:hAnsi="Arial"/>
          <w:sz w:val="22"/>
          <w:szCs w:val="22"/>
          <w:color w:val="auto"/>
        </w:rPr>
        <w:t>” means Executive’s annual base pay (excluding incentive pay, premium pay, commissions, overtime, bonuses and other forms of variable compensation).</w:t>
      </w:r>
    </w:p>
    <w:p>
      <w:pPr>
        <w:spacing w:after="0" w:line="202" w:lineRule="exact"/>
        <w:rPr>
          <w:rFonts w:ascii="Arial" w:cs="Arial" w:eastAsia="Arial" w:hAnsi="Arial"/>
          <w:sz w:val="22"/>
          <w:szCs w:val="22"/>
          <w:color w:val="auto"/>
        </w:rPr>
      </w:pPr>
    </w:p>
    <w:p>
      <w:pPr>
        <w:ind w:left="968" w:hanging="320"/>
        <w:spacing w:after="0"/>
        <w:tabs>
          <w:tab w:leader="none" w:pos="968" w:val="left"/>
        </w:tabs>
        <w:numPr>
          <w:ilvl w:val="1"/>
          <w:numId w:val="3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p>
      <w:pPr>
        <w:spacing w:after="0" w:line="260" w:lineRule="exact"/>
        <w:rPr>
          <w:rFonts w:ascii="Arial" w:cs="Arial" w:eastAsia="Arial" w:hAnsi="Arial"/>
          <w:sz w:val="22"/>
          <w:szCs w:val="22"/>
          <w:color w:val="auto"/>
        </w:rPr>
      </w:pPr>
    </w:p>
    <w:p>
      <w:pPr>
        <w:ind w:left="968" w:hanging="320"/>
        <w:spacing w:after="0" w:line="293" w:lineRule="auto"/>
        <w:tabs>
          <w:tab w:leader="none" w:pos="968" w:val="left"/>
        </w:tabs>
        <w:numPr>
          <w:ilvl w:val="1"/>
          <w:numId w:val="35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Bonus Multiplier</w:t>
      </w:r>
      <w:r>
        <w:rPr>
          <w:rFonts w:ascii="Arial" w:cs="Arial" w:eastAsia="Arial" w:hAnsi="Arial"/>
          <w:sz w:val="21"/>
          <w:szCs w:val="21"/>
          <w:color w:val="auto"/>
        </w:rPr>
        <w:t>” means the quotient obtained by dividing the number of full months that the Executive is employed by the Company or an Affiliate in the year of a Covered Termination by twelve (12).</w:t>
      </w:r>
    </w:p>
    <w:p>
      <w:pPr>
        <w:spacing w:after="0" w:line="180" w:lineRule="exact"/>
        <w:rPr>
          <w:rFonts w:ascii="Arial" w:cs="Arial" w:eastAsia="Arial" w:hAnsi="Arial"/>
          <w:sz w:val="21"/>
          <w:szCs w:val="21"/>
          <w:color w:val="auto"/>
        </w:rPr>
      </w:pPr>
    </w:p>
    <w:p>
      <w:pPr>
        <w:jc w:val="both"/>
        <w:ind w:left="968" w:hanging="320"/>
        <w:spacing w:after="0" w:line="248" w:lineRule="auto"/>
        <w:tabs>
          <w:tab w:leader="none" w:pos="968" w:val="left"/>
        </w:tabs>
        <w:numPr>
          <w:ilvl w:val="1"/>
          <w:numId w:val="3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Bonus Percentage</w:t>
      </w:r>
      <w:r>
        <w:rPr>
          <w:rFonts w:ascii="Arial" w:cs="Arial" w:eastAsia="Arial" w:hAnsi="Arial"/>
          <w:sz w:val="22"/>
          <w:szCs w:val="22"/>
          <w:color w:val="auto"/>
        </w:rPr>
        <w:t>” means the greater of (i) the highest amount of any annual bonus paid to the Executive by the Company or an Affiliate for (x) either of the last two (2) calendar years prior to the date of the Executive’s Covered Termination or (y) either of the last two (2) calendar years prior to the Change in Control, in each case expressed as a percentage of Executive’s annual basic salary paid in the applicable year; or (ii) the higher of the Executive’s target bonus for (x) the calendar year in which the Executive’s Covered Termination occurs or (y) the calendar year in which</w:t>
      </w:r>
    </w:p>
    <w:p>
      <w:pPr>
        <w:sectPr>
          <w:pgSz w:w="11900" w:h="16838" w:orient="portrait"/>
          <w:cols w:equalWidth="0" w:num="1">
            <w:col w:w="11088"/>
          </w:cols>
          <w:pgMar w:left="572" w:top="625" w:right="239" w:bottom="1440" w:gutter="0" w:footer="0" w:header="0"/>
        </w:sectPr>
      </w:pPr>
    </w:p>
    <w:bookmarkStart w:id="387" w:name="page388"/>
    <w:bookmarkEnd w:id="387"/>
    <w:p>
      <w:pPr>
        <w:ind w:left="320"/>
        <w:spacing w:after="0" w:line="263" w:lineRule="auto"/>
        <w:rPr>
          <w:sz w:val="20"/>
          <w:szCs w:val="20"/>
          <w:color w:val="auto"/>
        </w:rPr>
      </w:pPr>
      <w:r>
        <w:rPr>
          <w:rFonts w:ascii="Arial" w:cs="Arial" w:eastAsia="Arial" w:hAnsi="Arial"/>
          <w:sz w:val="22"/>
          <w:szCs w:val="22"/>
          <w:color w:val="auto"/>
        </w:rPr>
        <w:t>the Change in Control occurs, in each case expressed as a percentage of Executive’s annual basic salary paid in the applicable year.</w:t>
      </w:r>
    </w:p>
    <w:p>
      <w:pPr>
        <w:spacing w:after="0" w:line="209" w:lineRule="exact"/>
        <w:rPr>
          <w:sz w:val="20"/>
          <w:szCs w:val="20"/>
          <w:color w:val="auto"/>
        </w:rPr>
      </w:pPr>
    </w:p>
    <w:p>
      <w:pPr>
        <w:ind w:left="320" w:hanging="320"/>
        <w:spacing w:after="0"/>
        <w:tabs>
          <w:tab w:leader="none" w:pos="320" w:val="left"/>
        </w:tabs>
        <w:numPr>
          <w:ilvl w:val="0"/>
          <w:numId w:val="3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means the occurrence of any one or more of the following:</w:t>
      </w:r>
    </w:p>
    <w:p>
      <w:pPr>
        <w:spacing w:after="0" w:line="266" w:lineRule="exact"/>
        <w:rPr>
          <w:rFonts w:ascii="Arial" w:cs="Arial" w:eastAsia="Arial" w:hAnsi="Arial"/>
          <w:sz w:val="22"/>
          <w:szCs w:val="22"/>
          <w:color w:val="auto"/>
        </w:rPr>
      </w:pPr>
    </w:p>
    <w:p>
      <w:pPr>
        <w:jc w:val="both"/>
        <w:ind w:left="1620" w:hanging="647"/>
        <w:spacing w:after="0" w:line="249" w:lineRule="auto"/>
        <w:tabs>
          <w:tab w:leader="none" w:pos="1620" w:val="left"/>
        </w:tabs>
        <w:numPr>
          <w:ilvl w:val="1"/>
          <w:numId w:val="358"/>
        </w:numPr>
        <w:rPr>
          <w:rFonts w:ascii="Arial" w:cs="Arial" w:eastAsia="Arial" w:hAnsi="Arial"/>
          <w:sz w:val="22"/>
          <w:szCs w:val="22"/>
          <w:color w:val="auto"/>
        </w:rPr>
      </w:pPr>
      <w:r>
        <w:rPr>
          <w:rFonts w:ascii="Arial" w:cs="Arial" w:eastAsia="Arial" w:hAnsi="Arial"/>
          <w:sz w:val="22"/>
          <w:szCs w:val="22"/>
          <w:color w:val="auto"/>
        </w:rPr>
        <w:t>the Executive’s unauthorised use or disclosure of the confidential information or trade secrets of the Company or its Affiliates which use or disclosure causes material harm to the Company or an Affiliate;</w:t>
      </w:r>
    </w:p>
    <w:p>
      <w:pPr>
        <w:jc w:val="both"/>
        <w:ind w:left="1620" w:hanging="647"/>
        <w:spacing w:after="0" w:line="255" w:lineRule="auto"/>
        <w:tabs>
          <w:tab w:leader="none" w:pos="1620" w:val="left"/>
        </w:tabs>
        <w:numPr>
          <w:ilvl w:val="1"/>
          <w:numId w:val="358"/>
        </w:numPr>
        <w:rPr>
          <w:rFonts w:ascii="Arial" w:cs="Arial" w:eastAsia="Arial" w:hAnsi="Arial"/>
          <w:sz w:val="21"/>
          <w:szCs w:val="21"/>
          <w:color w:val="auto"/>
        </w:rPr>
      </w:pPr>
      <w:r>
        <w:rPr>
          <w:rFonts w:ascii="Arial" w:cs="Arial" w:eastAsia="Arial" w:hAnsi="Arial"/>
          <w:sz w:val="21"/>
          <w:szCs w:val="21"/>
          <w:color w:val="auto"/>
        </w:rPr>
        <w:t>the Executive’s material breach of any written agreement between the Executive and the Company or an Affiliate, or the Executive’s material violation of any statutory duty owed to the Company or an Affiliate, in either case which remains uncured for ten (10) business days after receiving written notification of the breach or violation from the Board or its designee;</w:t>
      </w:r>
    </w:p>
    <w:p>
      <w:pPr>
        <w:jc w:val="both"/>
        <w:ind w:left="1620" w:hanging="647"/>
        <w:spacing w:after="0" w:line="243" w:lineRule="auto"/>
        <w:tabs>
          <w:tab w:leader="none" w:pos="1620" w:val="left"/>
        </w:tabs>
        <w:numPr>
          <w:ilvl w:val="1"/>
          <w:numId w:val="358"/>
        </w:numPr>
        <w:rPr>
          <w:rFonts w:ascii="Arial" w:cs="Arial" w:eastAsia="Arial" w:hAnsi="Arial"/>
          <w:sz w:val="22"/>
          <w:szCs w:val="22"/>
          <w:color w:val="auto"/>
        </w:rPr>
      </w:pPr>
      <w:r>
        <w:rPr>
          <w:rFonts w:ascii="Arial" w:cs="Arial" w:eastAsia="Arial" w:hAnsi="Arial"/>
          <w:sz w:val="22"/>
          <w:szCs w:val="22"/>
          <w:color w:val="auto"/>
        </w:rPr>
        <w:t>the Executive’s material failure to comply with the written policies or rules of the Company or an Affiliate which remains uncured for ten (10) business days after receiving written notification of the breach from the Board or its designee;</w:t>
      </w:r>
    </w:p>
    <w:p>
      <w:pPr>
        <w:spacing w:after="0" w:line="1" w:lineRule="exact"/>
        <w:rPr>
          <w:rFonts w:ascii="Arial" w:cs="Arial" w:eastAsia="Arial" w:hAnsi="Arial"/>
          <w:sz w:val="22"/>
          <w:szCs w:val="22"/>
          <w:color w:val="auto"/>
        </w:rPr>
      </w:pPr>
    </w:p>
    <w:p>
      <w:pPr>
        <w:jc w:val="both"/>
        <w:ind w:left="1620" w:hanging="647"/>
        <w:spacing w:after="0" w:line="243" w:lineRule="auto"/>
        <w:tabs>
          <w:tab w:leader="none" w:pos="1620" w:val="left"/>
        </w:tabs>
        <w:numPr>
          <w:ilvl w:val="1"/>
          <w:numId w:val="358"/>
        </w:numPr>
        <w:rPr>
          <w:rFonts w:ascii="Arial" w:cs="Arial" w:eastAsia="Arial" w:hAnsi="Arial"/>
          <w:sz w:val="22"/>
          <w:szCs w:val="22"/>
          <w:color w:val="auto"/>
        </w:rPr>
      </w:pPr>
      <w:r>
        <w:rPr>
          <w:rFonts w:ascii="Arial" w:cs="Arial" w:eastAsia="Arial" w:hAnsi="Arial"/>
          <w:sz w:val="22"/>
          <w:szCs w:val="22"/>
          <w:color w:val="auto"/>
        </w:rPr>
        <w:t>the Executive’s conviction of, or plea of “guilty” or “no contest” to, any crime involving fraud, dishonesty, or moral turpitude under the laws of any United States, or Irish, federal, state, or local authority, or any foreign governmental authority;</w:t>
      </w:r>
    </w:p>
    <w:p>
      <w:pPr>
        <w:spacing w:after="0" w:line="1" w:lineRule="exact"/>
        <w:rPr>
          <w:rFonts w:ascii="Arial" w:cs="Arial" w:eastAsia="Arial" w:hAnsi="Arial"/>
          <w:sz w:val="22"/>
          <w:szCs w:val="22"/>
          <w:color w:val="auto"/>
        </w:rPr>
      </w:pPr>
    </w:p>
    <w:p>
      <w:pPr>
        <w:ind w:left="1620" w:right="20" w:hanging="647"/>
        <w:spacing w:after="0" w:line="281" w:lineRule="auto"/>
        <w:tabs>
          <w:tab w:leader="none" w:pos="1620" w:val="left"/>
        </w:tabs>
        <w:numPr>
          <w:ilvl w:val="1"/>
          <w:numId w:val="358"/>
        </w:numPr>
        <w:rPr>
          <w:rFonts w:ascii="Arial" w:cs="Arial" w:eastAsia="Arial" w:hAnsi="Arial"/>
          <w:sz w:val="19"/>
          <w:szCs w:val="19"/>
          <w:color w:val="auto"/>
        </w:rPr>
      </w:pPr>
      <w:r>
        <w:rPr>
          <w:rFonts w:ascii="Arial" w:cs="Arial" w:eastAsia="Arial" w:hAnsi="Arial"/>
          <w:sz w:val="19"/>
          <w:szCs w:val="19"/>
          <w:color w:val="auto"/>
        </w:rPr>
        <w:t>the Executive’s gross misconduct, including but not limited to an attempted or actual commission of, participation or cooperation in, fraud or act of dishonesty against the Company or an Affiliate;</w:t>
      </w:r>
    </w:p>
    <w:p>
      <w:pPr>
        <w:spacing w:after="0" w:line="1" w:lineRule="exact"/>
        <w:rPr>
          <w:rFonts w:ascii="Arial" w:cs="Arial" w:eastAsia="Arial" w:hAnsi="Arial"/>
          <w:sz w:val="19"/>
          <w:szCs w:val="19"/>
          <w:color w:val="auto"/>
        </w:rPr>
      </w:pPr>
    </w:p>
    <w:p>
      <w:pPr>
        <w:ind w:left="1620" w:hanging="647"/>
        <w:spacing w:after="0" w:line="243" w:lineRule="auto"/>
        <w:tabs>
          <w:tab w:leader="none" w:pos="1620" w:val="left"/>
        </w:tabs>
        <w:numPr>
          <w:ilvl w:val="1"/>
          <w:numId w:val="358"/>
        </w:numPr>
        <w:rPr>
          <w:rFonts w:ascii="Arial" w:cs="Arial" w:eastAsia="Arial" w:hAnsi="Arial"/>
          <w:sz w:val="22"/>
          <w:szCs w:val="22"/>
          <w:color w:val="auto"/>
        </w:rPr>
      </w:pPr>
      <w:r>
        <w:rPr>
          <w:rFonts w:ascii="Arial" w:cs="Arial" w:eastAsia="Arial" w:hAnsi="Arial"/>
          <w:sz w:val="22"/>
          <w:szCs w:val="22"/>
          <w:color w:val="auto"/>
        </w:rPr>
        <w:t>the Executive’s continuing failure to perform assigned duties after receiving written notification of the failure from the Board or its designee;</w:t>
      </w:r>
    </w:p>
    <w:p>
      <w:pPr>
        <w:jc w:val="both"/>
        <w:ind w:left="1620" w:hanging="647"/>
        <w:spacing w:after="0" w:line="243" w:lineRule="auto"/>
        <w:tabs>
          <w:tab w:leader="none" w:pos="1620" w:val="left"/>
        </w:tabs>
        <w:numPr>
          <w:ilvl w:val="1"/>
          <w:numId w:val="358"/>
        </w:numPr>
        <w:rPr>
          <w:rFonts w:ascii="Arial" w:cs="Arial" w:eastAsia="Arial" w:hAnsi="Arial"/>
          <w:sz w:val="22"/>
          <w:szCs w:val="22"/>
          <w:color w:val="auto"/>
        </w:rPr>
      </w:pPr>
      <w:r>
        <w:rPr>
          <w:rFonts w:ascii="Arial" w:cs="Arial" w:eastAsia="Arial" w:hAnsi="Arial"/>
          <w:sz w:val="22"/>
          <w:szCs w:val="22"/>
          <w:color w:val="auto"/>
        </w:rPr>
        <w:t>the Executive’s failure to reasonably cooperate in good faith with a governmental or internal investigation of the Company, or any of its Affiliates, directors, officers, or employees, if the Board or its designee has requested the Executive’s cooperation; or</w:t>
      </w:r>
    </w:p>
    <w:p>
      <w:pPr>
        <w:spacing w:after="0" w:line="1" w:lineRule="exact"/>
        <w:rPr>
          <w:rFonts w:ascii="Arial" w:cs="Arial" w:eastAsia="Arial" w:hAnsi="Arial"/>
          <w:sz w:val="22"/>
          <w:szCs w:val="22"/>
          <w:color w:val="auto"/>
        </w:rPr>
      </w:pPr>
    </w:p>
    <w:p>
      <w:pPr>
        <w:jc w:val="both"/>
        <w:ind w:left="1620" w:hanging="647"/>
        <w:spacing w:after="0" w:line="244" w:lineRule="auto"/>
        <w:tabs>
          <w:tab w:leader="none" w:pos="1620" w:val="left"/>
        </w:tabs>
        <w:numPr>
          <w:ilvl w:val="1"/>
          <w:numId w:val="358"/>
        </w:numPr>
        <w:rPr>
          <w:rFonts w:ascii="Arial" w:cs="Arial" w:eastAsia="Arial" w:hAnsi="Arial"/>
          <w:sz w:val="22"/>
          <w:szCs w:val="22"/>
          <w:color w:val="auto"/>
        </w:rPr>
      </w:pPr>
      <w:r>
        <w:rPr>
          <w:rFonts w:ascii="Arial" w:cs="Arial" w:eastAsia="Arial" w:hAnsi="Arial"/>
          <w:sz w:val="22"/>
          <w:szCs w:val="22"/>
          <w:color w:val="auto"/>
        </w:rPr>
        <w:t>any action of Executive warranting summary dismissal or termination without prior notice under Executive’s Terms and Conditions of Employment dated 10 June 2014 or such other employment agreement of Executive as in effect on the Covered Termination (as applicable, the “</w:t>
      </w:r>
      <w:r>
        <w:rPr>
          <w:rFonts w:ascii="Arial" w:cs="Arial" w:eastAsia="Arial" w:hAnsi="Arial"/>
          <w:sz w:val="22"/>
          <w:szCs w:val="22"/>
          <w:b w:val="1"/>
          <w:bCs w:val="1"/>
          <w:color w:val="auto"/>
        </w:rPr>
        <w:t>Employment</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or under applicable employment laws.</w:t>
      </w:r>
    </w:p>
    <w:p>
      <w:pPr>
        <w:spacing w:after="0" w:line="230" w:lineRule="exact"/>
        <w:rPr>
          <w:rFonts w:ascii="Arial" w:cs="Arial" w:eastAsia="Arial" w:hAnsi="Arial"/>
          <w:sz w:val="22"/>
          <w:szCs w:val="22"/>
          <w:color w:val="auto"/>
        </w:rPr>
      </w:pPr>
    </w:p>
    <w:p>
      <w:pPr>
        <w:ind w:left="320" w:hanging="320"/>
        <w:spacing w:after="0" w:line="269" w:lineRule="auto"/>
        <w:tabs>
          <w:tab w:leader="none" w:pos="320" w:val="left"/>
        </w:tabs>
        <w:numPr>
          <w:ilvl w:val="0"/>
          <w:numId w:val="3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means “Change in Control” as defined in the Jazz Pharmaceuticals plc Amended and Restated Executive Change in Control and Severance Benefit Plan (“</w:t>
      </w:r>
      <w:r>
        <w:rPr>
          <w:rFonts w:ascii="Arial" w:cs="Arial" w:eastAsia="Arial" w:hAnsi="Arial"/>
          <w:sz w:val="22"/>
          <w:szCs w:val="22"/>
          <w:b w:val="1"/>
          <w:bCs w:val="1"/>
          <w:color w:val="auto"/>
        </w:rPr>
        <w:t>Executive CIC Plan</w:t>
      </w:r>
      <w:r>
        <w:rPr>
          <w:rFonts w:ascii="Arial" w:cs="Arial" w:eastAsia="Arial" w:hAnsi="Arial"/>
          <w:sz w:val="22"/>
          <w:szCs w:val="22"/>
          <w:color w:val="auto"/>
        </w:rPr>
        <w:t>”).</w:t>
      </w:r>
    </w:p>
    <w:p>
      <w:pPr>
        <w:sectPr>
          <w:pgSz w:w="11900" w:h="16838" w:orient="portrait"/>
          <w:cols w:equalWidth="0" w:num="1">
            <w:col w:w="10440"/>
          </w:cols>
          <w:pgMar w:left="1220" w:top="631" w:right="239" w:bottom="1440" w:gutter="0" w:footer="0" w:header="0"/>
        </w:sectPr>
      </w:pPr>
    </w:p>
    <w:bookmarkStart w:id="388" w:name="page389"/>
    <w:bookmarkEnd w:id="388"/>
    <w:p>
      <w:pPr>
        <w:jc w:val="both"/>
        <w:ind w:left="320" w:hanging="320"/>
        <w:spacing w:after="0" w:line="252" w:lineRule="auto"/>
        <w:tabs>
          <w:tab w:leader="none" w:pos="320" w:val="left"/>
        </w:tabs>
        <w:numPr>
          <w:ilvl w:val="0"/>
          <w:numId w:val="3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Companies Act</w:t>
      </w:r>
      <w:r>
        <w:rPr>
          <w:rFonts w:ascii="Arial" w:cs="Arial" w:eastAsia="Arial" w:hAnsi="Arial"/>
          <w:sz w:val="22"/>
          <w:szCs w:val="22"/>
          <w:color w:val="auto"/>
        </w:rPr>
        <w:t>” means the Companies Act 2014 of Ireland, together with all statutory modifications and re-enactments thereof and all statutes and statutory instruments which are to be read as one with, or construed or read together as one with, the aforementioned enactments and every statutory modification and re-enactment thereof for the time being in force.</w:t>
      </w:r>
    </w:p>
    <w:p>
      <w:pPr>
        <w:spacing w:after="0" w:line="220" w:lineRule="exact"/>
        <w:rPr>
          <w:rFonts w:ascii="Arial" w:cs="Arial" w:eastAsia="Arial" w:hAnsi="Arial"/>
          <w:sz w:val="22"/>
          <w:szCs w:val="22"/>
          <w:color w:val="auto"/>
        </w:rPr>
      </w:pPr>
    </w:p>
    <w:p>
      <w:pPr>
        <w:ind w:left="320" w:hanging="320"/>
        <w:spacing w:after="0"/>
        <w:tabs>
          <w:tab w:leader="none" w:pos="320" w:val="left"/>
        </w:tabs>
        <w:numPr>
          <w:ilvl w:val="0"/>
          <w:numId w:val="3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“Company” as defined in the Executive CIC Plan.</w:t>
      </w:r>
    </w:p>
    <w:p>
      <w:pPr>
        <w:spacing w:after="0" w:line="260" w:lineRule="exact"/>
        <w:rPr>
          <w:rFonts w:ascii="Arial" w:cs="Arial" w:eastAsia="Arial" w:hAnsi="Arial"/>
          <w:sz w:val="22"/>
          <w:szCs w:val="22"/>
          <w:color w:val="auto"/>
        </w:rPr>
      </w:pPr>
    </w:p>
    <w:p>
      <w:pPr>
        <w:jc w:val="both"/>
        <w:ind w:left="320" w:hanging="320"/>
        <w:spacing w:after="0" w:line="259" w:lineRule="auto"/>
        <w:tabs>
          <w:tab w:leader="none" w:pos="320" w:val="left"/>
        </w:tabs>
        <w:numPr>
          <w:ilvl w:val="0"/>
          <w:numId w:val="3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Constructive Termination</w:t>
      </w:r>
      <w:r>
        <w:rPr>
          <w:rFonts w:ascii="Arial" w:cs="Arial" w:eastAsia="Arial" w:hAnsi="Arial"/>
          <w:sz w:val="21"/>
          <w:szCs w:val="21"/>
          <w:color w:val="auto"/>
        </w:rPr>
        <w:t>” means a resignation of employment by Executive after an action or event which constitutes Good Reason is undertaken by the Company or an Affiliate, or otherwise occurs, provided such action or event is not agreed to by Executive in writing; provided, however, that in order for Executive’s resignation to constitute a Constructive Termination, Executive must (i) provide written notice to the Company’s General Counsel within thirty (30) days after the first occurrence of the action or event giving rise to Good Reason setting forth the basis for such resignation, (ii) allow the Company at least thirty (30) days from receipt of such written notice to cure such action or event, and (iii) if such action or event is not reasonably cured within such period, resign from all positions Executive then holds with the Company and any Affiliate effective not later than ninety (90) days after the expiration of the cure period.</w:t>
      </w:r>
    </w:p>
    <w:p>
      <w:pPr>
        <w:spacing w:after="0" w:line="220" w:lineRule="exact"/>
        <w:rPr>
          <w:rFonts w:ascii="Arial" w:cs="Arial" w:eastAsia="Arial" w:hAnsi="Arial"/>
          <w:sz w:val="21"/>
          <w:szCs w:val="21"/>
          <w:color w:val="auto"/>
        </w:rPr>
      </w:pPr>
    </w:p>
    <w:p>
      <w:pPr>
        <w:ind w:left="320" w:right="20" w:hanging="320"/>
        <w:spacing w:after="0" w:line="293" w:lineRule="auto"/>
        <w:tabs>
          <w:tab w:leader="none" w:pos="320" w:val="left"/>
        </w:tabs>
        <w:numPr>
          <w:ilvl w:val="0"/>
          <w:numId w:val="3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Covered Termination</w:t>
      </w:r>
      <w:r>
        <w:rPr>
          <w:rFonts w:ascii="Arial" w:cs="Arial" w:eastAsia="Arial" w:hAnsi="Arial"/>
          <w:sz w:val="21"/>
          <w:szCs w:val="21"/>
          <w:color w:val="auto"/>
        </w:rPr>
        <w:t>” means either (i) an Involuntary Termination Without Cause, or (ii) a Constructive Termination, in each case effective upon or within twelve (12) months following a Change in Control.</w:t>
      </w:r>
    </w:p>
    <w:p>
      <w:pPr>
        <w:spacing w:after="0" w:line="180" w:lineRule="exact"/>
        <w:rPr>
          <w:rFonts w:ascii="Arial" w:cs="Arial" w:eastAsia="Arial" w:hAnsi="Arial"/>
          <w:sz w:val="21"/>
          <w:szCs w:val="21"/>
          <w:color w:val="auto"/>
        </w:rPr>
      </w:pPr>
    </w:p>
    <w:p>
      <w:pPr>
        <w:jc w:val="both"/>
        <w:ind w:left="320" w:hanging="320"/>
        <w:spacing w:after="0" w:line="249" w:lineRule="auto"/>
        <w:tabs>
          <w:tab w:leader="none" w:pos="320" w:val="left"/>
        </w:tabs>
        <w:numPr>
          <w:ilvl w:val="0"/>
          <w:numId w:val="3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Disability</w:t>
      </w:r>
      <w:r>
        <w:rPr>
          <w:rFonts w:ascii="Arial" w:cs="Arial" w:eastAsia="Arial" w:hAnsi="Arial"/>
          <w:sz w:val="22"/>
          <w:szCs w:val="22"/>
          <w:color w:val="auto"/>
        </w:rPr>
        <w:t>” means Executive’s inability to engage in any substantial gainful activity by reason of any medically determinable physical or mental impairment which can be expected to result in death or which has lasted or can be expected to last for a continuous period of not less than twelve (12) months, and shall be reasonably determined by the Board or its designee on the basis of such medical evidence as the Board or its designee deems warranted under the circumstances.</w:t>
      </w:r>
    </w:p>
    <w:p>
      <w:pPr>
        <w:spacing w:after="0" w:line="227" w:lineRule="exact"/>
        <w:rPr>
          <w:rFonts w:ascii="Arial" w:cs="Arial" w:eastAsia="Arial" w:hAnsi="Arial"/>
          <w:sz w:val="22"/>
          <w:szCs w:val="22"/>
          <w:color w:val="auto"/>
        </w:rPr>
      </w:pPr>
    </w:p>
    <w:p>
      <w:pPr>
        <w:ind w:left="320" w:hanging="320"/>
        <w:spacing w:after="0"/>
        <w:tabs>
          <w:tab w:leader="none" w:pos="320" w:val="left"/>
        </w:tabs>
        <w:numPr>
          <w:ilvl w:val="0"/>
          <w:numId w:val="3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Employer</w:t>
      </w:r>
      <w:r>
        <w:rPr>
          <w:rFonts w:ascii="Arial" w:cs="Arial" w:eastAsia="Arial" w:hAnsi="Arial"/>
          <w:sz w:val="22"/>
          <w:szCs w:val="22"/>
          <w:color w:val="auto"/>
        </w:rPr>
        <w:t>” means the entity which employs Executive.</w:t>
      </w:r>
    </w:p>
    <w:p>
      <w:pPr>
        <w:spacing w:after="0" w:line="260" w:lineRule="exact"/>
        <w:rPr>
          <w:rFonts w:ascii="Arial" w:cs="Arial" w:eastAsia="Arial" w:hAnsi="Arial"/>
          <w:sz w:val="22"/>
          <w:szCs w:val="22"/>
          <w:color w:val="auto"/>
        </w:rPr>
      </w:pPr>
    </w:p>
    <w:p>
      <w:pPr>
        <w:ind w:left="320" w:hanging="320"/>
        <w:spacing w:after="0"/>
        <w:tabs>
          <w:tab w:leader="none" w:pos="320" w:val="left"/>
        </w:tabs>
        <w:numPr>
          <w:ilvl w:val="0"/>
          <w:numId w:val="3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w:t>
      </w:r>
      <w:r>
        <w:rPr>
          <w:rFonts w:ascii="Arial" w:cs="Arial" w:eastAsia="Arial" w:hAnsi="Arial"/>
          <w:sz w:val="22"/>
          <w:szCs w:val="22"/>
          <w:color w:val="auto"/>
        </w:rPr>
        <w:t>” means Paul Treacy.</w:t>
      </w:r>
    </w:p>
    <w:p>
      <w:pPr>
        <w:spacing w:after="0" w:line="260" w:lineRule="exact"/>
        <w:rPr>
          <w:rFonts w:ascii="Arial" w:cs="Arial" w:eastAsia="Arial" w:hAnsi="Arial"/>
          <w:sz w:val="22"/>
          <w:szCs w:val="22"/>
          <w:color w:val="auto"/>
        </w:rPr>
      </w:pPr>
    </w:p>
    <w:p>
      <w:pPr>
        <w:jc w:val="both"/>
        <w:ind w:left="320" w:hanging="320"/>
        <w:spacing w:after="0" w:line="267" w:lineRule="auto"/>
        <w:tabs>
          <w:tab w:leader="none" w:pos="320" w:val="left"/>
        </w:tabs>
        <w:numPr>
          <w:ilvl w:val="0"/>
          <w:numId w:val="3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Final Basic Salary</w:t>
      </w:r>
      <w:r>
        <w:rPr>
          <w:rFonts w:ascii="Arial" w:cs="Arial" w:eastAsia="Arial" w:hAnsi="Arial"/>
          <w:sz w:val="21"/>
          <w:szCs w:val="21"/>
          <w:color w:val="auto"/>
        </w:rPr>
        <w:t>” means the higher of Executive’s Basic Salary in effect (x) on the date of his Covered Termination (without giving effect to any reduction in Basic Salary that would constitute Good Reason for Constructive Termination) or (y) immediately prior to the Change in Control; provided, however, that if the Executive has, during the twelve (12) months prior to the date of his Covered Termination or the</w:t>
      </w:r>
    </w:p>
    <w:p>
      <w:pPr>
        <w:sectPr>
          <w:pgSz w:w="11900" w:h="16838" w:orient="portrait"/>
          <w:cols w:equalWidth="0" w:num="1">
            <w:col w:w="10440"/>
          </w:cols>
          <w:pgMar w:left="1220" w:top="625" w:right="239" w:bottom="1440" w:gutter="0" w:footer="0" w:header="0"/>
        </w:sectPr>
      </w:pPr>
    </w:p>
    <w:bookmarkStart w:id="389" w:name="page390"/>
    <w:bookmarkEnd w:id="389"/>
    <w:p>
      <w:pPr>
        <w:ind w:left="968"/>
        <w:spacing w:after="0" w:line="263" w:lineRule="auto"/>
        <w:rPr>
          <w:sz w:val="20"/>
          <w:szCs w:val="20"/>
          <w:color w:val="auto"/>
        </w:rPr>
      </w:pPr>
      <w:r>
        <w:rPr>
          <w:rFonts w:ascii="Arial" w:cs="Arial" w:eastAsia="Arial" w:hAnsi="Arial"/>
          <w:sz w:val="22"/>
          <w:szCs w:val="22"/>
          <w:color w:val="auto"/>
        </w:rPr>
        <w:t>Change in Control, as applicable, taken a voluntary pay reduction, then Executive’s Final Basic Salary will be determined without regard to such voluntary pay reduction.</w:t>
      </w:r>
    </w:p>
    <w:p>
      <w:pPr>
        <w:spacing w:after="0" w:line="209" w:lineRule="exact"/>
        <w:rPr>
          <w:sz w:val="20"/>
          <w:szCs w:val="20"/>
          <w:color w:val="auto"/>
        </w:rPr>
      </w:pPr>
    </w:p>
    <w:p>
      <w:pPr>
        <w:ind w:left="968" w:hanging="320"/>
        <w:spacing w:after="0" w:line="269" w:lineRule="auto"/>
        <w:tabs>
          <w:tab w:leader="none" w:pos="968" w:val="left"/>
        </w:tabs>
        <w:numPr>
          <w:ilvl w:val="1"/>
          <w:numId w:val="3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 the occurrence of any one or more of the following actions or events without Executive’s written consent:</w:t>
      </w:r>
    </w:p>
    <w:p>
      <w:pPr>
        <w:spacing w:after="0" w:line="208" w:lineRule="exact"/>
        <w:rPr>
          <w:rFonts w:ascii="Arial" w:cs="Arial" w:eastAsia="Arial" w:hAnsi="Arial"/>
          <w:sz w:val="22"/>
          <w:szCs w:val="22"/>
          <w:color w:val="auto"/>
        </w:rPr>
      </w:pPr>
    </w:p>
    <w:p>
      <w:pPr>
        <w:jc w:val="both"/>
        <w:ind w:left="2268" w:hanging="647"/>
        <w:spacing w:after="0" w:line="260" w:lineRule="auto"/>
        <w:tabs>
          <w:tab w:leader="none" w:pos="2268" w:val="left"/>
        </w:tabs>
        <w:numPr>
          <w:ilvl w:val="2"/>
          <w:numId w:val="360"/>
        </w:numPr>
        <w:rPr>
          <w:rFonts w:ascii="Arial" w:cs="Arial" w:eastAsia="Arial" w:hAnsi="Arial"/>
          <w:sz w:val="21"/>
          <w:szCs w:val="21"/>
          <w:color w:val="auto"/>
        </w:rPr>
      </w:pPr>
      <w:r>
        <w:rPr>
          <w:rFonts w:ascii="Arial" w:cs="Arial" w:eastAsia="Arial" w:hAnsi="Arial"/>
          <w:sz w:val="21"/>
          <w:szCs w:val="21"/>
          <w:color w:val="auto"/>
        </w:rPr>
        <w:t>one or more reductions in Executive’s Basic Salary that results in a total reduction in Executive’s Basic Salary, as in effect immediately prior to the Change in Control or any higher Basic Salary in effect following the Change in Control, by more than ten percent (10%);</w:t>
      </w:r>
    </w:p>
    <w:p>
      <w:pPr>
        <w:spacing w:after="0" w:line="2" w:lineRule="exact"/>
        <w:rPr>
          <w:rFonts w:ascii="Arial" w:cs="Arial" w:eastAsia="Arial" w:hAnsi="Arial"/>
          <w:sz w:val="21"/>
          <w:szCs w:val="21"/>
          <w:color w:val="auto"/>
        </w:rPr>
      </w:pPr>
    </w:p>
    <w:p>
      <w:pPr>
        <w:ind w:left="2268" w:hanging="647"/>
        <w:spacing w:after="0" w:line="243" w:lineRule="auto"/>
        <w:tabs>
          <w:tab w:leader="none" w:pos="2268" w:val="left"/>
        </w:tabs>
        <w:numPr>
          <w:ilvl w:val="2"/>
          <w:numId w:val="360"/>
        </w:numPr>
        <w:rPr>
          <w:rFonts w:ascii="Arial" w:cs="Arial" w:eastAsia="Arial" w:hAnsi="Arial"/>
          <w:sz w:val="22"/>
          <w:szCs w:val="22"/>
          <w:color w:val="auto"/>
        </w:rPr>
      </w:pPr>
      <w:r>
        <w:rPr>
          <w:rFonts w:ascii="Arial" w:cs="Arial" w:eastAsia="Arial" w:hAnsi="Arial"/>
          <w:sz w:val="22"/>
          <w:szCs w:val="22"/>
          <w:color w:val="auto"/>
        </w:rPr>
        <w:t>a relocation of Executive’s principal place of employment that increases Executive’s one-way commute by more than thirty-five (35) miles;</w:t>
      </w:r>
    </w:p>
    <w:p>
      <w:pPr>
        <w:jc w:val="both"/>
        <w:ind w:left="2268" w:hanging="647"/>
        <w:spacing w:after="0" w:line="281" w:lineRule="auto"/>
        <w:tabs>
          <w:tab w:leader="none" w:pos="2268" w:val="left"/>
        </w:tabs>
        <w:numPr>
          <w:ilvl w:val="2"/>
          <w:numId w:val="360"/>
        </w:numPr>
        <w:rPr>
          <w:rFonts w:ascii="Arial" w:cs="Arial" w:eastAsia="Arial" w:hAnsi="Arial"/>
          <w:sz w:val="19"/>
          <w:szCs w:val="19"/>
          <w:color w:val="auto"/>
        </w:rPr>
      </w:pPr>
      <w:r>
        <w:rPr>
          <w:rFonts w:ascii="Arial" w:cs="Arial" w:eastAsia="Arial" w:hAnsi="Arial"/>
          <w:sz w:val="19"/>
          <w:szCs w:val="19"/>
          <w:color w:val="auto"/>
        </w:rPr>
        <w:t>a substantial reduction in Executive’s authority, duties, or responsibilities (and not simply a change in reporting relationships) as in effect immediately prior to the effective date of the Change in Control; provided that, if (i) Executive continues to hold the same position but the size of Executive’s employing entity (or the business unit to which Executive is assigned) has decreased significantly or (ii) neither the Company nor the Employer continues to be a publicly traded corporation, Executive’s authority, duties and responsibilities will be considered to be substantially reduced; or</w:t>
      </w:r>
    </w:p>
    <w:p>
      <w:pPr>
        <w:spacing w:after="0" w:line="4" w:lineRule="exact"/>
        <w:rPr>
          <w:rFonts w:ascii="Arial" w:cs="Arial" w:eastAsia="Arial" w:hAnsi="Arial"/>
          <w:sz w:val="19"/>
          <w:szCs w:val="19"/>
          <w:color w:val="auto"/>
        </w:rPr>
      </w:pPr>
    </w:p>
    <w:p>
      <w:pPr>
        <w:ind w:left="2268" w:hanging="647"/>
        <w:spacing w:after="0"/>
        <w:tabs>
          <w:tab w:leader="none" w:pos="2268" w:val="left"/>
        </w:tabs>
        <w:numPr>
          <w:ilvl w:val="2"/>
          <w:numId w:val="360"/>
        </w:numPr>
        <w:rPr>
          <w:rFonts w:ascii="Arial" w:cs="Arial" w:eastAsia="Arial" w:hAnsi="Arial"/>
          <w:sz w:val="22"/>
          <w:szCs w:val="22"/>
          <w:color w:val="auto"/>
        </w:rPr>
      </w:pPr>
      <w:r>
        <w:rPr>
          <w:rFonts w:ascii="Arial" w:cs="Arial" w:eastAsia="Arial" w:hAnsi="Arial"/>
          <w:sz w:val="22"/>
          <w:szCs w:val="22"/>
          <w:color w:val="auto"/>
        </w:rPr>
        <w:t>a reduction in the Executive’s title.</w:t>
      </w:r>
    </w:p>
    <w:p>
      <w:pPr>
        <w:spacing w:after="0" w:line="236" w:lineRule="exact"/>
        <w:rPr>
          <w:rFonts w:ascii="Arial" w:cs="Arial" w:eastAsia="Arial" w:hAnsi="Arial"/>
          <w:sz w:val="22"/>
          <w:szCs w:val="22"/>
          <w:color w:val="auto"/>
        </w:rPr>
      </w:pPr>
    </w:p>
    <w:p>
      <w:pPr>
        <w:jc w:val="both"/>
        <w:ind w:left="968" w:hanging="320"/>
        <w:spacing w:after="0" w:line="252" w:lineRule="auto"/>
        <w:tabs>
          <w:tab w:leader="none" w:pos="968" w:val="left"/>
        </w:tabs>
        <w:numPr>
          <w:ilvl w:val="1"/>
          <w:numId w:val="3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Involuntary Termination Without Cause</w:t>
      </w:r>
      <w:r>
        <w:rPr>
          <w:rFonts w:ascii="Arial" w:cs="Arial" w:eastAsia="Arial" w:hAnsi="Arial"/>
          <w:sz w:val="22"/>
          <w:szCs w:val="22"/>
          <w:color w:val="auto"/>
        </w:rPr>
        <w:t>” means a termination by the Company or an Affiliate of Executive’s employment relationship for any reason other than for Cause. For purposes of the foregoing and this Schedule, a termination of employment due to Executive’s death or Disability shall constitute an Involuntary Termination Without Cause.</w:t>
      </w:r>
    </w:p>
    <w:p>
      <w:pPr>
        <w:spacing w:after="0" w:line="220" w:lineRule="exact"/>
        <w:rPr>
          <w:rFonts w:ascii="Arial" w:cs="Arial" w:eastAsia="Arial" w:hAnsi="Arial"/>
          <w:sz w:val="22"/>
          <w:szCs w:val="22"/>
          <w:color w:val="auto"/>
        </w:rPr>
      </w:pPr>
    </w:p>
    <w:p>
      <w:pPr>
        <w:ind w:left="328" w:hanging="328"/>
        <w:spacing w:after="0"/>
        <w:tabs>
          <w:tab w:leader="none" w:pos="328" w:val="left"/>
        </w:tabs>
        <w:numPr>
          <w:ilvl w:val="0"/>
          <w:numId w:val="361"/>
        </w:numPr>
        <w:rPr>
          <w:rFonts w:ascii="Arial" w:cs="Arial" w:eastAsia="Arial" w:hAnsi="Arial"/>
          <w:sz w:val="22"/>
          <w:szCs w:val="22"/>
          <w:color w:val="auto"/>
        </w:rPr>
      </w:pPr>
      <w:r>
        <w:rPr>
          <w:rFonts w:ascii="Arial" w:cs="Arial" w:eastAsia="Arial" w:hAnsi="Arial"/>
          <w:sz w:val="22"/>
          <w:szCs w:val="22"/>
          <w:b w:val="1"/>
          <w:bCs w:val="1"/>
          <w:color w:val="auto"/>
        </w:rPr>
        <w:t xml:space="preserve">Additional Terms: </w:t>
      </w:r>
      <w:r>
        <w:rPr>
          <w:rFonts w:ascii="Arial" w:cs="Arial" w:eastAsia="Arial" w:hAnsi="Arial"/>
          <w:sz w:val="22"/>
          <w:szCs w:val="22"/>
          <w:color w:val="auto"/>
        </w:rPr>
        <w:t>The following additional terms shall apply:</w:t>
      </w:r>
    </w:p>
    <w:p>
      <w:pPr>
        <w:spacing w:after="0" w:line="260" w:lineRule="exact"/>
        <w:rPr>
          <w:rFonts w:ascii="Arial" w:cs="Arial" w:eastAsia="Arial" w:hAnsi="Arial"/>
          <w:sz w:val="22"/>
          <w:szCs w:val="22"/>
          <w:color w:val="auto"/>
        </w:rPr>
      </w:pPr>
    </w:p>
    <w:p>
      <w:pPr>
        <w:jc w:val="both"/>
        <w:ind w:left="968" w:hanging="320"/>
        <w:spacing w:after="0" w:line="291" w:lineRule="auto"/>
        <w:tabs>
          <w:tab w:leader="none" w:pos="968" w:val="left"/>
        </w:tabs>
        <w:numPr>
          <w:ilvl w:val="1"/>
          <w:numId w:val="361"/>
        </w:numPr>
        <w:rPr>
          <w:rFonts w:ascii="Arial" w:cs="Arial" w:eastAsia="Arial" w:hAnsi="Arial"/>
          <w:sz w:val="19"/>
          <w:szCs w:val="19"/>
          <w:color w:val="auto"/>
        </w:rPr>
      </w:pPr>
      <w:r>
        <w:rPr>
          <w:rFonts w:ascii="Arial" w:cs="Arial" w:eastAsia="Arial" w:hAnsi="Arial"/>
          <w:sz w:val="19"/>
          <w:szCs w:val="19"/>
          <w:b w:val="1"/>
          <w:bCs w:val="1"/>
          <w:color w:val="auto"/>
        </w:rPr>
        <w:t xml:space="preserve">Release and Other Requirements for Receipt of Severance Benefits: </w:t>
      </w:r>
      <w:r>
        <w:rPr>
          <w:rFonts w:ascii="Arial" w:cs="Arial" w:eastAsia="Arial" w:hAnsi="Arial"/>
          <w:sz w:val="19"/>
          <w:szCs w:val="19"/>
          <w:color w:val="auto"/>
        </w:rPr>
        <w:t>In order to be eligible to receive, and prior</w:t>
      </w:r>
      <w:r>
        <w:rPr>
          <w:rFonts w:ascii="Arial" w:cs="Arial" w:eastAsia="Arial" w:hAnsi="Arial"/>
          <w:sz w:val="19"/>
          <w:szCs w:val="19"/>
          <w:b w:val="1"/>
          <w:bCs w:val="1"/>
          <w:color w:val="auto"/>
        </w:rPr>
        <w:t xml:space="preserve"> </w:t>
      </w:r>
      <w:r>
        <w:rPr>
          <w:rFonts w:ascii="Arial" w:cs="Arial" w:eastAsia="Arial" w:hAnsi="Arial"/>
          <w:sz w:val="19"/>
          <w:szCs w:val="19"/>
          <w:color w:val="auto"/>
        </w:rPr>
        <w:t>to receipt of, any of the Severance Benefits, the Executive must execute a general waiver and release and return such release to the Company within the time period specified therein, but in no event more than forty-five (45) days following the date of the Covered Termination, and such release must become effective in accordance with its terms but in all cases not later than the sixtieth (60th) day following the Covered Termination. No release shall require the Executive to forego any unpaid salary, any accrued but unpaid vacation pay, or any vested or earned benefits payable pursuant to the Executive’s Employment Agreement or by law. The Company, in its sole discretion, may modify the form of the required release to comply with applicable law and shall determine the form of the required release. In</w:t>
      </w:r>
    </w:p>
    <w:p>
      <w:pPr>
        <w:sectPr>
          <w:pgSz w:w="11900" w:h="16838" w:orient="portrait"/>
          <w:cols w:equalWidth="0" w:num="1">
            <w:col w:w="11088"/>
          </w:cols>
          <w:pgMar w:left="572" w:top="631" w:right="239" w:bottom="1440" w:gutter="0" w:footer="0" w:header="0"/>
        </w:sectPr>
      </w:pPr>
    </w:p>
    <w:bookmarkStart w:id="390" w:name="page391"/>
    <w:bookmarkEnd w:id="390"/>
    <w:p>
      <w:pPr>
        <w:ind w:left="320"/>
        <w:spacing w:after="0" w:line="263" w:lineRule="auto"/>
        <w:rPr>
          <w:sz w:val="20"/>
          <w:szCs w:val="20"/>
          <w:color w:val="auto"/>
        </w:rPr>
      </w:pPr>
      <w:r>
        <w:rPr>
          <w:rFonts w:ascii="Arial" w:cs="Arial" w:eastAsia="Arial" w:hAnsi="Arial"/>
          <w:sz w:val="22"/>
          <w:szCs w:val="22"/>
          <w:color w:val="auto"/>
        </w:rPr>
        <w:t>addition to such release, Executive also must return all property of the Company or an Affiliate which Executive has in his possession or control.</w:t>
      </w:r>
    </w:p>
    <w:p>
      <w:pPr>
        <w:spacing w:after="0" w:line="209" w:lineRule="exact"/>
        <w:rPr>
          <w:sz w:val="20"/>
          <w:szCs w:val="20"/>
          <w:color w:val="auto"/>
        </w:rPr>
      </w:pPr>
    </w:p>
    <w:p>
      <w:pPr>
        <w:jc w:val="both"/>
        <w:ind w:left="320" w:hanging="320"/>
        <w:spacing w:after="0" w:line="248" w:lineRule="auto"/>
        <w:tabs>
          <w:tab w:leader="none" w:pos="320" w:val="left"/>
        </w:tabs>
        <w:numPr>
          <w:ilvl w:val="0"/>
          <w:numId w:val="362"/>
        </w:numPr>
        <w:rPr>
          <w:rFonts w:ascii="Arial" w:cs="Arial" w:eastAsia="Arial" w:hAnsi="Arial"/>
          <w:sz w:val="22"/>
          <w:szCs w:val="22"/>
          <w:color w:val="auto"/>
        </w:rPr>
      </w:pPr>
      <w:r>
        <w:rPr>
          <w:rFonts w:ascii="Arial" w:cs="Arial" w:eastAsia="Arial" w:hAnsi="Arial"/>
          <w:sz w:val="22"/>
          <w:szCs w:val="22"/>
          <w:b w:val="1"/>
          <w:bCs w:val="1"/>
          <w:color w:val="auto"/>
        </w:rPr>
        <w:t xml:space="preserve">Mitigation: </w:t>
      </w:r>
      <w:r>
        <w:rPr>
          <w:rFonts w:ascii="Arial" w:cs="Arial" w:eastAsia="Arial" w:hAnsi="Arial"/>
          <w:sz w:val="22"/>
          <w:szCs w:val="22"/>
          <w:color w:val="auto"/>
        </w:rPr>
        <w:t>The Executive shall not be required to mitigate damages as a condition of the Severance Benefits by</w:t>
      </w:r>
      <w:r>
        <w:rPr>
          <w:rFonts w:ascii="Arial" w:cs="Arial" w:eastAsia="Arial" w:hAnsi="Arial"/>
          <w:sz w:val="22"/>
          <w:szCs w:val="22"/>
          <w:b w:val="1"/>
          <w:bCs w:val="1"/>
          <w:color w:val="auto"/>
        </w:rPr>
        <w:t xml:space="preserve"> </w:t>
      </w:r>
      <w:r>
        <w:rPr>
          <w:rFonts w:ascii="Arial" w:cs="Arial" w:eastAsia="Arial" w:hAnsi="Arial"/>
          <w:sz w:val="22"/>
          <w:szCs w:val="22"/>
          <w:color w:val="auto"/>
        </w:rPr>
        <w:t>seeking other employment or otherwise. Similarly, no amount of the Severance Benefits shall be reduced by any compensation earned by the Executive as a result of employment by another employer or any retirement, death, or disability benefits received by such Executive (or his estate) after the date of the Executive’s termination of employment with the Company or an Affiliate, except for Severance Benefits relating to payments for health continuation coverage as provided above.</w:t>
      </w:r>
    </w:p>
    <w:p>
      <w:pPr>
        <w:spacing w:after="0" w:line="227" w:lineRule="exact"/>
        <w:rPr>
          <w:rFonts w:ascii="Arial" w:cs="Arial" w:eastAsia="Arial" w:hAnsi="Arial"/>
          <w:sz w:val="22"/>
          <w:szCs w:val="22"/>
          <w:color w:val="auto"/>
        </w:rPr>
      </w:pPr>
    </w:p>
    <w:p>
      <w:pPr>
        <w:jc w:val="both"/>
        <w:ind w:left="320" w:hanging="320"/>
        <w:spacing w:after="0" w:line="252" w:lineRule="auto"/>
        <w:tabs>
          <w:tab w:leader="none" w:pos="320" w:val="left"/>
        </w:tabs>
        <w:numPr>
          <w:ilvl w:val="0"/>
          <w:numId w:val="362"/>
        </w:numPr>
        <w:rPr>
          <w:rFonts w:ascii="Arial" w:cs="Arial" w:eastAsia="Arial" w:hAnsi="Arial"/>
          <w:sz w:val="22"/>
          <w:szCs w:val="22"/>
          <w:color w:val="auto"/>
        </w:rPr>
      </w:pPr>
      <w:r>
        <w:rPr>
          <w:rFonts w:ascii="Arial" w:cs="Arial" w:eastAsia="Arial" w:hAnsi="Arial"/>
          <w:sz w:val="22"/>
          <w:szCs w:val="22"/>
          <w:b w:val="1"/>
          <w:bCs w:val="1"/>
          <w:color w:val="auto"/>
        </w:rPr>
        <w:t xml:space="preserve">Tax Withholding, Contributions: </w:t>
      </w:r>
      <w:r>
        <w:rPr>
          <w:rFonts w:ascii="Arial" w:cs="Arial" w:eastAsia="Arial" w:hAnsi="Arial"/>
          <w:sz w:val="22"/>
          <w:szCs w:val="22"/>
          <w:color w:val="auto"/>
        </w:rPr>
        <w:t>All payments under this Schedule will be subject to all applicable deductions and</w:t>
      </w:r>
      <w:r>
        <w:rPr>
          <w:rFonts w:ascii="Arial" w:cs="Arial" w:eastAsia="Arial" w:hAnsi="Arial"/>
          <w:sz w:val="22"/>
          <w:szCs w:val="22"/>
          <w:b w:val="1"/>
          <w:bCs w:val="1"/>
          <w:color w:val="auto"/>
        </w:rPr>
        <w:t xml:space="preserve"> </w:t>
      </w:r>
      <w:r>
        <w:rPr>
          <w:rFonts w:ascii="Arial" w:cs="Arial" w:eastAsia="Arial" w:hAnsi="Arial"/>
          <w:sz w:val="22"/>
          <w:szCs w:val="22"/>
          <w:color w:val="auto"/>
        </w:rPr>
        <w:t>withholdings of tax, PRSI, Universal Social Charge, and any other deductions which are required pursuant to the terms of the Executive's employment or by law, or which are provided for in the Executive's Employment Agreement and/or this Schedule.</w:t>
      </w:r>
    </w:p>
    <w:p>
      <w:pPr>
        <w:spacing w:after="0" w:line="220" w:lineRule="exact"/>
        <w:rPr>
          <w:rFonts w:ascii="Arial" w:cs="Arial" w:eastAsia="Arial" w:hAnsi="Arial"/>
          <w:sz w:val="22"/>
          <w:szCs w:val="22"/>
          <w:color w:val="auto"/>
        </w:rPr>
      </w:pPr>
    </w:p>
    <w:p>
      <w:pPr>
        <w:jc w:val="both"/>
        <w:ind w:left="320" w:hanging="320"/>
        <w:spacing w:after="0" w:line="262" w:lineRule="auto"/>
        <w:tabs>
          <w:tab w:leader="none" w:pos="320" w:val="left"/>
        </w:tabs>
        <w:numPr>
          <w:ilvl w:val="0"/>
          <w:numId w:val="362"/>
        </w:numPr>
        <w:rPr>
          <w:rFonts w:ascii="Arial" w:cs="Arial" w:eastAsia="Arial" w:hAnsi="Arial"/>
          <w:sz w:val="21"/>
          <w:szCs w:val="21"/>
          <w:color w:val="auto"/>
        </w:rPr>
      </w:pPr>
      <w:r>
        <w:rPr>
          <w:rFonts w:ascii="Arial" w:cs="Arial" w:eastAsia="Arial" w:hAnsi="Arial"/>
          <w:sz w:val="21"/>
          <w:szCs w:val="21"/>
          <w:b w:val="1"/>
          <w:bCs w:val="1"/>
          <w:color w:val="auto"/>
        </w:rPr>
        <w:t xml:space="preserve">Application of Section 252 and 253 of the Companies Act: </w:t>
      </w:r>
      <w:r>
        <w:rPr>
          <w:rFonts w:ascii="Arial" w:cs="Arial" w:eastAsia="Arial" w:hAnsi="Arial"/>
          <w:sz w:val="21"/>
          <w:szCs w:val="21"/>
          <w:color w:val="auto"/>
        </w:rPr>
        <w:t>This Schedule is entered into for the benefit of</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in the ordinary course of his employment. It is not intended to provide for any payment by way of compensation for loss of office or consideration for or in connection with the retirement from office of a director of the Company in connection with the transfer of the whole or any part of the undertaking or property of the Company within the meaning of Section 252 of the Companies Act nor to provide for a payment giving rise to a duty of a director of the Company pursuant to Section 253 of the Companies Act.</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4840" w:type="dxa"/>
            <w:vAlign w:val="bottom"/>
            <w:gridSpan w:val="2"/>
          </w:tcPr>
          <w:p>
            <w:pPr>
              <w:ind w:left="20"/>
              <w:spacing w:after="0"/>
              <w:rPr>
                <w:sz w:val="20"/>
                <w:szCs w:val="20"/>
                <w:color w:val="auto"/>
              </w:rPr>
            </w:pPr>
            <w:r>
              <w:rPr>
                <w:rFonts w:ascii="Arial" w:cs="Arial" w:eastAsia="Arial" w:hAnsi="Arial"/>
                <w:sz w:val="22"/>
                <w:szCs w:val="22"/>
                <w:b w:val="1"/>
                <w:bCs w:val="1"/>
                <w:color w:val="auto"/>
              </w:rPr>
              <w:t>Jazz Pharmaceuticals Ireland Ltd.</w:t>
            </w:r>
          </w:p>
        </w:tc>
        <w:tc>
          <w:tcPr>
            <w:tcW w:w="30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Arial" w:cs="Arial" w:eastAsia="Arial" w:hAnsi="Arial"/>
                <w:sz w:val="22"/>
                <w:szCs w:val="22"/>
                <w:b w:val="1"/>
                <w:bCs w:val="1"/>
                <w:color w:val="auto"/>
              </w:rPr>
              <w:t>Executive</w:t>
            </w:r>
          </w:p>
        </w:tc>
      </w:tr>
      <w:tr>
        <w:trPr>
          <w:trHeight w:val="956"/>
        </w:trPr>
        <w:tc>
          <w:tcPr>
            <w:tcW w:w="48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Shawn Mindus</w:t>
            </w:r>
          </w:p>
        </w:tc>
        <w:tc>
          <w:tcPr>
            <w:tcW w:w="300" w:type="dxa"/>
            <w:vAlign w:val="bottom"/>
          </w:tcPr>
          <w:p>
            <w:pPr>
              <w:spacing w:after="0"/>
              <w:rPr>
                <w:sz w:val="24"/>
                <w:szCs w:val="24"/>
                <w:color w:val="auto"/>
              </w:rPr>
            </w:pPr>
          </w:p>
        </w:tc>
        <w:tc>
          <w:tcPr>
            <w:tcW w:w="490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Paul Treacy</w:t>
            </w:r>
          </w:p>
        </w:tc>
      </w:tr>
      <w:tr>
        <w:trPr>
          <w:trHeight w:val="281"/>
        </w:trPr>
        <w:tc>
          <w:tcPr>
            <w:tcW w:w="4840" w:type="dxa"/>
            <w:vAlign w:val="bottom"/>
            <w:gridSpan w:val="2"/>
          </w:tcPr>
          <w:p>
            <w:pPr>
              <w:ind w:left="20"/>
              <w:spacing w:after="0"/>
              <w:rPr>
                <w:sz w:val="20"/>
                <w:szCs w:val="20"/>
                <w:color w:val="auto"/>
              </w:rPr>
            </w:pPr>
            <w:r>
              <w:rPr>
                <w:rFonts w:ascii="Arial" w:cs="Arial" w:eastAsia="Arial" w:hAnsi="Arial"/>
                <w:sz w:val="22"/>
                <w:szCs w:val="22"/>
                <w:b w:val="1"/>
                <w:bCs w:val="1"/>
                <w:color w:val="auto"/>
              </w:rPr>
              <w:t>Shawn Mindus</w:t>
            </w:r>
          </w:p>
        </w:tc>
        <w:tc>
          <w:tcPr>
            <w:tcW w:w="30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Arial" w:cs="Arial" w:eastAsia="Arial" w:hAnsi="Arial"/>
                <w:sz w:val="22"/>
                <w:szCs w:val="22"/>
                <w:b w:val="1"/>
                <w:bCs w:val="1"/>
                <w:color w:val="auto"/>
              </w:rPr>
              <w:t>Paul Treacy</w:t>
            </w:r>
          </w:p>
        </w:tc>
      </w:tr>
      <w:tr>
        <w:trPr>
          <w:trHeight w:val="297"/>
        </w:trPr>
        <w:tc>
          <w:tcPr>
            <w:tcW w:w="4840" w:type="dxa"/>
            <w:vAlign w:val="bottom"/>
            <w:gridSpan w:val="2"/>
          </w:tcPr>
          <w:p>
            <w:pPr>
              <w:ind w:left="20"/>
              <w:spacing w:after="0"/>
              <w:rPr>
                <w:sz w:val="20"/>
                <w:szCs w:val="20"/>
                <w:color w:val="auto"/>
              </w:rPr>
            </w:pPr>
            <w:r>
              <w:rPr>
                <w:rFonts w:ascii="Arial" w:cs="Arial" w:eastAsia="Arial" w:hAnsi="Arial"/>
                <w:sz w:val="22"/>
                <w:szCs w:val="22"/>
                <w:color w:val="auto"/>
              </w:rPr>
              <w:t>Director</w:t>
            </w:r>
          </w:p>
        </w:tc>
        <w:tc>
          <w:tcPr>
            <w:tcW w:w="30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Arial" w:cs="Arial" w:eastAsia="Arial" w:hAnsi="Arial"/>
                <w:sz w:val="22"/>
                <w:szCs w:val="22"/>
                <w:color w:val="auto"/>
              </w:rPr>
              <w:t>Senior Vice President, Technical Operations</w:t>
            </w:r>
          </w:p>
        </w:tc>
      </w:tr>
      <w:tr>
        <w:trPr>
          <w:trHeight w:val="630"/>
        </w:trPr>
        <w:tc>
          <w:tcPr>
            <w:tcW w:w="4840" w:type="dxa"/>
            <w:vAlign w:val="bottom"/>
            <w:gridSpan w:val="2"/>
          </w:tcPr>
          <w:p>
            <w:pPr>
              <w:ind w:left="20"/>
              <w:spacing w:after="0"/>
              <w:rPr>
                <w:sz w:val="20"/>
                <w:szCs w:val="20"/>
                <w:color w:val="auto"/>
              </w:rPr>
            </w:pPr>
            <w:r>
              <w:rPr>
                <w:rFonts w:ascii="Arial" w:cs="Arial" w:eastAsia="Arial" w:hAnsi="Arial"/>
                <w:sz w:val="22"/>
                <w:szCs w:val="22"/>
                <w:color w:val="auto"/>
              </w:rPr>
              <w:t>Date:  4 - May - 16</w:t>
            </w:r>
          </w:p>
        </w:tc>
        <w:tc>
          <w:tcPr>
            <w:tcW w:w="30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Arial" w:cs="Arial" w:eastAsia="Arial" w:hAnsi="Arial"/>
                <w:sz w:val="22"/>
                <w:szCs w:val="22"/>
                <w:color w:val="auto"/>
              </w:rPr>
              <w:t>Date:  05 May 2016</w:t>
            </w:r>
          </w:p>
        </w:tc>
      </w:tr>
      <w:tr>
        <w:trPr>
          <w:trHeight w:val="22"/>
        </w:trPr>
        <w:tc>
          <w:tcPr>
            <w:tcW w:w="600" w:type="dxa"/>
            <w:vAlign w:val="bottom"/>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r>
    </w:tbl>
    <w:p>
      <w:pPr>
        <w:sectPr>
          <w:pgSz w:w="11900" w:h="16838" w:orient="portrait"/>
          <w:cols w:equalWidth="0" w:num="1">
            <w:col w:w="10440"/>
          </w:cols>
          <w:pgMar w:left="1220" w:top="631" w:right="239" w:bottom="1440" w:gutter="0" w:footer="0" w:header="0"/>
        </w:sectPr>
      </w:pPr>
    </w:p>
    <w:bookmarkStart w:id="391" w:name="page392"/>
    <w:bookmarkEnd w:id="391"/>
    <w:p>
      <w:pPr>
        <w:jc w:val="right"/>
        <w:spacing w:after="0"/>
        <w:rPr>
          <w:sz w:val="20"/>
          <w:szCs w:val="20"/>
          <w:color w:val="auto"/>
        </w:rPr>
      </w:pPr>
      <w:r>
        <w:rPr>
          <w:rFonts w:ascii="Arial" w:cs="Arial" w:eastAsia="Arial" w:hAnsi="Arial"/>
          <w:sz w:val="22"/>
          <w:szCs w:val="22"/>
          <w:b w:val="1"/>
          <w:bCs w:val="1"/>
          <w:color w:val="auto"/>
        </w:rPr>
        <w:t>Exhibit 10.4</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[JAZZ PHARMACEUTICALS LETTERHEAD]</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PERSONAL, PRIVATE AND CONFIDENTIAL</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2 May 2016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Paul Treacy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Change in Control Stock Award Acceleration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Dear Paul:</w:t>
      </w:r>
    </w:p>
    <w:p>
      <w:pPr>
        <w:spacing w:after="0" w:line="173"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This letter agreement (“</w:t>
      </w:r>
      <w:r>
        <w:rPr>
          <w:rFonts w:ascii="Arial" w:cs="Arial" w:eastAsia="Arial" w:hAnsi="Arial"/>
          <w:sz w:val="21"/>
          <w:szCs w:val="21"/>
          <w:b w:val="1"/>
          <w:bCs w:val="1"/>
          <w:color w:val="auto"/>
        </w:rPr>
        <w:t>Agreement</w:t>
      </w:r>
      <w:r>
        <w:rPr>
          <w:rFonts w:ascii="Arial" w:cs="Arial" w:eastAsia="Arial" w:hAnsi="Arial"/>
          <w:sz w:val="21"/>
          <w:szCs w:val="21"/>
          <w:color w:val="auto"/>
        </w:rPr>
        <w:t>”) sets forth the terms and conditions for accelerated vesting of your Stock Awards under certain circumstances. Terms not defined in this Agreement shall have the definitions set forth in the Amended and Restated Schedule 1 to your Terms and Conditions of Employment which is effective as of 15 May 2016 (the “</w:t>
      </w:r>
      <w:r>
        <w:rPr>
          <w:rFonts w:ascii="Arial" w:cs="Arial" w:eastAsia="Arial" w:hAnsi="Arial"/>
          <w:sz w:val="21"/>
          <w:szCs w:val="21"/>
          <w:b w:val="1"/>
          <w:bCs w:val="1"/>
          <w:color w:val="auto"/>
        </w:rPr>
        <w:t>Schedule</w:t>
      </w:r>
      <w:r>
        <w:rPr>
          <w:rFonts w:ascii="Arial" w:cs="Arial" w:eastAsia="Arial" w:hAnsi="Arial"/>
          <w:sz w:val="21"/>
          <w:szCs w:val="21"/>
          <w:color w:val="auto"/>
        </w:rPr>
        <w:t>”).</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1.  Accelerated Vesting of Stock Awards.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If you are subject to a Covered Termination which is effective on or within twelve (12) months following a Change in Control, and you meet all requirements for receipt of the Severance Benefits under the Schedule (including but not limited to the requirement to execute and return a release), the following shall apply: the vesting (and exercisability, if applicable) of all outstanding options to purchase the Company’s ordinary shares, stock appreciation rights or similar rights or other rights with respect to the Company’s ordinary shares, and any other stock awards granted to you pursuant to any equity incentive plan of the Company, including but not limited to restricted stock units (collectively, the "</w:t>
      </w:r>
      <w:r>
        <w:rPr>
          <w:rFonts w:ascii="Arial" w:cs="Arial" w:eastAsia="Arial" w:hAnsi="Arial"/>
          <w:sz w:val="22"/>
          <w:szCs w:val="22"/>
          <w:b w:val="1"/>
          <w:bCs w:val="1"/>
          <w:color w:val="auto"/>
        </w:rPr>
        <w:t>Stock Awards</w:t>
      </w:r>
      <w:r>
        <w:rPr>
          <w:rFonts w:ascii="Arial" w:cs="Arial" w:eastAsia="Arial" w:hAnsi="Arial"/>
          <w:sz w:val="22"/>
          <w:szCs w:val="22"/>
          <w:color w:val="auto"/>
        </w:rPr>
        <w:t>"), that are held by you on the date of your Covered Termination shall be accelerated in full.</w:t>
      </w:r>
    </w:p>
    <w:p>
      <w:pPr>
        <w:spacing w:after="0" w:line="15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vesting (and exercisability, if applicable) of any Stock Award which shall be accelerated pursuant to this Agreement shall occur on the sixtieth (60th) day following the date of your Covered Termination. Notwithstanding anything to the contrary set forth in any applicable equity incentive plan of the Company or any agreement evidencing a Stock Award, in the event of your Covered Termination (and in order to give effect to the intent of this provision), in no event will any portion of your Stock Award be forfeited or terminate any earlier than the sixtieth (60th) day following the date of your Covered Termination.</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2.  Governing Law.</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Stock Award and the provisions of this Agreement are governed by, and subject to, the laws of the State of Delaware, without regard to the conflict of law provisions.</w:t>
      </w:r>
    </w:p>
    <w:p>
      <w:pPr>
        <w:sectPr>
          <w:pgSz w:w="11900" w:h="16838" w:orient="portrait"/>
          <w:cols w:equalWidth="0" w:num="1">
            <w:col w:w="11420"/>
          </w:cols>
          <w:pgMar w:left="240" w:top="625" w:right="239" w:bottom="1440" w:gutter="0" w:footer="0" w:header="0"/>
        </w:sectPr>
      </w:pPr>
    </w:p>
    <w:bookmarkStart w:id="392" w:name="page393"/>
    <w:bookmarkEnd w:id="392"/>
    <w:p>
      <w:pPr>
        <w:jc w:val="both"/>
        <w:spacing w:after="0" w:line="250" w:lineRule="auto"/>
        <w:rPr>
          <w:sz w:val="20"/>
          <w:szCs w:val="20"/>
          <w:color w:val="auto"/>
        </w:rPr>
      </w:pPr>
      <w:r>
        <w:rPr>
          <w:rFonts w:ascii="Arial" w:cs="Arial" w:eastAsia="Arial" w:hAnsi="Arial"/>
          <w:sz w:val="22"/>
          <w:szCs w:val="22"/>
          <w:color w:val="auto"/>
        </w:rPr>
        <w:t>For purposes of any action, lawsuit or other proceedings brought to enforce this Agreement, relating to it, or arising from it, the parties hereby submit to and consent to the sole and exclusive jurisdiction of the courts of Santa Clara County, California, or the federal courts for the United States for the Northern District of California, and no other courts, where this grant is made and/or to be performed.</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3.  Miscellaneous.</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accelerated vesting provided under this Agreement is in addition to, and does not replace or otherwise affect any provision in any applicable equity incentive plan of the Company or any agreement evidencing a Stock Award that provides for the acceleration of vesting (and exercisability, if applicable) of such Stock Award. This Agreement, the applicable equity incentive plan, and award agreement under which each Stock Award is granted, are the complete and exclusive agreement of the parties concerning this subject matter, and any modifications to this Agreement must be memorialized in a written agreement signed by both parties.</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color w:val="auto"/>
        </w:rPr>
        <w:t>This Agreement is effective as of 15 May 2016, provided that it is fully signed by you and Jazz Pharmaceuticals plc as of such date.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Please sign and date this Agreement in the space provided below no later than 13 May, and return it to me at your earliest convenience. If you have any questions, please let me know.</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JAZZ PHARMACEUTICALS PLC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Heather P. McGaughey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13880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Heather McGaughey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Senior Vice President, Human Resources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Reviewed, understood and agreed: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Paul Treacy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13880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Paul Treacy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Senior Vice President, Technical Operations</w:t>
      </w:r>
    </w:p>
    <w:p>
      <w:pPr>
        <w:spacing w:after="0" w:line="368"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22"/>
          <w:szCs w:val="22"/>
          <w:color w:val="auto"/>
        </w:rPr>
        <w:t>Date:</w:t>
        <w:tab/>
        <w:t>05 May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24765</wp:posOffset>
            </wp:positionV>
            <wp:extent cx="26930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20"/>
          </w:cols>
          <w:pgMar w:left="240" w:top="631" w:right="239" w:bottom="1440" w:gutter="0" w:footer="0" w:header="0"/>
        </w:sectPr>
      </w:pPr>
    </w:p>
    <w:bookmarkStart w:id="393" w:name="page394"/>
    <w:bookmarkEnd w:id="393"/>
    <w:p>
      <w:pPr>
        <w:jc w:val="right"/>
        <w:spacing w:after="0"/>
        <w:rPr>
          <w:sz w:val="20"/>
          <w:szCs w:val="20"/>
          <w:color w:val="auto"/>
        </w:rPr>
      </w:pPr>
      <w:r>
        <w:rPr>
          <w:rFonts w:ascii="Arial" w:cs="Arial" w:eastAsia="Arial" w:hAnsi="Arial"/>
          <w:sz w:val="22"/>
          <w:szCs w:val="22"/>
          <w:b w:val="1"/>
          <w:bCs w:val="1"/>
          <w:color w:val="auto"/>
        </w:rPr>
        <w:t>Exhibit 10.5</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[JAZZ PHARMACEUTICALS LETTERHEAD]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PERSONAL, PRIVATE AND CONFIDENTIAL</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2 May 2016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Iain McGill</w:t>
      </w:r>
    </w:p>
    <w:p>
      <w:pPr>
        <w:spacing w:after="0" w:line="200" w:lineRule="exact"/>
        <w:rPr>
          <w:sz w:val="20"/>
          <w:szCs w:val="20"/>
          <w:color w:val="auto"/>
        </w:rPr>
      </w:pPr>
    </w:p>
    <w:p>
      <w:pPr>
        <w:spacing w:after="0" w:line="284" w:lineRule="exact"/>
        <w:rPr>
          <w:sz w:val="20"/>
          <w:szCs w:val="20"/>
          <w:color w:val="auto"/>
        </w:rPr>
      </w:pPr>
    </w:p>
    <w:p>
      <w:pPr>
        <w:ind w:right="5500"/>
        <w:spacing w:after="0" w:line="412" w:lineRule="auto"/>
        <w:rPr>
          <w:sz w:val="20"/>
          <w:szCs w:val="20"/>
          <w:color w:val="auto"/>
        </w:rPr>
      </w:pPr>
      <w:r>
        <w:rPr>
          <w:rFonts w:ascii="Arial" w:cs="Arial" w:eastAsia="Arial" w:hAnsi="Arial"/>
          <w:sz w:val="22"/>
          <w:szCs w:val="22"/>
          <w:b w:val="1"/>
          <w:bCs w:val="1"/>
          <w:color w:val="auto"/>
        </w:rPr>
        <w:t xml:space="preserve">Re: Amended and Restated Change in Control Severance Terms </w:t>
      </w:r>
      <w:r>
        <w:rPr>
          <w:rFonts w:ascii="Arial" w:cs="Arial" w:eastAsia="Arial" w:hAnsi="Arial"/>
          <w:sz w:val="22"/>
          <w:szCs w:val="22"/>
          <w:color w:val="auto"/>
        </w:rPr>
        <w:t>Dear Iain:</w:t>
      </w:r>
    </w:p>
    <w:p>
      <w:pPr>
        <w:spacing w:after="0" w:line="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As was discussed with you, the Jazz Compensation Committee recently approved an updated Executive Change in Control and Severance Benefit Plan (the “</w:t>
      </w:r>
      <w:r>
        <w:rPr>
          <w:rFonts w:ascii="Arial" w:cs="Arial" w:eastAsia="Arial" w:hAnsi="Arial"/>
          <w:sz w:val="19"/>
          <w:szCs w:val="19"/>
          <w:b w:val="1"/>
          <w:bCs w:val="1"/>
          <w:color w:val="auto"/>
        </w:rPr>
        <w:t>Change in Control Plan</w:t>
      </w:r>
      <w:r>
        <w:rPr>
          <w:rFonts w:ascii="Arial" w:cs="Arial" w:eastAsia="Arial" w:hAnsi="Arial"/>
          <w:sz w:val="19"/>
          <w:szCs w:val="19"/>
          <w:color w:val="auto"/>
        </w:rPr>
        <w:t>”) that provides eligibility for severance benefits to certain designated employees in the United States in the event of covered terminations of employment within twelve (12) months following a Change in Control. These updates to the Change in Control Plan included, but were not limited to, modifications to the definition of “Cause,” broadening the definitions of “Good Reason” and “Change in Control” in ways that provide greater protection to Participants, and expanding the definition of “Covered Termination” to include terminations due to disability or death. The level of severance benefits provided under the Change in Control Plan has remained the same.</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Because the Change in Control Plan does not apply to non-U.S. employees, your employment agreement (the “</w:t>
      </w:r>
      <w:r>
        <w:rPr>
          <w:rFonts w:ascii="Arial" w:cs="Arial" w:eastAsia="Arial" w:hAnsi="Arial"/>
          <w:sz w:val="21"/>
          <w:szCs w:val="21"/>
          <w:b w:val="1"/>
          <w:bCs w:val="1"/>
          <w:color w:val="auto"/>
        </w:rPr>
        <w:t>Employment</w:t>
      </w:r>
      <w:r>
        <w:rPr>
          <w:rFonts w:ascii="Arial" w:cs="Arial" w:eastAsia="Arial" w:hAnsi="Arial"/>
          <w:sz w:val="21"/>
          <w:szCs w:val="21"/>
          <w:color w:val="auto"/>
        </w:rPr>
        <w:t xml:space="preserve"> </w:t>
      </w:r>
      <w:r>
        <w:rPr>
          <w:rFonts w:ascii="Arial" w:cs="Arial" w:eastAsia="Arial" w:hAnsi="Arial"/>
          <w:sz w:val="21"/>
          <w:szCs w:val="21"/>
          <w:b w:val="1"/>
          <w:bCs w:val="1"/>
          <w:color w:val="auto"/>
        </w:rPr>
        <w:t>Agreement</w:t>
      </w:r>
      <w:r>
        <w:rPr>
          <w:rFonts w:ascii="Arial" w:cs="Arial" w:eastAsia="Arial" w:hAnsi="Arial"/>
          <w:sz w:val="21"/>
          <w:szCs w:val="21"/>
          <w:color w:val="auto"/>
        </w:rPr>
        <w:t>”) was amended previously to provide equivalent cash severance benefits in the event of a covered termination within</w:t>
      </w:r>
      <w:r>
        <w:rPr>
          <w:rFonts w:ascii="Arial" w:cs="Arial" w:eastAsia="Arial" w:hAnsi="Arial"/>
          <w:sz w:val="21"/>
          <w:szCs w:val="21"/>
          <w:b w:val="1"/>
          <w:bCs w:val="1"/>
          <w:color w:val="auto"/>
        </w:rPr>
        <w:t xml:space="preserve"> </w:t>
      </w:r>
      <w:r>
        <w:rPr>
          <w:rFonts w:ascii="Arial" w:cs="Arial" w:eastAsia="Arial" w:hAnsi="Arial"/>
          <w:sz w:val="21"/>
          <w:szCs w:val="21"/>
          <w:color w:val="auto"/>
        </w:rPr>
        <w:t>twelve (12) months following a Change in Control. This was accomplished by adding Schedule 3 to your Employment Agreement, which contains the Change in Control severance terms. We are now proposing to amend and restate your Schedule 3 in order to incorporate the relevant updates from the Change in Control Plan into your Change in Control severance terms. As noted above, the level of severance benefits is unchanged. Enclosed is the proposed Amended and Restated Schedule 3 which will entirely replace your current Schedule 3. In all other respects, the remaining terms and conditions set forth in your Employment Agreement are unaffected and shall continue in effect.</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To accept the Amended and Restated Schedule 3, please sign and date it in the relevant signature block at the end, and return the fully signed original to me at your earliest convenience and by no later than 13 May 2016. Do not hesitate to let me know if you have any questions.</w:t>
      </w:r>
    </w:p>
    <w:p>
      <w:pPr>
        <w:sectPr>
          <w:pgSz w:w="11900" w:h="16838" w:orient="portrait"/>
          <w:cols w:equalWidth="0" w:num="1">
            <w:col w:w="11420"/>
          </w:cols>
          <w:pgMar w:left="240" w:top="706" w:right="239" w:bottom="1440" w:gutter="0" w:footer="0" w:header="0"/>
        </w:sectPr>
      </w:pPr>
    </w:p>
    <w:bookmarkStart w:id="394" w:name="page395"/>
    <w:bookmarkEnd w:id="394"/>
    <w:p>
      <w:pPr>
        <w:spacing w:after="0"/>
        <w:rPr>
          <w:sz w:val="20"/>
          <w:szCs w:val="20"/>
          <w:color w:val="auto"/>
        </w:rPr>
      </w:pPr>
      <w:r>
        <w:rPr>
          <w:rFonts w:ascii="Arial" w:cs="Arial" w:eastAsia="Arial" w:hAnsi="Arial"/>
          <w:sz w:val="19"/>
          <w:szCs w:val="19"/>
          <w:color w:val="auto"/>
        </w:rPr>
        <w:t>I wish to also take this opportunity to thank you for your valuable contributions to Jazz.</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Best regards,</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Heather P. McGaughey</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Heather McGaughey</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 Human Resources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Encl.: Amended and Restated Schedule 3 to Employment Agreement</w:t>
      </w:r>
    </w:p>
    <w:p>
      <w:pPr>
        <w:sectPr>
          <w:pgSz w:w="11900" w:h="16838" w:orient="portrait"/>
          <w:cols w:equalWidth="0" w:num="1">
            <w:col w:w="10219"/>
          </w:cols>
          <w:pgMar w:left="240" w:top="604" w:right="1440" w:bottom="1440" w:gutter="0" w:footer="0" w:header="0"/>
        </w:sectPr>
      </w:pPr>
    </w:p>
    <w:bookmarkStart w:id="395" w:name="page396"/>
    <w:bookmarkEnd w:id="395"/>
    <w:p>
      <w:pPr>
        <w:jc w:val="center"/>
        <w:ind w:right="312"/>
        <w:spacing w:after="0"/>
        <w:rPr>
          <w:sz w:val="20"/>
          <w:szCs w:val="20"/>
          <w:color w:val="auto"/>
        </w:rPr>
      </w:pPr>
      <w:r>
        <w:rPr>
          <w:rFonts w:ascii="Arial" w:cs="Arial" w:eastAsia="Arial" w:hAnsi="Arial"/>
          <w:sz w:val="22"/>
          <w:szCs w:val="22"/>
          <w:b w:val="1"/>
          <w:bCs w:val="1"/>
          <w:color w:val="auto"/>
        </w:rPr>
        <w:t>AMENDED AND RESTATED SCHEDULE 3</w:t>
      </w:r>
    </w:p>
    <w:p>
      <w:pPr>
        <w:spacing w:after="0" w:line="233"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to Employment Agreement for Iain McGill</w:t>
      </w:r>
    </w:p>
    <w:p>
      <w:pPr>
        <w:spacing w:after="0" w:line="233"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Effective Date: 15 May 2016</w:t>
      </w:r>
    </w:p>
    <w:p>
      <w:pPr>
        <w:spacing w:after="0" w:line="233" w:lineRule="exact"/>
        <w:rPr>
          <w:sz w:val="20"/>
          <w:szCs w:val="20"/>
          <w:color w:val="auto"/>
        </w:rPr>
      </w:pPr>
    </w:p>
    <w:p>
      <w:pPr>
        <w:jc w:val="both"/>
        <w:ind w:left="328" w:hanging="328"/>
        <w:spacing w:after="0" w:line="315" w:lineRule="auto"/>
        <w:tabs>
          <w:tab w:leader="none" w:pos="328" w:val="left"/>
        </w:tabs>
        <w:numPr>
          <w:ilvl w:val="0"/>
          <w:numId w:val="363"/>
        </w:numPr>
        <w:rPr>
          <w:rFonts w:ascii="Arial" w:cs="Arial" w:eastAsia="Arial" w:hAnsi="Arial"/>
          <w:sz w:val="18"/>
          <w:szCs w:val="18"/>
          <w:color w:val="auto"/>
        </w:rPr>
      </w:pPr>
      <w:r>
        <w:rPr>
          <w:rFonts w:ascii="Arial" w:cs="Arial" w:eastAsia="Arial" w:hAnsi="Arial"/>
          <w:sz w:val="19"/>
          <w:szCs w:val="19"/>
          <w:b w:val="1"/>
          <w:bCs w:val="1"/>
          <w:color w:val="auto"/>
        </w:rPr>
        <w:t xml:space="preserve">Covered Termination: </w:t>
      </w:r>
      <w:r>
        <w:rPr>
          <w:rFonts w:ascii="Arial" w:cs="Arial" w:eastAsia="Arial" w:hAnsi="Arial"/>
          <w:sz w:val="19"/>
          <w:szCs w:val="19"/>
          <w:color w:val="auto"/>
        </w:rPr>
        <w:t>The Executive will be eligible for the severance benefits (the “</w:t>
      </w:r>
      <w:r>
        <w:rPr>
          <w:rFonts w:ascii="Arial" w:cs="Arial" w:eastAsia="Arial" w:hAnsi="Arial"/>
          <w:sz w:val="19"/>
          <w:szCs w:val="19"/>
          <w:b w:val="1"/>
          <w:bCs w:val="1"/>
          <w:color w:val="auto"/>
        </w:rPr>
        <w:t>Severance Benefits</w:t>
      </w:r>
      <w:r>
        <w:rPr>
          <w:rFonts w:ascii="Arial" w:cs="Arial" w:eastAsia="Arial" w:hAnsi="Arial"/>
          <w:sz w:val="19"/>
          <w:szCs w:val="19"/>
          <w:color w:val="auto"/>
        </w:rPr>
        <w:t>”) set forth in</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Amended and Restated Schedule 3 (the “</w:t>
      </w:r>
      <w:r>
        <w:rPr>
          <w:rFonts w:ascii="Arial" w:cs="Arial" w:eastAsia="Arial" w:hAnsi="Arial"/>
          <w:sz w:val="19"/>
          <w:szCs w:val="19"/>
          <w:b w:val="1"/>
          <w:bCs w:val="1"/>
          <w:color w:val="auto"/>
        </w:rPr>
        <w:t>Schedule</w:t>
      </w:r>
      <w:r>
        <w:rPr>
          <w:rFonts w:ascii="Arial" w:cs="Arial" w:eastAsia="Arial" w:hAnsi="Arial"/>
          <w:sz w:val="19"/>
          <w:szCs w:val="19"/>
          <w:color w:val="auto"/>
        </w:rPr>
        <w:t>”) in the event of a Covered Termination which is effective on or within twelve (12) months following a Change in Control, subject to the requirements set forth in this Schedule.</w:t>
      </w:r>
    </w:p>
    <w:p>
      <w:pPr>
        <w:spacing w:after="0" w:line="139" w:lineRule="exact"/>
        <w:rPr>
          <w:rFonts w:ascii="Arial" w:cs="Arial" w:eastAsia="Arial" w:hAnsi="Arial"/>
          <w:sz w:val="18"/>
          <w:szCs w:val="18"/>
          <w:color w:val="auto"/>
        </w:rPr>
      </w:pPr>
    </w:p>
    <w:p>
      <w:pPr>
        <w:ind w:left="328" w:hanging="328"/>
        <w:spacing w:after="0" w:line="269" w:lineRule="auto"/>
        <w:tabs>
          <w:tab w:leader="none" w:pos="328" w:val="left"/>
        </w:tabs>
        <w:numPr>
          <w:ilvl w:val="0"/>
          <w:numId w:val="363"/>
        </w:numPr>
        <w:rPr>
          <w:rFonts w:ascii="Arial" w:cs="Arial" w:eastAsia="Arial" w:hAnsi="Arial"/>
          <w:sz w:val="20"/>
          <w:szCs w:val="20"/>
          <w:color w:val="auto"/>
        </w:rPr>
      </w:pPr>
      <w:r>
        <w:rPr>
          <w:rFonts w:ascii="Arial" w:cs="Arial" w:eastAsia="Arial" w:hAnsi="Arial"/>
          <w:sz w:val="22"/>
          <w:szCs w:val="22"/>
          <w:b w:val="1"/>
          <w:bCs w:val="1"/>
          <w:color w:val="auto"/>
        </w:rPr>
        <w:t xml:space="preserve">Severance Benefits: </w:t>
      </w:r>
      <w:r>
        <w:rPr>
          <w:rFonts w:ascii="Arial" w:cs="Arial" w:eastAsia="Arial" w:hAnsi="Arial"/>
          <w:sz w:val="22"/>
          <w:szCs w:val="22"/>
          <w:color w:val="auto"/>
        </w:rPr>
        <w:t>The Severance Benefits will consist of a cash severance payment and payments for continued health</w:t>
      </w:r>
      <w:r>
        <w:rPr>
          <w:rFonts w:ascii="Arial" w:cs="Arial" w:eastAsia="Arial" w:hAnsi="Arial"/>
          <w:sz w:val="22"/>
          <w:szCs w:val="22"/>
          <w:b w:val="1"/>
          <w:bCs w:val="1"/>
          <w:color w:val="auto"/>
        </w:rPr>
        <w:t xml:space="preserve"> </w:t>
      </w:r>
      <w:r>
        <w:rPr>
          <w:rFonts w:ascii="Arial" w:cs="Arial" w:eastAsia="Arial" w:hAnsi="Arial"/>
          <w:sz w:val="22"/>
          <w:szCs w:val="22"/>
          <w:color w:val="auto"/>
        </w:rPr>
        <w:t>care insurance coverage, as follows:</w:t>
      </w:r>
    </w:p>
    <w:p>
      <w:pPr>
        <w:spacing w:after="0" w:line="175" w:lineRule="exact"/>
        <w:rPr>
          <w:rFonts w:ascii="Arial" w:cs="Arial" w:eastAsia="Arial" w:hAnsi="Arial"/>
          <w:sz w:val="20"/>
          <w:szCs w:val="20"/>
          <w:color w:val="auto"/>
        </w:rPr>
      </w:pPr>
    </w:p>
    <w:p>
      <w:pPr>
        <w:ind w:left="968" w:hanging="320"/>
        <w:spacing w:after="0"/>
        <w:tabs>
          <w:tab w:leader="none" w:pos="968" w:val="left"/>
        </w:tabs>
        <w:numPr>
          <w:ilvl w:val="1"/>
          <w:numId w:val="363"/>
        </w:numPr>
        <w:rPr>
          <w:rFonts w:ascii="Arial" w:cs="Arial" w:eastAsia="Arial" w:hAnsi="Arial"/>
          <w:sz w:val="18"/>
          <w:szCs w:val="18"/>
          <w:color w:val="auto"/>
        </w:rPr>
      </w:pPr>
      <w:r>
        <w:rPr>
          <w:rFonts w:ascii="Arial" w:cs="Arial" w:eastAsia="Arial" w:hAnsi="Arial"/>
          <w:sz w:val="19"/>
          <w:szCs w:val="19"/>
          <w:b w:val="1"/>
          <w:bCs w:val="1"/>
          <w:color w:val="auto"/>
        </w:rPr>
        <w:t xml:space="preserve">Cash Severance Benefits: </w:t>
      </w:r>
      <w:r>
        <w:rPr>
          <w:rFonts w:ascii="Arial" w:cs="Arial" w:eastAsia="Arial" w:hAnsi="Arial"/>
          <w:sz w:val="19"/>
          <w:szCs w:val="19"/>
          <w:color w:val="auto"/>
        </w:rPr>
        <w:t>A lump sum cash severance payment will be paid to the Executive in an amount equal to</w:t>
      </w:r>
    </w:p>
    <w:p>
      <w:pPr>
        <w:spacing w:after="0" w:line="62" w:lineRule="exact"/>
        <w:rPr>
          <w:rFonts w:ascii="Arial" w:cs="Arial" w:eastAsia="Arial" w:hAnsi="Arial"/>
          <w:sz w:val="18"/>
          <w:szCs w:val="18"/>
          <w:color w:val="auto"/>
        </w:rPr>
      </w:pPr>
    </w:p>
    <w:p>
      <w:pPr>
        <w:jc w:val="both"/>
        <w:ind w:left="968"/>
        <w:spacing w:after="0" w:line="256" w:lineRule="auto"/>
        <w:rPr>
          <w:rFonts w:ascii="Arial" w:cs="Arial" w:eastAsia="Arial" w:hAnsi="Arial"/>
          <w:sz w:val="18"/>
          <w:szCs w:val="18"/>
          <w:color w:val="auto"/>
        </w:rPr>
      </w:pPr>
      <w:r>
        <w:rPr>
          <w:rFonts w:ascii="Arial" w:cs="Arial" w:eastAsia="Arial" w:hAnsi="Arial"/>
          <w:sz w:val="21"/>
          <w:szCs w:val="21"/>
          <w:color w:val="auto"/>
        </w:rPr>
        <w:t>the sum of the following three components (the “</w:t>
      </w:r>
      <w:r>
        <w:rPr>
          <w:rFonts w:ascii="Arial" w:cs="Arial" w:eastAsia="Arial" w:hAnsi="Arial"/>
          <w:sz w:val="21"/>
          <w:szCs w:val="21"/>
          <w:b w:val="1"/>
          <w:bCs w:val="1"/>
          <w:color w:val="auto"/>
        </w:rPr>
        <w:t>Severance Payment</w:t>
      </w:r>
      <w:r>
        <w:rPr>
          <w:rFonts w:ascii="Arial" w:cs="Arial" w:eastAsia="Arial" w:hAnsi="Arial"/>
          <w:sz w:val="21"/>
          <w:szCs w:val="21"/>
          <w:color w:val="auto"/>
        </w:rPr>
        <w:t>”): (1) Executive’s Final Basic Salary multiplied by 150%; (2) the product of the Final Basic Salary multiplied by the Bonus Percentage multiplied by 150%; and (3) the product of the Final Basic Salary multiplied by the Bonus Percentage multiplied by the Bonus Multiplier. Notwithstanding the foregoing, to the extent applicable, the Severance Payment shall be reduced by any amounts paid to Executive (i) for performance for the calendar year in which the Covered Termination occurs under any bonus plan maintained by the Company or an Affiliate (which shall not include any one-time or extraordinary bonus payments provided outside of a plan for performance); (ii) during any period of garden leave immediately preceding the Covered Termination, (iii) qualifying as pay-in-lieu of notice, or (iv) any other severance benefits whether contractual or statutory (including but not limited to any statutory redundancy pay) or other similar benefits payable to the Executive in connection with the Executive’s termination of employment. The Severance Payment shall be paid to the Executive in a single lump sum payment on the sixtieth (60th) day following the date of the Covered Termination.</w:t>
      </w:r>
    </w:p>
    <w:p>
      <w:pPr>
        <w:spacing w:after="0" w:line="199" w:lineRule="exact"/>
        <w:rPr>
          <w:rFonts w:ascii="Arial" w:cs="Arial" w:eastAsia="Arial" w:hAnsi="Arial"/>
          <w:sz w:val="18"/>
          <w:szCs w:val="18"/>
          <w:color w:val="auto"/>
        </w:rPr>
      </w:pPr>
    </w:p>
    <w:p>
      <w:pPr>
        <w:jc w:val="both"/>
        <w:ind w:left="968"/>
        <w:spacing w:after="0" w:line="312" w:lineRule="auto"/>
        <w:rPr>
          <w:rFonts w:ascii="Arial" w:cs="Arial" w:eastAsia="Arial" w:hAnsi="Arial"/>
          <w:sz w:val="18"/>
          <w:szCs w:val="18"/>
          <w:color w:val="auto"/>
        </w:rPr>
      </w:pPr>
      <w:r>
        <w:rPr>
          <w:rFonts w:ascii="Arial" w:cs="Arial" w:eastAsia="Arial" w:hAnsi="Arial"/>
          <w:sz w:val="19"/>
          <w:szCs w:val="19"/>
          <w:color w:val="auto"/>
        </w:rPr>
        <w:t>By way of example, if the effective date of the Covered Termination is 30 June, Executive’s Final Basic Salary is £100,000, and his target bonus is 40% of basic salary (and Executive has not received any higher annual bonus (i) in either of the last two calendar years prior to the Covered Termination, or (ii) in either of the</w:t>
      </w:r>
    </w:p>
    <w:p>
      <w:pPr>
        <w:sectPr>
          <w:pgSz w:w="11900" w:h="16838" w:orient="portrait"/>
          <w:cols w:equalWidth="0" w:num="1">
            <w:col w:w="11088"/>
          </w:cols>
          <w:pgMar w:left="572" w:top="598" w:right="239" w:bottom="1440" w:gutter="0" w:footer="0" w:header="0"/>
        </w:sectPr>
      </w:pPr>
    </w:p>
    <w:bookmarkStart w:id="396" w:name="page397"/>
    <w:bookmarkEnd w:id="396"/>
    <w:p>
      <w:pPr>
        <w:ind w:left="968"/>
        <w:spacing w:after="0"/>
        <w:rPr>
          <w:sz w:val="20"/>
          <w:szCs w:val="20"/>
          <w:color w:val="auto"/>
        </w:rPr>
      </w:pPr>
      <w:r>
        <w:rPr>
          <w:rFonts w:ascii="Arial" w:cs="Arial" w:eastAsia="Arial" w:hAnsi="Arial"/>
          <w:sz w:val="19"/>
          <w:szCs w:val="19"/>
          <w:color w:val="auto"/>
        </w:rPr>
        <w:t>last two calendar years prior to the Change in Control), the Severance Payment shall be calculated as follows:</w:t>
      </w:r>
    </w:p>
    <w:p>
      <w:pPr>
        <w:spacing w:after="0" w:line="268" w:lineRule="exact"/>
        <w:rPr>
          <w:sz w:val="20"/>
          <w:szCs w:val="20"/>
          <w:color w:val="auto"/>
        </w:rPr>
      </w:pPr>
    </w:p>
    <w:p>
      <w:pPr>
        <w:ind w:left="1428" w:hanging="455"/>
        <w:spacing w:after="0"/>
        <w:tabs>
          <w:tab w:leader="none" w:pos="1428" w:val="left"/>
        </w:tabs>
        <w:numPr>
          <w:ilvl w:val="0"/>
          <w:numId w:val="364"/>
        </w:numPr>
        <w:rPr>
          <w:rFonts w:ascii="Arial" w:cs="Arial" w:eastAsia="Arial" w:hAnsi="Arial"/>
          <w:sz w:val="22"/>
          <w:szCs w:val="22"/>
          <w:color w:val="auto"/>
        </w:rPr>
      </w:pPr>
      <w:r>
        <w:rPr>
          <w:rFonts w:ascii="Arial" w:cs="Arial" w:eastAsia="Arial" w:hAnsi="Arial"/>
          <w:sz w:val="22"/>
          <w:szCs w:val="22"/>
          <w:color w:val="auto"/>
        </w:rPr>
        <w:t>£100,000 x 150% (1.5) = £150,000</w:t>
      </w:r>
    </w:p>
    <w:p>
      <w:pPr>
        <w:spacing w:after="0" w:line="21" w:lineRule="exact"/>
        <w:rPr>
          <w:rFonts w:ascii="Arial" w:cs="Arial" w:eastAsia="Arial" w:hAnsi="Arial"/>
          <w:sz w:val="22"/>
          <w:szCs w:val="22"/>
          <w:color w:val="auto"/>
        </w:rPr>
      </w:pPr>
    </w:p>
    <w:p>
      <w:pPr>
        <w:ind w:left="1428" w:hanging="455"/>
        <w:spacing w:after="0"/>
        <w:tabs>
          <w:tab w:leader="none" w:pos="1428" w:val="left"/>
        </w:tabs>
        <w:numPr>
          <w:ilvl w:val="0"/>
          <w:numId w:val="364"/>
        </w:numPr>
        <w:rPr>
          <w:rFonts w:ascii="Arial" w:cs="Arial" w:eastAsia="Arial" w:hAnsi="Arial"/>
          <w:sz w:val="22"/>
          <w:szCs w:val="22"/>
          <w:color w:val="auto"/>
        </w:rPr>
      </w:pPr>
      <w:r>
        <w:rPr>
          <w:rFonts w:ascii="Arial" w:cs="Arial" w:eastAsia="Arial" w:hAnsi="Arial"/>
          <w:sz w:val="22"/>
          <w:szCs w:val="22"/>
          <w:color w:val="auto"/>
        </w:rPr>
        <w:t>£100,000 x bonus percentage (.4) x 150% (1.5) = £60,000</w:t>
      </w:r>
    </w:p>
    <w:p>
      <w:pPr>
        <w:spacing w:after="0" w:line="17" w:lineRule="exact"/>
        <w:rPr>
          <w:rFonts w:ascii="Arial" w:cs="Arial" w:eastAsia="Arial" w:hAnsi="Arial"/>
          <w:sz w:val="22"/>
          <w:szCs w:val="22"/>
          <w:color w:val="auto"/>
        </w:rPr>
      </w:pPr>
    </w:p>
    <w:p>
      <w:pPr>
        <w:ind w:left="1428" w:hanging="455"/>
        <w:spacing w:after="0"/>
        <w:tabs>
          <w:tab w:leader="none" w:pos="1428" w:val="left"/>
        </w:tabs>
        <w:numPr>
          <w:ilvl w:val="0"/>
          <w:numId w:val="364"/>
        </w:numPr>
        <w:rPr>
          <w:rFonts w:ascii="Arial" w:cs="Arial" w:eastAsia="Arial" w:hAnsi="Arial"/>
          <w:sz w:val="22"/>
          <w:szCs w:val="22"/>
          <w:color w:val="auto"/>
        </w:rPr>
      </w:pPr>
      <w:r>
        <w:rPr>
          <w:rFonts w:ascii="Arial" w:cs="Arial" w:eastAsia="Arial" w:hAnsi="Arial"/>
          <w:sz w:val="22"/>
          <w:szCs w:val="22"/>
          <w:color w:val="auto"/>
        </w:rPr>
        <w:t>£100,000 x bonus percentage (.4) x 6/12 = £20,000</w:t>
      </w:r>
    </w:p>
    <w:p>
      <w:pPr>
        <w:spacing w:after="0" w:line="236" w:lineRule="exact"/>
        <w:rPr>
          <w:sz w:val="20"/>
          <w:szCs w:val="20"/>
          <w:color w:val="auto"/>
        </w:rPr>
      </w:pPr>
    </w:p>
    <w:p>
      <w:pPr>
        <w:ind w:left="968"/>
        <w:spacing w:after="0"/>
        <w:rPr>
          <w:sz w:val="20"/>
          <w:szCs w:val="20"/>
          <w:color w:val="auto"/>
        </w:rPr>
      </w:pPr>
      <w:r>
        <w:rPr>
          <w:rFonts w:ascii="Arial" w:cs="Arial" w:eastAsia="Arial" w:hAnsi="Arial"/>
          <w:sz w:val="22"/>
          <w:szCs w:val="22"/>
          <w:b w:val="1"/>
          <w:bCs w:val="1"/>
          <w:color w:val="auto"/>
        </w:rPr>
        <w:t>Total Severance Payment: £150,000 + £60,000 + £20,000 = £230,000</w:t>
      </w:r>
    </w:p>
    <w:p>
      <w:pPr>
        <w:spacing w:after="0" w:line="233" w:lineRule="exact"/>
        <w:rPr>
          <w:sz w:val="20"/>
          <w:szCs w:val="20"/>
          <w:color w:val="auto"/>
        </w:rPr>
      </w:pPr>
    </w:p>
    <w:p>
      <w:pPr>
        <w:jc w:val="both"/>
        <w:ind w:left="968" w:hanging="320"/>
        <w:spacing w:after="0" w:line="288" w:lineRule="auto"/>
        <w:tabs>
          <w:tab w:leader="none" w:pos="968" w:val="left"/>
        </w:tabs>
        <w:numPr>
          <w:ilvl w:val="1"/>
          <w:numId w:val="365"/>
        </w:numPr>
        <w:rPr>
          <w:rFonts w:ascii="Arial" w:cs="Arial" w:eastAsia="Arial" w:hAnsi="Arial"/>
          <w:sz w:val="18"/>
          <w:szCs w:val="18"/>
          <w:color w:val="auto"/>
        </w:rPr>
      </w:pPr>
      <w:r>
        <w:rPr>
          <w:rFonts w:ascii="Arial" w:cs="Arial" w:eastAsia="Arial" w:hAnsi="Arial"/>
          <w:sz w:val="19"/>
          <w:szCs w:val="19"/>
          <w:b w:val="1"/>
          <w:bCs w:val="1"/>
          <w:color w:val="auto"/>
        </w:rPr>
        <w:t xml:space="preserve">Health Continuation Coverage Benefits: </w:t>
      </w:r>
      <w:r>
        <w:rPr>
          <w:rFonts w:ascii="Arial" w:cs="Arial" w:eastAsia="Arial" w:hAnsi="Arial"/>
          <w:sz w:val="19"/>
          <w:szCs w:val="19"/>
          <w:color w:val="auto"/>
        </w:rPr>
        <w:t>To the extent that Executive elects continued private health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coverage following the Covered Termination at a level equivalent to the private health insurance coverage available to Executive during his employment, the Employer shall pay the applicable premiums (inclusive of premiums for the Executive’s participating dependents, if any) for such plan coverage for a period of eighteen (18) months following the date of the Covered Termination (or such earlier date if the Executive dies, if Executive and/or his dependents are no longer eligible for coverage, or if Executive obtains new employment which includes eligibility for health plan coverage). The provision of these benefits is subject to health insurance coverage being obtained on normal terms and subject to medical and other underwriting requirements and other terms and conditions. The Executive shall be required to notify the Employer immediately if the Executive becomes covered by a health insurance plan of a subsequent employer or if the Executive or his participating dependents otherwise cease to be eligible for coverage during the period provided above. Upon the conclusion of such period of insurance premium payments made by the Employer, the Executive will be responsible for the entire payment of premiums.</w:t>
      </w:r>
    </w:p>
    <w:p>
      <w:pPr>
        <w:spacing w:after="0" w:line="162" w:lineRule="exact"/>
        <w:rPr>
          <w:rFonts w:ascii="Arial" w:cs="Arial" w:eastAsia="Arial" w:hAnsi="Arial"/>
          <w:sz w:val="18"/>
          <w:szCs w:val="18"/>
          <w:color w:val="auto"/>
        </w:rPr>
      </w:pPr>
    </w:p>
    <w:p>
      <w:pPr>
        <w:ind w:left="328" w:hanging="328"/>
        <w:spacing w:after="0"/>
        <w:tabs>
          <w:tab w:leader="none" w:pos="328" w:val="left"/>
        </w:tabs>
        <w:numPr>
          <w:ilvl w:val="0"/>
          <w:numId w:val="366"/>
        </w:numPr>
        <w:rPr>
          <w:rFonts w:ascii="Arial" w:cs="Arial" w:eastAsia="Arial" w:hAnsi="Arial"/>
          <w:sz w:val="20"/>
          <w:szCs w:val="20"/>
          <w:color w:val="auto"/>
        </w:rPr>
      </w:pPr>
      <w:r>
        <w:rPr>
          <w:rFonts w:ascii="Arial" w:cs="Arial" w:eastAsia="Arial" w:hAnsi="Arial"/>
          <w:sz w:val="22"/>
          <w:szCs w:val="22"/>
          <w:b w:val="1"/>
          <w:bCs w:val="1"/>
          <w:color w:val="auto"/>
        </w:rPr>
        <w:t>Certain Definitions</w:t>
      </w:r>
      <w:r>
        <w:rPr>
          <w:rFonts w:ascii="Arial" w:cs="Arial" w:eastAsia="Arial" w:hAnsi="Arial"/>
          <w:sz w:val="22"/>
          <w:szCs w:val="22"/>
          <w:color w:val="auto"/>
        </w:rPr>
        <w:t>:</w:t>
      </w:r>
    </w:p>
    <w:p>
      <w:pPr>
        <w:spacing w:after="0" w:line="233" w:lineRule="exact"/>
        <w:rPr>
          <w:rFonts w:ascii="Arial" w:cs="Arial" w:eastAsia="Arial" w:hAnsi="Arial"/>
          <w:sz w:val="20"/>
          <w:szCs w:val="20"/>
          <w:color w:val="auto"/>
        </w:rPr>
      </w:pPr>
    </w:p>
    <w:p>
      <w:pPr>
        <w:ind w:left="968" w:hanging="320"/>
        <w:spacing w:after="0" w:line="269" w:lineRule="auto"/>
        <w:tabs>
          <w:tab w:leader="none" w:pos="968" w:val="left"/>
        </w:tabs>
        <w:numPr>
          <w:ilvl w:val="1"/>
          <w:numId w:val="366"/>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any “parent” or “subsidiary” of the Company as such terms are defined in Rule 405 of the United States Securities Act of 1933, as amended.</w:t>
      </w:r>
    </w:p>
    <w:p>
      <w:pPr>
        <w:spacing w:after="0" w:line="175" w:lineRule="exact"/>
        <w:rPr>
          <w:rFonts w:ascii="Arial" w:cs="Arial" w:eastAsia="Arial" w:hAnsi="Arial"/>
          <w:sz w:val="20"/>
          <w:szCs w:val="20"/>
          <w:color w:val="auto"/>
        </w:rPr>
      </w:pPr>
    </w:p>
    <w:p>
      <w:pPr>
        <w:ind w:left="968" w:right="20" w:hanging="320"/>
        <w:spacing w:after="0" w:line="269" w:lineRule="auto"/>
        <w:tabs>
          <w:tab w:leader="none" w:pos="968" w:val="left"/>
        </w:tabs>
        <w:numPr>
          <w:ilvl w:val="1"/>
          <w:numId w:val="366"/>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Basic Salary</w:t>
      </w:r>
      <w:r>
        <w:rPr>
          <w:rFonts w:ascii="Arial" w:cs="Arial" w:eastAsia="Arial" w:hAnsi="Arial"/>
          <w:sz w:val="22"/>
          <w:szCs w:val="22"/>
          <w:color w:val="auto"/>
        </w:rPr>
        <w:t>” means Executive’s annual base pay (excluding incentive pay, premium pay, commissions, overtime, bonuses and other forms of variable compensation).</w:t>
      </w:r>
    </w:p>
    <w:p>
      <w:pPr>
        <w:spacing w:after="0" w:line="175" w:lineRule="exact"/>
        <w:rPr>
          <w:rFonts w:ascii="Arial" w:cs="Arial" w:eastAsia="Arial" w:hAnsi="Arial"/>
          <w:sz w:val="20"/>
          <w:szCs w:val="20"/>
          <w:color w:val="auto"/>
        </w:rPr>
      </w:pPr>
    </w:p>
    <w:p>
      <w:pPr>
        <w:ind w:left="968" w:hanging="320"/>
        <w:spacing w:after="0"/>
        <w:tabs>
          <w:tab w:leader="none" w:pos="968" w:val="left"/>
        </w:tabs>
        <w:numPr>
          <w:ilvl w:val="1"/>
          <w:numId w:val="366"/>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p>
      <w:pPr>
        <w:sectPr>
          <w:pgSz w:w="11900" w:h="16838" w:orient="portrait"/>
          <w:cols w:equalWidth="0" w:num="1">
            <w:col w:w="11088"/>
          </w:cols>
          <w:pgMar w:left="572" w:top="604" w:right="239" w:bottom="1440" w:gutter="0" w:footer="0" w:header="0"/>
        </w:sectPr>
      </w:pPr>
    </w:p>
    <w:bookmarkStart w:id="397" w:name="page398"/>
    <w:bookmarkEnd w:id="397"/>
    <w:p>
      <w:pPr>
        <w:ind w:left="320" w:hanging="320"/>
        <w:spacing w:after="0" w:line="293" w:lineRule="auto"/>
        <w:tabs>
          <w:tab w:leader="none" w:pos="320" w:val="left"/>
        </w:tabs>
        <w:numPr>
          <w:ilvl w:val="0"/>
          <w:numId w:val="367"/>
        </w:numPr>
        <w:rPr>
          <w:rFonts w:ascii="Arial" w:cs="Arial" w:eastAsia="Arial" w:hAnsi="Arial"/>
          <w:sz w:val="19"/>
          <w:szCs w:val="19"/>
          <w:color w:val="auto"/>
        </w:rPr>
      </w:pPr>
      <w:r>
        <w:rPr>
          <w:rFonts w:ascii="Arial" w:cs="Arial" w:eastAsia="Arial" w:hAnsi="Arial"/>
          <w:sz w:val="21"/>
          <w:szCs w:val="21"/>
          <w:color w:val="auto"/>
        </w:rPr>
        <w:t>“</w:t>
      </w:r>
      <w:r>
        <w:rPr>
          <w:rFonts w:ascii="Arial" w:cs="Arial" w:eastAsia="Arial" w:hAnsi="Arial"/>
          <w:sz w:val="21"/>
          <w:szCs w:val="21"/>
          <w:b w:val="1"/>
          <w:bCs w:val="1"/>
          <w:color w:val="auto"/>
        </w:rPr>
        <w:t>Bonus Multiplier</w:t>
      </w:r>
      <w:r>
        <w:rPr>
          <w:rFonts w:ascii="Arial" w:cs="Arial" w:eastAsia="Arial" w:hAnsi="Arial"/>
          <w:sz w:val="21"/>
          <w:szCs w:val="21"/>
          <w:color w:val="auto"/>
        </w:rPr>
        <w:t>” means the quotient obtained by dividing the number of full months that the Executive is employed by the Company or an Affiliate in the year of a Covered Termination by twelve (12).</w:t>
      </w:r>
    </w:p>
    <w:p>
      <w:pPr>
        <w:spacing w:after="0" w:line="153" w:lineRule="exact"/>
        <w:rPr>
          <w:rFonts w:ascii="Arial" w:cs="Arial" w:eastAsia="Arial" w:hAnsi="Arial"/>
          <w:sz w:val="19"/>
          <w:szCs w:val="19"/>
          <w:color w:val="auto"/>
        </w:rPr>
      </w:pPr>
    </w:p>
    <w:p>
      <w:pPr>
        <w:jc w:val="both"/>
        <w:ind w:left="320" w:hanging="320"/>
        <w:spacing w:after="0" w:line="261" w:lineRule="auto"/>
        <w:tabs>
          <w:tab w:leader="none" w:pos="320" w:val="left"/>
        </w:tabs>
        <w:numPr>
          <w:ilvl w:val="0"/>
          <w:numId w:val="367"/>
        </w:numPr>
        <w:rPr>
          <w:rFonts w:ascii="Arial" w:cs="Arial" w:eastAsia="Arial" w:hAnsi="Arial"/>
          <w:sz w:val="19"/>
          <w:szCs w:val="19"/>
          <w:color w:val="auto"/>
        </w:rPr>
      </w:pPr>
      <w:r>
        <w:rPr>
          <w:rFonts w:ascii="Arial" w:cs="Arial" w:eastAsia="Arial" w:hAnsi="Arial"/>
          <w:sz w:val="21"/>
          <w:szCs w:val="21"/>
          <w:color w:val="auto"/>
        </w:rPr>
        <w:t>“</w:t>
      </w:r>
      <w:r>
        <w:rPr>
          <w:rFonts w:ascii="Arial" w:cs="Arial" w:eastAsia="Arial" w:hAnsi="Arial"/>
          <w:sz w:val="21"/>
          <w:szCs w:val="21"/>
          <w:b w:val="1"/>
          <w:bCs w:val="1"/>
          <w:color w:val="auto"/>
        </w:rPr>
        <w:t>Bonus Percentage</w:t>
      </w:r>
      <w:r>
        <w:rPr>
          <w:rFonts w:ascii="Arial" w:cs="Arial" w:eastAsia="Arial" w:hAnsi="Arial"/>
          <w:sz w:val="21"/>
          <w:szCs w:val="21"/>
          <w:color w:val="auto"/>
        </w:rPr>
        <w:t>” means the greater of (i) the highest amount of any annual bonus paid to the Executive by the Company or an Affiliate for (x) either of the last two (2) calendar years prior to the date of the Executive’s Covered Termination or (y) either of the last two (2) calendar years prior to the Change in Control, in each case expressed as a percentage of Executive’s annual basic salary paid in the applicable year; or (ii) the higher of the Executive’s target bonus for (x) the calendar year in which the Executive’s Covered Termination occurs or (y) the calendar year in which the Change in Control occurs, in each case expressed as a percentage of Executive’s annual basic salary paid in the applicable year.</w:t>
      </w:r>
    </w:p>
    <w:p>
      <w:pPr>
        <w:spacing w:after="0" w:line="187" w:lineRule="exact"/>
        <w:rPr>
          <w:rFonts w:ascii="Arial" w:cs="Arial" w:eastAsia="Arial" w:hAnsi="Arial"/>
          <w:sz w:val="19"/>
          <w:szCs w:val="19"/>
          <w:color w:val="auto"/>
        </w:rPr>
      </w:pPr>
    </w:p>
    <w:p>
      <w:pPr>
        <w:ind w:left="320" w:hanging="320"/>
        <w:spacing w:after="0"/>
        <w:tabs>
          <w:tab w:leader="none" w:pos="320" w:val="left"/>
        </w:tabs>
        <w:numPr>
          <w:ilvl w:val="0"/>
          <w:numId w:val="367"/>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means the occurrence of any one or more of the following:</w:t>
      </w:r>
    </w:p>
    <w:p>
      <w:pPr>
        <w:spacing w:after="0" w:line="239" w:lineRule="exact"/>
        <w:rPr>
          <w:rFonts w:ascii="Arial" w:cs="Arial" w:eastAsia="Arial" w:hAnsi="Arial"/>
          <w:sz w:val="20"/>
          <w:szCs w:val="20"/>
          <w:color w:val="auto"/>
        </w:rPr>
      </w:pPr>
    </w:p>
    <w:p>
      <w:pPr>
        <w:jc w:val="both"/>
        <w:ind w:left="1620" w:hanging="647"/>
        <w:spacing w:after="0" w:line="249" w:lineRule="auto"/>
        <w:tabs>
          <w:tab w:leader="none" w:pos="1620" w:val="left"/>
        </w:tabs>
        <w:numPr>
          <w:ilvl w:val="1"/>
          <w:numId w:val="367"/>
        </w:numPr>
        <w:rPr>
          <w:rFonts w:ascii="Arial" w:cs="Arial" w:eastAsia="Arial" w:hAnsi="Arial"/>
          <w:sz w:val="20"/>
          <w:szCs w:val="20"/>
          <w:color w:val="auto"/>
        </w:rPr>
      </w:pPr>
      <w:r>
        <w:rPr>
          <w:rFonts w:ascii="Arial" w:cs="Arial" w:eastAsia="Arial" w:hAnsi="Arial"/>
          <w:sz w:val="22"/>
          <w:szCs w:val="22"/>
          <w:color w:val="auto"/>
        </w:rPr>
        <w:t>the Executive’s unauthorised use or disclosure of the confidential information or trade secrets of the Company or its Affiliates which use or disclosure causes material harm to the Company or an Affiliate;</w:t>
      </w:r>
    </w:p>
    <w:p>
      <w:pPr>
        <w:jc w:val="both"/>
        <w:ind w:left="1620" w:hanging="647"/>
        <w:spacing w:after="0" w:line="255" w:lineRule="auto"/>
        <w:tabs>
          <w:tab w:leader="none" w:pos="1620" w:val="left"/>
        </w:tabs>
        <w:numPr>
          <w:ilvl w:val="1"/>
          <w:numId w:val="367"/>
        </w:numPr>
        <w:rPr>
          <w:rFonts w:ascii="Arial" w:cs="Arial" w:eastAsia="Arial" w:hAnsi="Arial"/>
          <w:sz w:val="19"/>
          <w:szCs w:val="19"/>
          <w:color w:val="auto"/>
        </w:rPr>
      </w:pPr>
      <w:r>
        <w:rPr>
          <w:rFonts w:ascii="Arial" w:cs="Arial" w:eastAsia="Arial" w:hAnsi="Arial"/>
          <w:sz w:val="21"/>
          <w:szCs w:val="21"/>
          <w:color w:val="auto"/>
        </w:rPr>
        <w:t>the Executive’s material breach of any written agreement between the Executive and the Company or an Affiliate, or the Executive’s material violation of any statutory duty owed to the Company or an Affiliate, in either case which remains uncured for ten (10) business days after receiving written notification of the breach or violation from the Board or its designee;</w:t>
      </w:r>
    </w:p>
    <w:p>
      <w:pPr>
        <w:jc w:val="both"/>
        <w:ind w:left="1620" w:hanging="647"/>
        <w:spacing w:after="0" w:line="243" w:lineRule="auto"/>
        <w:tabs>
          <w:tab w:leader="none" w:pos="1620" w:val="left"/>
        </w:tabs>
        <w:numPr>
          <w:ilvl w:val="1"/>
          <w:numId w:val="367"/>
        </w:numPr>
        <w:rPr>
          <w:rFonts w:ascii="Arial" w:cs="Arial" w:eastAsia="Arial" w:hAnsi="Arial"/>
          <w:sz w:val="20"/>
          <w:szCs w:val="20"/>
          <w:color w:val="auto"/>
        </w:rPr>
      </w:pPr>
      <w:r>
        <w:rPr>
          <w:rFonts w:ascii="Arial" w:cs="Arial" w:eastAsia="Arial" w:hAnsi="Arial"/>
          <w:sz w:val="22"/>
          <w:szCs w:val="22"/>
          <w:color w:val="auto"/>
        </w:rPr>
        <w:t>the Executive’s material failure to comply with the written policies or rules of the Company or an Affiliate which remains uncured for ten (10) business days after receiving written notification of the breach from the Board or its designee;</w:t>
      </w:r>
    </w:p>
    <w:p>
      <w:pPr>
        <w:spacing w:after="0" w:line="1" w:lineRule="exact"/>
        <w:rPr>
          <w:rFonts w:ascii="Arial" w:cs="Arial" w:eastAsia="Arial" w:hAnsi="Arial"/>
          <w:sz w:val="20"/>
          <w:szCs w:val="20"/>
          <w:color w:val="auto"/>
        </w:rPr>
      </w:pPr>
    </w:p>
    <w:p>
      <w:pPr>
        <w:jc w:val="both"/>
        <w:ind w:left="1620" w:hanging="647"/>
        <w:spacing w:after="0" w:line="243" w:lineRule="auto"/>
        <w:tabs>
          <w:tab w:leader="none" w:pos="1620" w:val="left"/>
        </w:tabs>
        <w:numPr>
          <w:ilvl w:val="1"/>
          <w:numId w:val="367"/>
        </w:numPr>
        <w:rPr>
          <w:rFonts w:ascii="Arial" w:cs="Arial" w:eastAsia="Arial" w:hAnsi="Arial"/>
          <w:sz w:val="20"/>
          <w:szCs w:val="20"/>
          <w:color w:val="auto"/>
        </w:rPr>
      </w:pPr>
      <w:r>
        <w:rPr>
          <w:rFonts w:ascii="Arial" w:cs="Arial" w:eastAsia="Arial" w:hAnsi="Arial"/>
          <w:sz w:val="22"/>
          <w:szCs w:val="22"/>
          <w:color w:val="auto"/>
        </w:rPr>
        <w:t>the Executive’s conviction of, or plea of “guilty” or “no contest” to, any crime involving fraud, dishonesty, or moral turpitude under the laws of any United States, England and Wales, federal, state, or local authority, or any foreign governmental authority;</w:t>
      </w:r>
    </w:p>
    <w:p>
      <w:pPr>
        <w:spacing w:after="0" w:line="1" w:lineRule="exact"/>
        <w:rPr>
          <w:rFonts w:ascii="Arial" w:cs="Arial" w:eastAsia="Arial" w:hAnsi="Arial"/>
          <w:sz w:val="20"/>
          <w:szCs w:val="20"/>
          <w:color w:val="auto"/>
        </w:rPr>
      </w:pPr>
    </w:p>
    <w:p>
      <w:pPr>
        <w:ind w:left="1620" w:right="20" w:hanging="647"/>
        <w:spacing w:after="0" w:line="323" w:lineRule="auto"/>
        <w:tabs>
          <w:tab w:leader="none" w:pos="1620" w:val="left"/>
        </w:tabs>
        <w:numPr>
          <w:ilvl w:val="1"/>
          <w:numId w:val="367"/>
        </w:numPr>
        <w:rPr>
          <w:rFonts w:ascii="Arial" w:cs="Arial" w:eastAsia="Arial" w:hAnsi="Arial"/>
          <w:sz w:val="18"/>
          <w:szCs w:val="18"/>
          <w:color w:val="auto"/>
        </w:rPr>
      </w:pPr>
      <w:r>
        <w:rPr>
          <w:rFonts w:ascii="Arial" w:cs="Arial" w:eastAsia="Arial" w:hAnsi="Arial"/>
          <w:sz w:val="19"/>
          <w:szCs w:val="19"/>
          <w:color w:val="auto"/>
        </w:rPr>
        <w:t>the Executive’s gross misconduct, including but not limited to an attempted or actual commission of, participation or cooperation in, fraud or act of dishonesty against the Company or an Affiliate;</w:t>
      </w:r>
    </w:p>
    <w:p>
      <w:pPr>
        <w:sectPr>
          <w:pgSz w:w="11900" w:h="16838" w:orient="portrait"/>
          <w:cols w:equalWidth="0" w:num="1">
            <w:col w:w="10440"/>
          </w:cols>
          <w:pgMar w:left="1220" w:top="598" w:right="239" w:bottom="1440" w:gutter="0" w:footer="0" w:header="0"/>
        </w:sectPr>
      </w:pPr>
    </w:p>
    <w:bookmarkStart w:id="398" w:name="page399"/>
    <w:bookmarkEnd w:id="398"/>
    <w:p>
      <w:pPr>
        <w:ind w:left="1620" w:hanging="647"/>
        <w:spacing w:after="0" w:line="251" w:lineRule="auto"/>
        <w:tabs>
          <w:tab w:leader="none" w:pos="1620" w:val="left"/>
        </w:tabs>
        <w:numPr>
          <w:ilvl w:val="1"/>
          <w:numId w:val="368"/>
        </w:numPr>
        <w:rPr>
          <w:rFonts w:ascii="Arial" w:cs="Arial" w:eastAsia="Arial" w:hAnsi="Arial"/>
          <w:sz w:val="20"/>
          <w:szCs w:val="20"/>
          <w:color w:val="auto"/>
        </w:rPr>
      </w:pPr>
      <w:r>
        <w:rPr>
          <w:rFonts w:ascii="Arial" w:cs="Arial" w:eastAsia="Arial" w:hAnsi="Arial"/>
          <w:sz w:val="22"/>
          <w:szCs w:val="22"/>
          <w:color w:val="auto"/>
        </w:rPr>
        <w:t>the Executive’s continuing failure to perform assigned duties after receiving written notification of the failure from the Board or its designee;</w:t>
      </w:r>
    </w:p>
    <w:p>
      <w:pPr>
        <w:spacing w:after="0" w:line="2" w:lineRule="exact"/>
        <w:rPr>
          <w:rFonts w:ascii="Arial" w:cs="Arial" w:eastAsia="Arial" w:hAnsi="Arial"/>
          <w:sz w:val="20"/>
          <w:szCs w:val="20"/>
          <w:color w:val="auto"/>
        </w:rPr>
      </w:pPr>
    </w:p>
    <w:p>
      <w:pPr>
        <w:jc w:val="both"/>
        <w:ind w:left="1620" w:hanging="647"/>
        <w:spacing w:after="0" w:line="243" w:lineRule="auto"/>
        <w:tabs>
          <w:tab w:leader="none" w:pos="1620" w:val="left"/>
        </w:tabs>
        <w:numPr>
          <w:ilvl w:val="1"/>
          <w:numId w:val="368"/>
        </w:numPr>
        <w:rPr>
          <w:rFonts w:ascii="Arial" w:cs="Arial" w:eastAsia="Arial" w:hAnsi="Arial"/>
          <w:sz w:val="20"/>
          <w:szCs w:val="20"/>
          <w:color w:val="auto"/>
        </w:rPr>
      </w:pPr>
      <w:r>
        <w:rPr>
          <w:rFonts w:ascii="Arial" w:cs="Arial" w:eastAsia="Arial" w:hAnsi="Arial"/>
          <w:sz w:val="22"/>
          <w:szCs w:val="22"/>
          <w:color w:val="auto"/>
        </w:rPr>
        <w:t>the Executive’s failure to reasonably cooperate in good faith with a governmental or internal investigation of the Company, or any of its Affiliates, directors, officers, or employees, if the Board or its designee has requested the Executive’s cooperation; or</w:t>
      </w:r>
    </w:p>
    <w:p>
      <w:pPr>
        <w:spacing w:after="0" w:line="1" w:lineRule="exact"/>
        <w:rPr>
          <w:rFonts w:ascii="Arial" w:cs="Arial" w:eastAsia="Arial" w:hAnsi="Arial"/>
          <w:sz w:val="20"/>
          <w:szCs w:val="20"/>
          <w:color w:val="auto"/>
        </w:rPr>
      </w:pPr>
    </w:p>
    <w:p>
      <w:pPr>
        <w:jc w:val="both"/>
        <w:ind w:left="1620" w:hanging="647"/>
        <w:spacing w:after="0" w:line="245" w:lineRule="auto"/>
        <w:tabs>
          <w:tab w:leader="none" w:pos="1620" w:val="left"/>
        </w:tabs>
        <w:numPr>
          <w:ilvl w:val="1"/>
          <w:numId w:val="368"/>
        </w:numPr>
        <w:rPr>
          <w:rFonts w:ascii="Arial" w:cs="Arial" w:eastAsia="Arial" w:hAnsi="Arial"/>
          <w:sz w:val="20"/>
          <w:szCs w:val="20"/>
          <w:color w:val="auto"/>
        </w:rPr>
      </w:pPr>
      <w:r>
        <w:rPr>
          <w:rFonts w:ascii="Arial" w:cs="Arial" w:eastAsia="Arial" w:hAnsi="Arial"/>
          <w:sz w:val="22"/>
          <w:szCs w:val="22"/>
          <w:color w:val="auto"/>
        </w:rPr>
        <w:t>any action of Executive warranting summary dismissal or termination without prior notice under Executive’s employment agreement as in effect on the Covered Termination (as applicable, the “</w:t>
      </w:r>
      <w:r>
        <w:rPr>
          <w:rFonts w:ascii="Arial" w:cs="Arial" w:eastAsia="Arial" w:hAnsi="Arial"/>
          <w:sz w:val="22"/>
          <w:szCs w:val="22"/>
          <w:b w:val="1"/>
          <w:bCs w:val="1"/>
          <w:color w:val="auto"/>
        </w:rPr>
        <w:t>Employment Agreement</w:t>
      </w:r>
      <w:r>
        <w:rPr>
          <w:rFonts w:ascii="Arial" w:cs="Arial" w:eastAsia="Arial" w:hAnsi="Arial"/>
          <w:sz w:val="22"/>
          <w:szCs w:val="22"/>
          <w:color w:val="auto"/>
        </w:rPr>
        <w:t>”) or under applicable employment laws.</w:t>
      </w:r>
    </w:p>
    <w:p>
      <w:pPr>
        <w:spacing w:after="0" w:line="200" w:lineRule="exact"/>
        <w:rPr>
          <w:rFonts w:ascii="Arial" w:cs="Arial" w:eastAsia="Arial" w:hAnsi="Arial"/>
          <w:sz w:val="20"/>
          <w:szCs w:val="20"/>
          <w:color w:val="auto"/>
        </w:rPr>
      </w:pPr>
    </w:p>
    <w:p>
      <w:pPr>
        <w:ind w:left="320" w:hanging="320"/>
        <w:spacing w:after="0" w:line="269" w:lineRule="auto"/>
        <w:tabs>
          <w:tab w:leader="none" w:pos="320" w:val="left"/>
        </w:tabs>
        <w:numPr>
          <w:ilvl w:val="0"/>
          <w:numId w:val="369"/>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means “Change in Control” as defined in the Jazz Pharmaceuticals plc Amended and Restated Executive Change in Control and Severance Benefit Plan (“</w:t>
      </w:r>
      <w:r>
        <w:rPr>
          <w:rFonts w:ascii="Arial" w:cs="Arial" w:eastAsia="Arial" w:hAnsi="Arial"/>
          <w:sz w:val="22"/>
          <w:szCs w:val="22"/>
          <w:b w:val="1"/>
          <w:bCs w:val="1"/>
          <w:color w:val="auto"/>
        </w:rPr>
        <w:t>Executive CIC Plan</w:t>
      </w:r>
      <w:r>
        <w:rPr>
          <w:rFonts w:ascii="Arial" w:cs="Arial" w:eastAsia="Arial" w:hAnsi="Arial"/>
          <w:sz w:val="22"/>
          <w:szCs w:val="22"/>
          <w:color w:val="auto"/>
        </w:rPr>
        <w:t>”).</w:t>
      </w:r>
    </w:p>
    <w:p>
      <w:pPr>
        <w:spacing w:after="0" w:line="175" w:lineRule="exact"/>
        <w:rPr>
          <w:rFonts w:ascii="Arial" w:cs="Arial" w:eastAsia="Arial" w:hAnsi="Arial"/>
          <w:sz w:val="20"/>
          <w:szCs w:val="20"/>
          <w:color w:val="auto"/>
        </w:rPr>
      </w:pPr>
    </w:p>
    <w:p>
      <w:pPr>
        <w:jc w:val="both"/>
        <w:ind w:left="320" w:hanging="320"/>
        <w:spacing w:after="0" w:line="252" w:lineRule="auto"/>
        <w:tabs>
          <w:tab w:leader="none" w:pos="320" w:val="left"/>
        </w:tabs>
        <w:numPr>
          <w:ilvl w:val="0"/>
          <w:numId w:val="369"/>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Companies Act</w:t>
      </w:r>
      <w:r>
        <w:rPr>
          <w:rFonts w:ascii="Arial" w:cs="Arial" w:eastAsia="Arial" w:hAnsi="Arial"/>
          <w:sz w:val="22"/>
          <w:szCs w:val="22"/>
          <w:color w:val="auto"/>
        </w:rPr>
        <w:t>” means the Companies Act 2014 of Ireland, together with all statutory modifications and re-enactments thereof and all statutes and statutory instruments which are to be read as one with, or construed or read together as one with, the aforementioned enactments and every statutory modification and re-enactment thereof for the time being in force.</w:t>
      </w:r>
    </w:p>
    <w:p>
      <w:pPr>
        <w:spacing w:after="0" w:line="220" w:lineRule="exact"/>
        <w:rPr>
          <w:rFonts w:ascii="Arial" w:cs="Arial" w:eastAsia="Arial" w:hAnsi="Arial"/>
          <w:sz w:val="20"/>
          <w:szCs w:val="20"/>
          <w:color w:val="auto"/>
        </w:rPr>
      </w:pPr>
    </w:p>
    <w:p>
      <w:pPr>
        <w:ind w:left="320" w:hanging="320"/>
        <w:spacing w:after="0"/>
        <w:tabs>
          <w:tab w:leader="none" w:pos="320" w:val="left"/>
        </w:tabs>
        <w:numPr>
          <w:ilvl w:val="0"/>
          <w:numId w:val="369"/>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“Company” as defined in the Executive CIC Plan.</w:t>
      </w:r>
    </w:p>
    <w:p>
      <w:pPr>
        <w:spacing w:after="0" w:line="233" w:lineRule="exact"/>
        <w:rPr>
          <w:rFonts w:ascii="Arial" w:cs="Arial" w:eastAsia="Arial" w:hAnsi="Arial"/>
          <w:sz w:val="20"/>
          <w:szCs w:val="20"/>
          <w:color w:val="auto"/>
        </w:rPr>
      </w:pPr>
    </w:p>
    <w:p>
      <w:pPr>
        <w:jc w:val="both"/>
        <w:ind w:left="320" w:hanging="320"/>
        <w:spacing w:after="0" w:line="259" w:lineRule="auto"/>
        <w:tabs>
          <w:tab w:leader="none" w:pos="320" w:val="left"/>
        </w:tabs>
        <w:numPr>
          <w:ilvl w:val="0"/>
          <w:numId w:val="369"/>
        </w:numPr>
        <w:rPr>
          <w:rFonts w:ascii="Arial" w:cs="Arial" w:eastAsia="Arial" w:hAnsi="Arial"/>
          <w:sz w:val="19"/>
          <w:szCs w:val="19"/>
          <w:color w:val="auto"/>
        </w:rPr>
      </w:pPr>
      <w:r>
        <w:rPr>
          <w:rFonts w:ascii="Arial" w:cs="Arial" w:eastAsia="Arial" w:hAnsi="Arial"/>
          <w:sz w:val="21"/>
          <w:szCs w:val="21"/>
          <w:color w:val="auto"/>
        </w:rPr>
        <w:t>“</w:t>
      </w:r>
      <w:r>
        <w:rPr>
          <w:rFonts w:ascii="Arial" w:cs="Arial" w:eastAsia="Arial" w:hAnsi="Arial"/>
          <w:sz w:val="21"/>
          <w:szCs w:val="21"/>
          <w:b w:val="1"/>
          <w:bCs w:val="1"/>
          <w:color w:val="auto"/>
        </w:rPr>
        <w:t>Constructive Termination</w:t>
      </w:r>
      <w:r>
        <w:rPr>
          <w:rFonts w:ascii="Arial" w:cs="Arial" w:eastAsia="Arial" w:hAnsi="Arial"/>
          <w:sz w:val="21"/>
          <w:szCs w:val="21"/>
          <w:color w:val="auto"/>
        </w:rPr>
        <w:t>” means a resignation of employment by Executive after an action or event which constitutes Good Reason is undertaken by the Company or an Affiliate, or otherwise occurs, provided such action or event is not agreed to by Executive in writing; provided, however, that in order for Executive’s resignation to constitute a Constructive Termination, Executive must (i) provide written notice to the Company’s General Counsel within thirty (30) days after the first occurrence of the action or event giving rise to Good Reason setting forth the basis for such resignation, (ii) allow the Company at least thirty (30) days from receipt of such written notice to cure such action or event, and (iii) if such action or event is not reasonably cured within such period, resign from all positions Executive then holds with the Company and any Affiliate effective not later than ninety (90) days after the expiration of the cure period.</w:t>
      </w:r>
    </w:p>
    <w:p>
      <w:pPr>
        <w:sectPr>
          <w:pgSz w:w="11900" w:h="16838" w:orient="portrait"/>
          <w:cols w:equalWidth="0" w:num="1">
            <w:col w:w="10440"/>
          </w:cols>
          <w:pgMar w:left="1220" w:top="604" w:right="239" w:bottom="1440" w:gutter="0" w:footer="0" w:header="0"/>
        </w:sectPr>
      </w:pPr>
    </w:p>
    <w:bookmarkStart w:id="399" w:name="page400"/>
    <w:bookmarkEnd w:id="399"/>
    <w:p>
      <w:pPr>
        <w:ind w:left="320" w:right="20" w:hanging="320"/>
        <w:spacing w:after="0" w:line="293" w:lineRule="auto"/>
        <w:tabs>
          <w:tab w:leader="none" w:pos="320" w:val="left"/>
        </w:tabs>
        <w:numPr>
          <w:ilvl w:val="0"/>
          <w:numId w:val="370"/>
        </w:numPr>
        <w:rPr>
          <w:rFonts w:ascii="Arial" w:cs="Arial" w:eastAsia="Arial" w:hAnsi="Arial"/>
          <w:sz w:val="19"/>
          <w:szCs w:val="19"/>
          <w:color w:val="auto"/>
        </w:rPr>
      </w:pPr>
      <w:r>
        <w:rPr>
          <w:rFonts w:ascii="Arial" w:cs="Arial" w:eastAsia="Arial" w:hAnsi="Arial"/>
          <w:sz w:val="21"/>
          <w:szCs w:val="21"/>
          <w:color w:val="auto"/>
        </w:rPr>
        <w:t>“</w:t>
      </w:r>
      <w:r>
        <w:rPr>
          <w:rFonts w:ascii="Arial" w:cs="Arial" w:eastAsia="Arial" w:hAnsi="Arial"/>
          <w:sz w:val="21"/>
          <w:szCs w:val="21"/>
          <w:b w:val="1"/>
          <w:bCs w:val="1"/>
          <w:color w:val="auto"/>
        </w:rPr>
        <w:t>Covered Termination</w:t>
      </w:r>
      <w:r>
        <w:rPr>
          <w:rFonts w:ascii="Arial" w:cs="Arial" w:eastAsia="Arial" w:hAnsi="Arial"/>
          <w:sz w:val="21"/>
          <w:szCs w:val="21"/>
          <w:color w:val="auto"/>
        </w:rPr>
        <w:t>” means either (i) an Involuntary Termination Without Cause, or (ii) a Constructive Termination, in each case effective upon or within twelve (12) months following a Change in Control.</w:t>
      </w:r>
    </w:p>
    <w:p>
      <w:pPr>
        <w:spacing w:after="0" w:line="153" w:lineRule="exact"/>
        <w:rPr>
          <w:rFonts w:ascii="Arial" w:cs="Arial" w:eastAsia="Arial" w:hAnsi="Arial"/>
          <w:sz w:val="19"/>
          <w:szCs w:val="19"/>
          <w:color w:val="auto"/>
        </w:rPr>
      </w:pPr>
    </w:p>
    <w:p>
      <w:pPr>
        <w:jc w:val="both"/>
        <w:ind w:left="320" w:hanging="320"/>
        <w:spacing w:after="0" w:line="249" w:lineRule="auto"/>
        <w:tabs>
          <w:tab w:leader="none" w:pos="320" w:val="left"/>
        </w:tabs>
        <w:numPr>
          <w:ilvl w:val="0"/>
          <w:numId w:val="370"/>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Disability</w:t>
      </w:r>
      <w:r>
        <w:rPr>
          <w:rFonts w:ascii="Arial" w:cs="Arial" w:eastAsia="Arial" w:hAnsi="Arial"/>
          <w:sz w:val="22"/>
          <w:szCs w:val="22"/>
          <w:color w:val="auto"/>
        </w:rPr>
        <w:t>” means Executive’s inability to engage in any substantial gainful activity by reason of any medically determinable physical or mental impairment which can be expected to result in death or which has lasted or can be expected to last for a continuous period of not less than twelve (12) months, and shall be reasonably determined by the Board or its designee on the basis of such medical evidence as the Board or its designee deems warranted under the circumstances.</w:t>
      </w:r>
    </w:p>
    <w:p>
      <w:pPr>
        <w:spacing w:after="0" w:line="200" w:lineRule="exact"/>
        <w:rPr>
          <w:rFonts w:ascii="Arial" w:cs="Arial" w:eastAsia="Arial" w:hAnsi="Arial"/>
          <w:sz w:val="20"/>
          <w:szCs w:val="20"/>
          <w:color w:val="auto"/>
        </w:rPr>
      </w:pPr>
    </w:p>
    <w:p>
      <w:pPr>
        <w:ind w:left="320" w:hanging="320"/>
        <w:spacing w:after="0"/>
        <w:tabs>
          <w:tab w:leader="none" w:pos="320" w:val="left"/>
        </w:tabs>
        <w:numPr>
          <w:ilvl w:val="0"/>
          <w:numId w:val="370"/>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Employer</w:t>
      </w:r>
      <w:r>
        <w:rPr>
          <w:rFonts w:ascii="Arial" w:cs="Arial" w:eastAsia="Arial" w:hAnsi="Arial"/>
          <w:sz w:val="22"/>
          <w:szCs w:val="22"/>
          <w:color w:val="auto"/>
        </w:rPr>
        <w:t>” means the entity which employs Executive.</w:t>
      </w:r>
    </w:p>
    <w:p>
      <w:pPr>
        <w:spacing w:after="0" w:line="233" w:lineRule="exact"/>
        <w:rPr>
          <w:rFonts w:ascii="Arial" w:cs="Arial" w:eastAsia="Arial" w:hAnsi="Arial"/>
          <w:sz w:val="20"/>
          <w:szCs w:val="20"/>
          <w:color w:val="auto"/>
        </w:rPr>
      </w:pPr>
    </w:p>
    <w:p>
      <w:pPr>
        <w:ind w:left="320" w:hanging="320"/>
        <w:spacing w:after="0"/>
        <w:tabs>
          <w:tab w:leader="none" w:pos="320" w:val="left"/>
        </w:tabs>
        <w:numPr>
          <w:ilvl w:val="0"/>
          <w:numId w:val="370"/>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w:t>
      </w:r>
      <w:r>
        <w:rPr>
          <w:rFonts w:ascii="Arial" w:cs="Arial" w:eastAsia="Arial" w:hAnsi="Arial"/>
          <w:sz w:val="22"/>
          <w:szCs w:val="22"/>
          <w:color w:val="auto"/>
        </w:rPr>
        <w:t>” means Iain McGill (referenced as the “Employee” in the Employment Agreement).</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o.</w:t>
      </w:r>
    </w:p>
    <w:p>
      <w:pPr>
        <w:spacing w:after="0" w:line="4" w:lineRule="exact"/>
        <w:rPr>
          <w:sz w:val="20"/>
          <w:szCs w:val="20"/>
          <w:color w:val="auto"/>
        </w:rPr>
      </w:pPr>
    </w:p>
    <w:p>
      <w:pPr>
        <w:jc w:val="both"/>
        <w:ind w:left="320" w:hanging="320"/>
        <w:spacing w:after="0" w:line="245" w:lineRule="auto"/>
        <w:tabs>
          <w:tab w:leader="none" w:pos="320" w:val="left"/>
        </w:tabs>
        <w:numPr>
          <w:ilvl w:val="0"/>
          <w:numId w:val="371"/>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Final Basic Salary</w:t>
      </w:r>
      <w:r>
        <w:rPr>
          <w:rFonts w:ascii="Arial" w:cs="Arial" w:eastAsia="Arial" w:hAnsi="Arial"/>
          <w:sz w:val="22"/>
          <w:szCs w:val="22"/>
          <w:color w:val="auto"/>
        </w:rPr>
        <w:t>” means the higher of Executive’s Basic Salary in effect (x) on the date of his Covered Termination (without giving effect to any reduction in Basic Salary that would constitute Good Reason for Constructive Termination) or (y) immediately prior to the Change in Control; provided, however, that if the Executive has, during the twelve (12) months prior to the date of his Covered Termination or the Change in Control, as applicable, taken a voluntary pay reduction, then Executive’s Final Basic Salary will be determined without regard to such voluntary pay reduction.</w:t>
      </w:r>
    </w:p>
    <w:p>
      <w:pPr>
        <w:spacing w:after="0" w:line="201" w:lineRule="exact"/>
        <w:rPr>
          <w:rFonts w:ascii="Arial" w:cs="Arial" w:eastAsia="Arial" w:hAnsi="Arial"/>
          <w:sz w:val="20"/>
          <w:szCs w:val="20"/>
          <w:color w:val="auto"/>
        </w:rPr>
      </w:pPr>
    </w:p>
    <w:p>
      <w:pPr>
        <w:ind w:left="320" w:hanging="320"/>
        <w:spacing w:after="0" w:line="269" w:lineRule="auto"/>
        <w:tabs>
          <w:tab w:leader="none" w:pos="320" w:val="left"/>
        </w:tabs>
        <w:numPr>
          <w:ilvl w:val="0"/>
          <w:numId w:val="371"/>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 the occurrence of any one or more of the following actions or events without Executive’s written consent:</w:t>
      </w:r>
    </w:p>
    <w:p>
      <w:pPr>
        <w:spacing w:after="0" w:line="181" w:lineRule="exact"/>
        <w:rPr>
          <w:rFonts w:ascii="Arial" w:cs="Arial" w:eastAsia="Arial" w:hAnsi="Arial"/>
          <w:sz w:val="20"/>
          <w:szCs w:val="20"/>
          <w:color w:val="auto"/>
        </w:rPr>
      </w:pPr>
    </w:p>
    <w:p>
      <w:pPr>
        <w:jc w:val="both"/>
        <w:ind w:left="1620" w:hanging="647"/>
        <w:spacing w:after="0" w:line="260" w:lineRule="auto"/>
        <w:tabs>
          <w:tab w:leader="none" w:pos="1620" w:val="left"/>
        </w:tabs>
        <w:numPr>
          <w:ilvl w:val="1"/>
          <w:numId w:val="371"/>
        </w:numPr>
        <w:rPr>
          <w:rFonts w:ascii="Arial" w:cs="Arial" w:eastAsia="Arial" w:hAnsi="Arial"/>
          <w:sz w:val="19"/>
          <w:szCs w:val="19"/>
          <w:color w:val="auto"/>
        </w:rPr>
      </w:pPr>
      <w:r>
        <w:rPr>
          <w:rFonts w:ascii="Arial" w:cs="Arial" w:eastAsia="Arial" w:hAnsi="Arial"/>
          <w:sz w:val="21"/>
          <w:szCs w:val="21"/>
          <w:color w:val="auto"/>
        </w:rPr>
        <w:t>one or more reductions in Executive’s Basic Salary that results in a total reduction in Executive’s Basic Salary, as in effect immediately prior to the Change in Control or any higher Basic Salary in effect following the Change in Control, by more than ten percent (10%);</w:t>
      </w:r>
    </w:p>
    <w:p>
      <w:pPr>
        <w:spacing w:after="0" w:line="2" w:lineRule="exact"/>
        <w:rPr>
          <w:rFonts w:ascii="Arial" w:cs="Arial" w:eastAsia="Arial" w:hAnsi="Arial"/>
          <w:sz w:val="19"/>
          <w:szCs w:val="19"/>
          <w:color w:val="auto"/>
        </w:rPr>
      </w:pPr>
    </w:p>
    <w:p>
      <w:pPr>
        <w:ind w:left="1620" w:hanging="647"/>
        <w:spacing w:after="0" w:line="246" w:lineRule="auto"/>
        <w:tabs>
          <w:tab w:leader="none" w:pos="1620" w:val="left"/>
        </w:tabs>
        <w:numPr>
          <w:ilvl w:val="1"/>
          <w:numId w:val="371"/>
        </w:numPr>
        <w:rPr>
          <w:rFonts w:ascii="Arial" w:cs="Arial" w:eastAsia="Arial" w:hAnsi="Arial"/>
          <w:sz w:val="20"/>
          <w:szCs w:val="20"/>
          <w:color w:val="auto"/>
        </w:rPr>
      </w:pPr>
      <w:r>
        <w:rPr>
          <w:rFonts w:ascii="Arial" w:cs="Arial" w:eastAsia="Arial" w:hAnsi="Arial"/>
          <w:sz w:val="22"/>
          <w:szCs w:val="22"/>
          <w:color w:val="auto"/>
        </w:rPr>
        <w:t>a relocation of Executive’s principal place of employment that increases Executive’s one-way commute by more than thirty-five (35) miles;</w:t>
      </w:r>
    </w:p>
    <w:p>
      <w:pPr>
        <w:sectPr>
          <w:pgSz w:w="11900" w:h="16838" w:orient="portrait"/>
          <w:cols w:equalWidth="0" w:num="1">
            <w:col w:w="10440"/>
          </w:cols>
          <w:pgMar w:left="1220" w:top="598" w:right="239" w:bottom="1440" w:gutter="0" w:footer="0" w:header="0"/>
        </w:sectPr>
      </w:pPr>
    </w:p>
    <w:bookmarkStart w:id="400" w:name="page401"/>
    <w:bookmarkEnd w:id="400"/>
    <w:p>
      <w:pPr>
        <w:jc w:val="both"/>
        <w:ind w:left="2268" w:hanging="647"/>
        <w:spacing w:after="0" w:line="285" w:lineRule="auto"/>
        <w:tabs>
          <w:tab w:leader="none" w:pos="2268" w:val="left"/>
        </w:tabs>
        <w:numPr>
          <w:ilvl w:val="2"/>
          <w:numId w:val="372"/>
        </w:numPr>
        <w:rPr>
          <w:rFonts w:ascii="Arial" w:cs="Arial" w:eastAsia="Arial" w:hAnsi="Arial"/>
          <w:sz w:val="18"/>
          <w:szCs w:val="18"/>
          <w:color w:val="auto"/>
        </w:rPr>
      </w:pPr>
      <w:r>
        <w:rPr>
          <w:rFonts w:ascii="Arial" w:cs="Arial" w:eastAsia="Arial" w:hAnsi="Arial"/>
          <w:sz w:val="19"/>
          <w:szCs w:val="19"/>
          <w:color w:val="auto"/>
        </w:rPr>
        <w:t>a substantial reduction in Executive’s authority, duties, or responsibilities (and not simply a change in reporting relationships) as in effect immediately prior to the effective date of the Change in Control; provided that, if (i) Executive continues to hold the same position but the size of Executive’s employing entity (or the business unit to which Executive is assigned) has decreased significantly or (ii) neither the Company nor the Employer continues to be a publicly traded corporation, Executive’s authority, duties and responsibilities will be considered to be substantially reduced; or</w:t>
      </w:r>
    </w:p>
    <w:p>
      <w:pPr>
        <w:ind w:left="2268" w:hanging="647"/>
        <w:spacing w:after="0"/>
        <w:tabs>
          <w:tab w:leader="none" w:pos="2268" w:val="left"/>
        </w:tabs>
        <w:numPr>
          <w:ilvl w:val="2"/>
          <w:numId w:val="372"/>
        </w:numPr>
        <w:rPr>
          <w:rFonts w:ascii="Arial" w:cs="Arial" w:eastAsia="Arial" w:hAnsi="Arial"/>
          <w:sz w:val="20"/>
          <w:szCs w:val="20"/>
          <w:color w:val="auto"/>
        </w:rPr>
      </w:pPr>
      <w:r>
        <w:rPr>
          <w:rFonts w:ascii="Arial" w:cs="Arial" w:eastAsia="Arial" w:hAnsi="Arial"/>
          <w:sz w:val="22"/>
          <w:szCs w:val="22"/>
          <w:color w:val="auto"/>
        </w:rPr>
        <w:t>a reduction in the Executive’s title.</w:t>
      </w:r>
    </w:p>
    <w:p>
      <w:pPr>
        <w:spacing w:after="0" w:line="209" w:lineRule="exact"/>
        <w:rPr>
          <w:rFonts w:ascii="Arial" w:cs="Arial" w:eastAsia="Arial" w:hAnsi="Arial"/>
          <w:sz w:val="20"/>
          <w:szCs w:val="20"/>
          <w:color w:val="auto"/>
        </w:rPr>
      </w:pPr>
    </w:p>
    <w:p>
      <w:pPr>
        <w:jc w:val="both"/>
        <w:ind w:left="968" w:hanging="320"/>
        <w:spacing w:after="0" w:line="252" w:lineRule="auto"/>
        <w:tabs>
          <w:tab w:leader="none" w:pos="968" w:val="left"/>
        </w:tabs>
        <w:numPr>
          <w:ilvl w:val="1"/>
          <w:numId w:val="373"/>
        </w:numPr>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Involuntary Termination Without Cause</w:t>
      </w:r>
      <w:r>
        <w:rPr>
          <w:rFonts w:ascii="Arial" w:cs="Arial" w:eastAsia="Arial" w:hAnsi="Arial"/>
          <w:sz w:val="22"/>
          <w:szCs w:val="22"/>
          <w:color w:val="auto"/>
        </w:rPr>
        <w:t>” means a termination by the Company or an Affiliate of Executive’s employment relationship for any reason other than for Cause. For purposes of the foregoing and this Schedule, a termination of employment due to Executive’s death or Disability shall constitute an Involuntary Termination Without Cause.</w:t>
      </w:r>
    </w:p>
    <w:p>
      <w:pPr>
        <w:spacing w:after="0" w:line="193" w:lineRule="exact"/>
        <w:rPr>
          <w:rFonts w:ascii="Arial" w:cs="Arial" w:eastAsia="Arial" w:hAnsi="Arial"/>
          <w:sz w:val="20"/>
          <w:szCs w:val="20"/>
          <w:color w:val="auto"/>
        </w:rPr>
      </w:pPr>
    </w:p>
    <w:p>
      <w:pPr>
        <w:ind w:left="328" w:hanging="328"/>
        <w:spacing w:after="0"/>
        <w:tabs>
          <w:tab w:leader="none" w:pos="328" w:val="left"/>
        </w:tabs>
        <w:numPr>
          <w:ilvl w:val="0"/>
          <w:numId w:val="374"/>
        </w:numPr>
        <w:rPr>
          <w:rFonts w:ascii="Arial" w:cs="Arial" w:eastAsia="Arial" w:hAnsi="Arial"/>
          <w:sz w:val="20"/>
          <w:szCs w:val="20"/>
          <w:color w:val="auto"/>
        </w:rPr>
      </w:pPr>
      <w:r>
        <w:rPr>
          <w:rFonts w:ascii="Arial" w:cs="Arial" w:eastAsia="Arial" w:hAnsi="Arial"/>
          <w:sz w:val="22"/>
          <w:szCs w:val="22"/>
          <w:b w:val="1"/>
          <w:bCs w:val="1"/>
          <w:color w:val="auto"/>
        </w:rPr>
        <w:t xml:space="preserve">Additional Terms: </w:t>
      </w:r>
      <w:r>
        <w:rPr>
          <w:rFonts w:ascii="Arial" w:cs="Arial" w:eastAsia="Arial" w:hAnsi="Arial"/>
          <w:sz w:val="22"/>
          <w:szCs w:val="22"/>
          <w:color w:val="auto"/>
        </w:rPr>
        <w:t>The following additional terms shall apply:</w:t>
      </w:r>
    </w:p>
    <w:p>
      <w:pPr>
        <w:spacing w:after="0" w:line="233" w:lineRule="exact"/>
        <w:rPr>
          <w:rFonts w:ascii="Arial" w:cs="Arial" w:eastAsia="Arial" w:hAnsi="Arial"/>
          <w:sz w:val="20"/>
          <w:szCs w:val="20"/>
          <w:color w:val="auto"/>
        </w:rPr>
      </w:pPr>
    </w:p>
    <w:p>
      <w:pPr>
        <w:jc w:val="both"/>
        <w:ind w:left="968" w:hanging="320"/>
        <w:spacing w:after="0" w:line="289" w:lineRule="auto"/>
        <w:tabs>
          <w:tab w:leader="none" w:pos="968" w:val="left"/>
        </w:tabs>
        <w:numPr>
          <w:ilvl w:val="1"/>
          <w:numId w:val="374"/>
        </w:numPr>
        <w:rPr>
          <w:rFonts w:ascii="Arial" w:cs="Arial" w:eastAsia="Arial" w:hAnsi="Arial"/>
          <w:sz w:val="18"/>
          <w:szCs w:val="18"/>
          <w:color w:val="auto"/>
        </w:rPr>
      </w:pPr>
      <w:r>
        <w:rPr>
          <w:rFonts w:ascii="Arial" w:cs="Arial" w:eastAsia="Arial" w:hAnsi="Arial"/>
          <w:sz w:val="19"/>
          <w:szCs w:val="19"/>
          <w:b w:val="1"/>
          <w:bCs w:val="1"/>
          <w:color w:val="auto"/>
        </w:rPr>
        <w:t xml:space="preserve">Release and Other Requirements for Receipt of Severance Benefits: </w:t>
      </w:r>
      <w:r>
        <w:rPr>
          <w:rFonts w:ascii="Arial" w:cs="Arial" w:eastAsia="Arial" w:hAnsi="Arial"/>
          <w:sz w:val="19"/>
          <w:szCs w:val="19"/>
          <w:color w:val="auto"/>
        </w:rPr>
        <w:t>In order to be eligible to receive, and prior</w:t>
      </w:r>
      <w:r>
        <w:rPr>
          <w:rFonts w:ascii="Arial" w:cs="Arial" w:eastAsia="Arial" w:hAnsi="Arial"/>
          <w:sz w:val="19"/>
          <w:szCs w:val="19"/>
          <w:b w:val="1"/>
          <w:bCs w:val="1"/>
          <w:color w:val="auto"/>
        </w:rPr>
        <w:t xml:space="preserve"> </w:t>
      </w:r>
      <w:r>
        <w:rPr>
          <w:rFonts w:ascii="Arial" w:cs="Arial" w:eastAsia="Arial" w:hAnsi="Arial"/>
          <w:sz w:val="19"/>
          <w:szCs w:val="19"/>
          <w:color w:val="auto"/>
        </w:rPr>
        <w:t>to receipt of, any of the Severance Benefits, the Executive must execute a general waiver and release and return such release to the Company within the time period specified therein, but in no event more than forty-five (45) days following the date of the Covered Termination, and such release must become effective in accordance with its terms but in all cases not later than the sixtieth (60th) day following the Covered Termination. No release shall require the Executive to forego any unpaid salary, any accrued but unpaid vacation pay, or any vested or earned benefits payable pursuant to the Executive’s Employment Agreement or by law. The Company, in its sole discretion, may modify the form of the required release to comply with applicable law and shall determine the form of the required release. In addition to such release, Executive also must return all property of the Company or an Affiliate which Executive has in his possession or control.</w:t>
      </w:r>
    </w:p>
    <w:p>
      <w:pPr>
        <w:spacing w:after="0" w:line="164" w:lineRule="exact"/>
        <w:rPr>
          <w:rFonts w:ascii="Arial" w:cs="Arial" w:eastAsia="Arial" w:hAnsi="Arial"/>
          <w:sz w:val="18"/>
          <w:szCs w:val="18"/>
          <w:color w:val="auto"/>
        </w:rPr>
      </w:pPr>
    </w:p>
    <w:p>
      <w:pPr>
        <w:ind w:left="968" w:hanging="320"/>
        <w:spacing w:after="0" w:line="269" w:lineRule="auto"/>
        <w:tabs>
          <w:tab w:leader="none" w:pos="968" w:val="left"/>
        </w:tabs>
        <w:numPr>
          <w:ilvl w:val="1"/>
          <w:numId w:val="374"/>
        </w:numPr>
        <w:rPr>
          <w:rFonts w:ascii="Arial" w:cs="Arial" w:eastAsia="Arial" w:hAnsi="Arial"/>
          <w:sz w:val="20"/>
          <w:szCs w:val="20"/>
          <w:color w:val="auto"/>
        </w:rPr>
      </w:pPr>
      <w:r>
        <w:rPr>
          <w:rFonts w:ascii="Arial" w:cs="Arial" w:eastAsia="Arial" w:hAnsi="Arial"/>
          <w:sz w:val="22"/>
          <w:szCs w:val="22"/>
          <w:b w:val="1"/>
          <w:bCs w:val="1"/>
          <w:color w:val="auto"/>
        </w:rPr>
        <w:t xml:space="preserve">Mitigation: </w:t>
      </w:r>
      <w:r>
        <w:rPr>
          <w:rFonts w:ascii="Arial" w:cs="Arial" w:eastAsia="Arial" w:hAnsi="Arial"/>
          <w:sz w:val="22"/>
          <w:szCs w:val="22"/>
          <w:color w:val="auto"/>
        </w:rPr>
        <w:t>The Executive shall not be required to mitigate damages as a condition of the Severance Benefits by</w:t>
      </w:r>
      <w:r>
        <w:rPr>
          <w:rFonts w:ascii="Arial" w:cs="Arial" w:eastAsia="Arial" w:hAnsi="Arial"/>
          <w:sz w:val="22"/>
          <w:szCs w:val="22"/>
          <w:b w:val="1"/>
          <w:bCs w:val="1"/>
          <w:color w:val="auto"/>
        </w:rPr>
        <w:t xml:space="preserve"> </w:t>
      </w:r>
      <w:r>
        <w:rPr>
          <w:rFonts w:ascii="Arial" w:cs="Arial" w:eastAsia="Arial" w:hAnsi="Arial"/>
          <w:sz w:val="22"/>
          <w:szCs w:val="22"/>
          <w:color w:val="auto"/>
        </w:rPr>
        <w:t>seeking other employment or otherwise.</w:t>
      </w:r>
    </w:p>
    <w:p>
      <w:pPr>
        <w:sectPr>
          <w:pgSz w:w="11900" w:h="16838" w:orient="portrait"/>
          <w:cols w:equalWidth="0" w:num="1">
            <w:col w:w="11088"/>
          </w:cols>
          <w:pgMar w:left="572" w:top="604" w:right="239" w:bottom="1440" w:gutter="0" w:footer="0" w:header="0"/>
        </w:sectPr>
      </w:pPr>
    </w:p>
    <w:bookmarkStart w:id="401" w:name="page402"/>
    <w:bookmarkEnd w:id="401"/>
    <w:p>
      <w:pPr>
        <w:jc w:val="both"/>
        <w:ind w:left="320"/>
        <w:spacing w:after="0" w:line="302" w:lineRule="auto"/>
        <w:rPr>
          <w:sz w:val="20"/>
          <w:szCs w:val="20"/>
          <w:color w:val="auto"/>
        </w:rPr>
      </w:pPr>
      <w:r>
        <w:rPr>
          <w:rFonts w:ascii="Arial" w:cs="Arial" w:eastAsia="Arial" w:hAnsi="Arial"/>
          <w:sz w:val="19"/>
          <w:szCs w:val="19"/>
          <w:color w:val="auto"/>
        </w:rPr>
        <w:t>Similarly, no amount of the Severance Benefits shall be reduced by any compensation earned by the Executive as a result of employment by another employer or any retirement, death, or disability benefits received by such Executive (or his estate) after the date of the Executive’s termination of employment with the Company or an Affiliate, except for Severance Benefits relating to payments for health continuation coverage as provided above.</w:t>
      </w:r>
    </w:p>
    <w:p>
      <w:pPr>
        <w:spacing w:after="0" w:line="150" w:lineRule="exact"/>
        <w:rPr>
          <w:sz w:val="20"/>
          <w:szCs w:val="20"/>
          <w:color w:val="auto"/>
        </w:rPr>
      </w:pPr>
    </w:p>
    <w:p>
      <w:pPr>
        <w:jc w:val="both"/>
        <w:ind w:left="320" w:hanging="320"/>
        <w:spacing w:after="0" w:line="295" w:lineRule="auto"/>
        <w:tabs>
          <w:tab w:leader="none" w:pos="320" w:val="left"/>
        </w:tabs>
        <w:numPr>
          <w:ilvl w:val="0"/>
          <w:numId w:val="375"/>
        </w:numPr>
        <w:rPr>
          <w:rFonts w:ascii="Arial" w:cs="Arial" w:eastAsia="Arial" w:hAnsi="Arial"/>
          <w:sz w:val="18"/>
          <w:szCs w:val="18"/>
          <w:color w:val="auto"/>
        </w:rPr>
      </w:pPr>
      <w:r>
        <w:rPr>
          <w:rFonts w:ascii="Arial" w:cs="Arial" w:eastAsia="Arial" w:hAnsi="Arial"/>
          <w:sz w:val="19"/>
          <w:szCs w:val="19"/>
          <w:b w:val="1"/>
          <w:bCs w:val="1"/>
          <w:color w:val="auto"/>
        </w:rPr>
        <w:t xml:space="preserve">Tax Withholding, Contributions: </w:t>
      </w:r>
      <w:r>
        <w:rPr>
          <w:rFonts w:ascii="Arial" w:cs="Arial" w:eastAsia="Arial" w:hAnsi="Arial"/>
          <w:sz w:val="19"/>
          <w:szCs w:val="19"/>
          <w:color w:val="auto"/>
        </w:rPr>
        <w:t>All payments under this Schedule will be subject to all applicable deductions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withholdings of Executive’s employer, including, without limitation, all obligations to withhold or make deductions for federal, state and local income and employment taxes, as well as national contributions and other required deductions or withholdings which are required pursuant to the terms of the Executive's employment or by law, or which are provided for in the Executive's Employment Agreement and/or this Schedule (including for the avoidance of doubt deductions for income tax and national insurance contributions required under English law).</w:t>
      </w:r>
    </w:p>
    <w:p>
      <w:pPr>
        <w:spacing w:after="0" w:line="157" w:lineRule="exact"/>
        <w:rPr>
          <w:rFonts w:ascii="Arial" w:cs="Arial" w:eastAsia="Arial" w:hAnsi="Arial"/>
          <w:sz w:val="18"/>
          <w:szCs w:val="18"/>
          <w:color w:val="auto"/>
        </w:rPr>
      </w:pPr>
    </w:p>
    <w:p>
      <w:pPr>
        <w:jc w:val="both"/>
        <w:ind w:left="320" w:hanging="320"/>
        <w:spacing w:after="0" w:line="262" w:lineRule="auto"/>
        <w:tabs>
          <w:tab w:leader="none" w:pos="320" w:val="left"/>
        </w:tabs>
        <w:numPr>
          <w:ilvl w:val="0"/>
          <w:numId w:val="375"/>
        </w:numPr>
        <w:rPr>
          <w:rFonts w:ascii="Arial" w:cs="Arial" w:eastAsia="Arial" w:hAnsi="Arial"/>
          <w:sz w:val="19"/>
          <w:szCs w:val="19"/>
          <w:color w:val="auto"/>
        </w:rPr>
      </w:pPr>
      <w:r>
        <w:rPr>
          <w:rFonts w:ascii="Arial" w:cs="Arial" w:eastAsia="Arial" w:hAnsi="Arial"/>
          <w:sz w:val="21"/>
          <w:szCs w:val="21"/>
          <w:b w:val="1"/>
          <w:bCs w:val="1"/>
          <w:color w:val="auto"/>
        </w:rPr>
        <w:t xml:space="preserve">Application of Section 252 and 253 of the Companies Act: </w:t>
      </w:r>
      <w:r>
        <w:rPr>
          <w:rFonts w:ascii="Arial" w:cs="Arial" w:eastAsia="Arial" w:hAnsi="Arial"/>
          <w:sz w:val="21"/>
          <w:szCs w:val="21"/>
          <w:color w:val="auto"/>
        </w:rPr>
        <w:t>This Schedule is entered into for the benefit of</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in the ordinary course of his employment. It is not intended to provide for any payment by way of compensation for loss of office or consideration for or in connection with the retirement from office of a director of the Company in connection with the transfer of the whole or any part of the undertaking or property of the Company within the meaning of Section 252 of the Companies Act nor to provide for a payment giving rise to a duty of a director of the Company pursuant to Section 253 of the Companies Act.</w:t>
      </w: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4840" w:type="dxa"/>
            <w:vAlign w:val="bottom"/>
            <w:gridSpan w:val="2"/>
          </w:tcPr>
          <w:p>
            <w:pPr>
              <w:ind w:left="20"/>
              <w:spacing w:after="0"/>
              <w:rPr>
                <w:sz w:val="20"/>
                <w:szCs w:val="20"/>
                <w:color w:val="auto"/>
              </w:rPr>
            </w:pPr>
            <w:r>
              <w:rPr>
                <w:rFonts w:ascii="Arial" w:cs="Arial" w:eastAsia="Arial" w:hAnsi="Arial"/>
                <w:sz w:val="22"/>
                <w:szCs w:val="22"/>
                <w:b w:val="1"/>
                <w:bCs w:val="1"/>
                <w:color w:val="auto"/>
              </w:rPr>
              <w:t>Jazz Pharmaceuticals UK Ltd</w:t>
            </w:r>
          </w:p>
        </w:tc>
        <w:tc>
          <w:tcPr>
            <w:tcW w:w="30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Arial" w:cs="Arial" w:eastAsia="Arial" w:hAnsi="Arial"/>
                <w:sz w:val="22"/>
                <w:szCs w:val="22"/>
                <w:b w:val="1"/>
                <w:bCs w:val="1"/>
                <w:color w:val="auto"/>
              </w:rPr>
              <w:t>Executive</w:t>
            </w:r>
          </w:p>
        </w:tc>
      </w:tr>
      <w:tr>
        <w:trPr>
          <w:trHeight w:val="956"/>
        </w:trPr>
        <w:tc>
          <w:tcPr>
            <w:tcW w:w="48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Bridget O'Brien</w:t>
            </w:r>
          </w:p>
        </w:tc>
        <w:tc>
          <w:tcPr>
            <w:tcW w:w="300" w:type="dxa"/>
            <w:vAlign w:val="bottom"/>
          </w:tcPr>
          <w:p>
            <w:pPr>
              <w:spacing w:after="0"/>
              <w:rPr>
                <w:sz w:val="24"/>
                <w:szCs w:val="24"/>
                <w:color w:val="auto"/>
              </w:rPr>
            </w:pPr>
          </w:p>
        </w:tc>
        <w:tc>
          <w:tcPr>
            <w:tcW w:w="490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Iain McGill</w:t>
            </w:r>
          </w:p>
        </w:tc>
      </w:tr>
      <w:tr>
        <w:trPr>
          <w:trHeight w:val="281"/>
        </w:trPr>
        <w:tc>
          <w:tcPr>
            <w:tcW w:w="4840" w:type="dxa"/>
            <w:vAlign w:val="bottom"/>
            <w:gridSpan w:val="2"/>
          </w:tcPr>
          <w:p>
            <w:pPr>
              <w:ind w:left="20"/>
              <w:spacing w:after="0"/>
              <w:rPr>
                <w:sz w:val="20"/>
                <w:szCs w:val="20"/>
                <w:color w:val="auto"/>
              </w:rPr>
            </w:pPr>
            <w:r>
              <w:rPr>
                <w:rFonts w:ascii="Arial" w:cs="Arial" w:eastAsia="Arial" w:hAnsi="Arial"/>
                <w:sz w:val="22"/>
                <w:szCs w:val="22"/>
                <w:b w:val="1"/>
                <w:bCs w:val="1"/>
                <w:color w:val="auto"/>
              </w:rPr>
              <w:t>Bridget O'Brien</w:t>
            </w:r>
          </w:p>
        </w:tc>
        <w:tc>
          <w:tcPr>
            <w:tcW w:w="30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Arial" w:cs="Arial" w:eastAsia="Arial" w:hAnsi="Arial"/>
                <w:sz w:val="22"/>
                <w:szCs w:val="22"/>
                <w:b w:val="1"/>
                <w:bCs w:val="1"/>
                <w:color w:val="auto"/>
              </w:rPr>
              <w:t>Iain McGill</w:t>
            </w:r>
          </w:p>
        </w:tc>
      </w:tr>
      <w:tr>
        <w:trPr>
          <w:trHeight w:val="297"/>
        </w:trPr>
        <w:tc>
          <w:tcPr>
            <w:tcW w:w="4840" w:type="dxa"/>
            <w:vAlign w:val="bottom"/>
            <w:gridSpan w:val="2"/>
          </w:tcPr>
          <w:p>
            <w:pPr>
              <w:ind w:left="20"/>
              <w:spacing w:after="0"/>
              <w:rPr>
                <w:sz w:val="20"/>
                <w:szCs w:val="20"/>
                <w:color w:val="auto"/>
              </w:rPr>
            </w:pPr>
            <w:r>
              <w:rPr>
                <w:rFonts w:ascii="Arial" w:cs="Arial" w:eastAsia="Arial" w:hAnsi="Arial"/>
                <w:sz w:val="22"/>
                <w:szCs w:val="22"/>
                <w:color w:val="auto"/>
              </w:rPr>
              <w:t>Director</w:t>
            </w:r>
          </w:p>
        </w:tc>
        <w:tc>
          <w:tcPr>
            <w:tcW w:w="30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Arial" w:cs="Arial" w:eastAsia="Arial" w:hAnsi="Arial"/>
                <w:sz w:val="22"/>
                <w:szCs w:val="22"/>
                <w:color w:val="auto"/>
              </w:rPr>
              <w:t>Senior Vice President, Europe &amp; ROW</w:t>
            </w:r>
          </w:p>
        </w:tc>
      </w:tr>
      <w:tr>
        <w:trPr>
          <w:trHeight w:val="630"/>
        </w:trPr>
        <w:tc>
          <w:tcPr>
            <w:tcW w:w="4840" w:type="dxa"/>
            <w:vAlign w:val="bottom"/>
            <w:gridSpan w:val="2"/>
          </w:tcPr>
          <w:p>
            <w:pPr>
              <w:ind w:left="20"/>
              <w:spacing w:after="0"/>
              <w:rPr>
                <w:sz w:val="20"/>
                <w:szCs w:val="20"/>
                <w:color w:val="auto"/>
              </w:rPr>
            </w:pPr>
            <w:r>
              <w:rPr>
                <w:rFonts w:ascii="Arial" w:cs="Arial" w:eastAsia="Arial" w:hAnsi="Arial"/>
                <w:sz w:val="22"/>
                <w:szCs w:val="22"/>
                <w:color w:val="auto"/>
              </w:rPr>
              <w:t>Date:  3 May 16</w:t>
            </w:r>
          </w:p>
        </w:tc>
        <w:tc>
          <w:tcPr>
            <w:tcW w:w="30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Arial" w:cs="Arial" w:eastAsia="Arial" w:hAnsi="Arial"/>
                <w:sz w:val="22"/>
                <w:szCs w:val="22"/>
                <w:color w:val="auto"/>
              </w:rPr>
              <w:t>Date:  4th May 2016</w:t>
            </w:r>
          </w:p>
        </w:tc>
      </w:tr>
      <w:tr>
        <w:trPr>
          <w:trHeight w:val="22"/>
        </w:trPr>
        <w:tc>
          <w:tcPr>
            <w:tcW w:w="600" w:type="dxa"/>
            <w:vAlign w:val="bottom"/>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r>
    </w:tbl>
    <w:p>
      <w:pPr>
        <w:sectPr>
          <w:pgSz w:w="11900" w:h="16838" w:orient="portrait"/>
          <w:cols w:equalWidth="0" w:num="1">
            <w:col w:w="10440"/>
          </w:cols>
          <w:pgMar w:left="1220" w:top="604" w:right="239" w:bottom="1440" w:gutter="0" w:footer="0" w:header="0"/>
        </w:sectPr>
      </w:pPr>
    </w:p>
    <w:bookmarkStart w:id="402" w:name="page403"/>
    <w:bookmarkEnd w:id="402"/>
    <w:p>
      <w:pPr>
        <w:jc w:val="right"/>
        <w:spacing w:after="0"/>
        <w:rPr>
          <w:sz w:val="20"/>
          <w:szCs w:val="20"/>
          <w:color w:val="auto"/>
        </w:rPr>
      </w:pPr>
      <w:r>
        <w:rPr>
          <w:rFonts w:ascii="Arial" w:cs="Arial" w:eastAsia="Arial" w:hAnsi="Arial"/>
          <w:sz w:val="22"/>
          <w:szCs w:val="22"/>
          <w:b w:val="1"/>
          <w:bCs w:val="1"/>
          <w:color w:val="auto"/>
        </w:rPr>
        <w:t>Exhibit 10.6</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[JAZZ PHARMACEUTICALS LETTERHEAD]</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PERSONAL, PRIVATE AND CONFIDENTIAL</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2 May 2016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Iain McGill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Change in Control Stock Award Acceleration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Dear Iain:</w:t>
      </w:r>
    </w:p>
    <w:p>
      <w:pPr>
        <w:spacing w:after="0" w:line="173"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This letter agreement (“</w:t>
      </w:r>
      <w:r>
        <w:rPr>
          <w:rFonts w:ascii="Arial" w:cs="Arial" w:eastAsia="Arial" w:hAnsi="Arial"/>
          <w:sz w:val="21"/>
          <w:szCs w:val="21"/>
          <w:b w:val="1"/>
          <w:bCs w:val="1"/>
          <w:color w:val="auto"/>
        </w:rPr>
        <w:t>Agreement</w:t>
      </w:r>
      <w:r>
        <w:rPr>
          <w:rFonts w:ascii="Arial" w:cs="Arial" w:eastAsia="Arial" w:hAnsi="Arial"/>
          <w:sz w:val="21"/>
          <w:szCs w:val="21"/>
          <w:color w:val="auto"/>
        </w:rPr>
        <w:t>”) sets forth the terms and conditions for accelerated vesting of your Stock Awards under certain circumstances. Terms not defined in this Agreement shall have the definitions set forth in the Amended and Restated Schedule 3 to your Terms and Conditions of Employment which is effective as of 15 May 2016 (the “</w:t>
      </w:r>
      <w:r>
        <w:rPr>
          <w:rFonts w:ascii="Arial" w:cs="Arial" w:eastAsia="Arial" w:hAnsi="Arial"/>
          <w:sz w:val="21"/>
          <w:szCs w:val="21"/>
          <w:b w:val="1"/>
          <w:bCs w:val="1"/>
          <w:color w:val="auto"/>
        </w:rPr>
        <w:t>Schedule</w:t>
      </w:r>
      <w:r>
        <w:rPr>
          <w:rFonts w:ascii="Arial" w:cs="Arial" w:eastAsia="Arial" w:hAnsi="Arial"/>
          <w:sz w:val="21"/>
          <w:szCs w:val="21"/>
          <w:color w:val="auto"/>
        </w:rPr>
        <w:t>”).</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1.  Accelerated Vesting of Stock Awards.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If you are subject to a Covered Termination which is effective on or within twelve (12) months following a Change in Control, and you meet all requirements for receipt of the Severance Benefits under the Schedule (including but not limited to the requirement to execute and return a release), the following shall apply: the vesting (and exercisability, if applicable) of all outstanding options to purchase the Company’s ordinary shares, stock appreciation rights or similar rights or other rights with respect to the Company’s ordinary shares, and any other stock awards granted to you pursuant to any equity incentive plan of the Company, including but not limited to restricted stock units (collectively, the "</w:t>
      </w:r>
      <w:r>
        <w:rPr>
          <w:rFonts w:ascii="Arial" w:cs="Arial" w:eastAsia="Arial" w:hAnsi="Arial"/>
          <w:sz w:val="22"/>
          <w:szCs w:val="22"/>
          <w:b w:val="1"/>
          <w:bCs w:val="1"/>
          <w:color w:val="auto"/>
        </w:rPr>
        <w:t>Stock Awards</w:t>
      </w:r>
      <w:r>
        <w:rPr>
          <w:rFonts w:ascii="Arial" w:cs="Arial" w:eastAsia="Arial" w:hAnsi="Arial"/>
          <w:sz w:val="22"/>
          <w:szCs w:val="22"/>
          <w:color w:val="auto"/>
        </w:rPr>
        <w:t>"), that are held by you on the date of your Covered Termination shall be accelerated in full.</w:t>
      </w:r>
    </w:p>
    <w:p>
      <w:pPr>
        <w:spacing w:after="0" w:line="15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vesting (and exercisability, if applicable) of any Stock Award which shall be accelerated pursuant to this Agreement shall occur on the sixtieth (60th) day following the date of your Covered Termination. Notwithstanding anything to the contrary set forth in any applicable equity incentive plan of the Company or any agreement evidencing a Stock Award, in the event of your Covered Termination (and in order to give effect to the intent of this provision), in no event will any portion of your Stock Award be forfeited or terminate any earlier than the sixtieth (60th) day following the date of your Covered Termination.</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2.  Governing Law.</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Stock Award and the provisions of this Agreement are governed by, and subject to, the laws of the State of Delaware, without regard to the conflict of law provisions.</w:t>
      </w:r>
    </w:p>
    <w:p>
      <w:pPr>
        <w:sectPr>
          <w:pgSz w:w="11900" w:h="16838" w:orient="portrait"/>
          <w:cols w:equalWidth="0" w:num="1">
            <w:col w:w="11420"/>
          </w:cols>
          <w:pgMar w:left="240" w:top="625" w:right="239" w:bottom="1440" w:gutter="0" w:footer="0" w:header="0"/>
        </w:sectPr>
      </w:pPr>
    </w:p>
    <w:bookmarkStart w:id="403" w:name="page404"/>
    <w:bookmarkEnd w:id="403"/>
    <w:p>
      <w:pPr>
        <w:jc w:val="both"/>
        <w:spacing w:after="0" w:line="250" w:lineRule="auto"/>
        <w:rPr>
          <w:sz w:val="20"/>
          <w:szCs w:val="20"/>
          <w:color w:val="auto"/>
        </w:rPr>
      </w:pPr>
      <w:r>
        <w:rPr>
          <w:rFonts w:ascii="Arial" w:cs="Arial" w:eastAsia="Arial" w:hAnsi="Arial"/>
          <w:sz w:val="22"/>
          <w:szCs w:val="22"/>
          <w:color w:val="auto"/>
        </w:rPr>
        <w:t>For purposes of any action, lawsuit or other proceedings brought to enforce this Agreement, relating to it, or arising from it, the parties hereby submit to and consent to the sole and exclusive jurisdiction of the courts of Santa Clara County, California, or the federal courts for the United States for the Northern District of California, and no other courts, where this grant is made and/or to be performed.</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3.  Miscellaneous.</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accelerated vesting provided under this Agreement is in addition to, and does not replace or otherwise affect any provision in any applicable equity incentive plan of the Company or any agreement evidencing a Stock Award that provides for the acceleration of vesting (and exercisability, if applicable) of such Stock Award. This Agreement, the applicable equity incentive plan, and award agreement under which each Stock Award is granted, are the complete and exclusive agreement of the parties concerning this subject matter, and any modifications to this Agreement must be memorialized in a written agreement signed by both parties.</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color w:val="auto"/>
        </w:rPr>
        <w:t>This Agreement is effective as of 15 May 2016, provided that it is fully signed by you and Jazz Pharmaceuticals plc as of such date.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Please sign and date this Agreement in the space provided below no later than 13 May, and return it to me at your earliest convenience. If you have any questions, please let me know.</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JAZZ PHARMACEUTICALS PLC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Heather P. McGaughey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41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Heather McGaughey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Senior Vice President, Human Resources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Reviewed, understood and agreed: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Iain McGill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413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Iain McGill</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Senior Vice President, Europe &amp; ROW</w:t>
      </w:r>
    </w:p>
    <w:p>
      <w:pPr>
        <w:spacing w:after="0" w:line="368"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22"/>
          <w:szCs w:val="22"/>
          <w:color w:val="auto"/>
        </w:rPr>
        <w:t>Date:</w:t>
        <w:tab/>
        <w:t>4/5/16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24765</wp:posOffset>
            </wp:positionV>
            <wp:extent cx="249555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20"/>
          </w:cols>
          <w:pgMar w:left="240" w:top="631" w:right="239" w:bottom="1440" w:gutter="0" w:footer="0" w:header="0"/>
        </w:sectPr>
      </w:pPr>
    </w:p>
    <w:bookmarkStart w:id="404" w:name="page405"/>
    <w:bookmarkEnd w:id="404"/>
    <w:p>
      <w:pPr>
        <w:jc w:val="right"/>
        <w:spacing w:after="0"/>
        <w:rPr>
          <w:sz w:val="20"/>
          <w:szCs w:val="20"/>
          <w:color w:val="auto"/>
        </w:rPr>
      </w:pPr>
      <w:r>
        <w:rPr>
          <w:rFonts w:ascii="Arial" w:cs="Arial" w:eastAsia="Arial" w:hAnsi="Arial"/>
          <w:sz w:val="22"/>
          <w:szCs w:val="22"/>
          <w:b w:val="1"/>
          <w:bCs w:val="1"/>
          <w:color w:val="auto"/>
        </w:rPr>
        <w:t>Exhibit 10.7</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JAZZ PHARMACEUTICALS PLC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200" w:lineRule="exact"/>
        <w:rPr>
          <w:sz w:val="20"/>
          <w:szCs w:val="20"/>
          <w:color w:val="auto"/>
        </w:rPr>
      </w:pPr>
    </w:p>
    <w:p>
      <w:pPr>
        <w:spacing w:after="0" w:line="242"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Non-employee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Jazz Pharmaceuticals plc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be eligible to receive cash and equity compensation as set forth in this Non-Employee Director Compensation Policy (this “</w:t>
      </w:r>
      <w:r>
        <w:rPr>
          <w:rFonts w:ascii="Arial" w:cs="Arial" w:eastAsia="Arial" w:hAnsi="Arial"/>
          <w:sz w:val="19"/>
          <w:szCs w:val="19"/>
          <w:b w:val="1"/>
          <w:bCs w:val="1"/>
          <w:i w:val="1"/>
          <w:iCs w:val="1"/>
          <w:color w:val="auto"/>
        </w:rPr>
        <w:t>Policy</w:t>
      </w:r>
      <w:r>
        <w:rPr>
          <w:rFonts w:ascii="Arial" w:cs="Arial" w:eastAsia="Arial" w:hAnsi="Arial"/>
          <w:sz w:val="19"/>
          <w:szCs w:val="19"/>
          <w:color w:val="auto"/>
        </w:rPr>
        <w:t>”). The cash compensation and equity grants described in this Policy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who may be eligible to receive such cash compensation or equity grants, unless such Non-Employee Director declines the receipt of such cash compensation or equity grants by written notice to the Company. This Policy shall remain in effect until it is revised or rescinded by further action of the Board.</w:t>
      </w:r>
    </w:p>
    <w:p>
      <w:pPr>
        <w:spacing w:after="0" w:line="151" w:lineRule="exact"/>
        <w:rPr>
          <w:sz w:val="20"/>
          <w:szCs w:val="20"/>
          <w:color w:val="auto"/>
        </w:rPr>
      </w:pPr>
    </w:p>
    <w:p>
      <w:pPr>
        <w:ind w:left="440" w:hanging="432"/>
        <w:spacing w:after="0"/>
        <w:tabs>
          <w:tab w:leader="none" w:pos="440" w:val="left"/>
        </w:tabs>
        <w:numPr>
          <w:ilvl w:val="0"/>
          <w:numId w:val="376"/>
        </w:numPr>
        <w:rPr>
          <w:rFonts w:ascii="Arial" w:cs="Arial" w:eastAsia="Arial" w:hAnsi="Arial"/>
          <w:sz w:val="22"/>
          <w:szCs w:val="22"/>
          <w:color w:val="auto"/>
        </w:rPr>
      </w:pPr>
      <w:r>
        <w:rPr>
          <w:rFonts w:ascii="Arial" w:cs="Arial" w:eastAsia="Arial" w:hAnsi="Arial"/>
          <w:sz w:val="22"/>
          <w:szCs w:val="22"/>
          <w:u w:val="single" w:color="auto"/>
          <w:color w:val="auto"/>
        </w:rPr>
        <w:t>Cash Compensation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180" w:firstLine="656"/>
        <w:spacing w:after="0" w:line="263" w:lineRule="auto"/>
        <w:tabs>
          <w:tab w:leader="none" w:pos="1104" w:val="left"/>
        </w:tabs>
        <w:numPr>
          <w:ilvl w:val="1"/>
          <w:numId w:val="376"/>
        </w:numPr>
        <w:rPr>
          <w:rFonts w:ascii="Arial" w:cs="Arial" w:eastAsia="Arial" w:hAnsi="Arial"/>
          <w:sz w:val="22"/>
          <w:szCs w:val="22"/>
          <w:color w:val="auto"/>
        </w:rPr>
      </w:pPr>
      <w:r>
        <w:rPr>
          <w:rFonts w:ascii="Arial" w:cs="Arial" w:eastAsia="Arial" w:hAnsi="Arial"/>
          <w:sz w:val="22"/>
          <w:szCs w:val="22"/>
          <w:color w:val="auto"/>
        </w:rPr>
        <w:t>Subject to Section 1(b) below, each Non-Employee Director shall be eligible to receive an annual retainer of $60,000 for service on the Board. In addition, a Non-Employee Director serving as:</w:t>
      </w:r>
    </w:p>
    <w:p>
      <w:pPr>
        <w:spacing w:after="0" w:line="174" w:lineRule="exact"/>
        <w:rPr>
          <w:rFonts w:ascii="Arial" w:cs="Arial" w:eastAsia="Arial" w:hAnsi="Arial"/>
          <w:sz w:val="22"/>
          <w:szCs w:val="22"/>
          <w:color w:val="auto"/>
        </w:rPr>
      </w:pPr>
    </w:p>
    <w:p>
      <w:pPr>
        <w:ind w:left="1540" w:right="20" w:hanging="411"/>
        <w:spacing w:after="0" w:line="263" w:lineRule="auto"/>
        <w:tabs>
          <w:tab w:leader="none" w:pos="1540" w:val="left"/>
        </w:tabs>
        <w:numPr>
          <w:ilvl w:val="2"/>
          <w:numId w:val="376"/>
        </w:numPr>
        <w:rPr>
          <w:rFonts w:ascii="Arial" w:cs="Arial" w:eastAsia="Arial" w:hAnsi="Arial"/>
          <w:sz w:val="22"/>
          <w:szCs w:val="22"/>
          <w:color w:val="auto"/>
        </w:rPr>
      </w:pPr>
      <w:r>
        <w:rPr>
          <w:rFonts w:ascii="Arial" w:cs="Arial" w:eastAsia="Arial" w:hAnsi="Arial"/>
          <w:sz w:val="22"/>
          <w:szCs w:val="22"/>
          <w:color w:val="auto"/>
        </w:rPr>
        <w:t>lead independent director of the Board shall be eligible to receive an additional annual retainer of $50,000 for such service;</w:t>
      </w:r>
    </w:p>
    <w:p>
      <w:pPr>
        <w:spacing w:after="0" w:line="174" w:lineRule="exact"/>
        <w:rPr>
          <w:rFonts w:ascii="Arial" w:cs="Arial" w:eastAsia="Arial" w:hAnsi="Arial"/>
          <w:sz w:val="22"/>
          <w:szCs w:val="22"/>
          <w:color w:val="auto"/>
        </w:rPr>
      </w:pPr>
    </w:p>
    <w:p>
      <w:pPr>
        <w:ind w:left="1540" w:hanging="411"/>
        <w:spacing w:after="0" w:line="263" w:lineRule="auto"/>
        <w:tabs>
          <w:tab w:leader="none" w:pos="1540" w:val="left"/>
        </w:tabs>
        <w:numPr>
          <w:ilvl w:val="2"/>
          <w:numId w:val="376"/>
        </w:numPr>
        <w:rPr>
          <w:rFonts w:ascii="Arial" w:cs="Arial" w:eastAsia="Arial" w:hAnsi="Arial"/>
          <w:sz w:val="22"/>
          <w:szCs w:val="22"/>
          <w:color w:val="auto"/>
        </w:rPr>
      </w:pPr>
      <w:r>
        <w:rPr>
          <w:rFonts w:ascii="Arial" w:cs="Arial" w:eastAsia="Arial" w:hAnsi="Arial"/>
          <w:sz w:val="22"/>
          <w:szCs w:val="22"/>
          <w:color w:val="auto"/>
        </w:rPr>
        <w:t>chairperson of the Audit Committee shall be eligible to receive an additional annual retainer of $25,000 for such service;</w:t>
      </w:r>
    </w:p>
    <w:p>
      <w:pPr>
        <w:spacing w:after="0" w:line="174" w:lineRule="exact"/>
        <w:rPr>
          <w:rFonts w:ascii="Arial" w:cs="Arial" w:eastAsia="Arial" w:hAnsi="Arial"/>
          <w:sz w:val="22"/>
          <w:szCs w:val="22"/>
          <w:color w:val="auto"/>
        </w:rPr>
      </w:pPr>
    </w:p>
    <w:p>
      <w:pPr>
        <w:ind w:left="1540" w:hanging="411"/>
        <w:spacing w:after="0" w:line="263" w:lineRule="auto"/>
        <w:tabs>
          <w:tab w:leader="none" w:pos="1540" w:val="left"/>
        </w:tabs>
        <w:numPr>
          <w:ilvl w:val="2"/>
          <w:numId w:val="376"/>
        </w:numPr>
        <w:rPr>
          <w:rFonts w:ascii="Arial" w:cs="Arial" w:eastAsia="Arial" w:hAnsi="Arial"/>
          <w:sz w:val="22"/>
          <w:szCs w:val="22"/>
          <w:color w:val="auto"/>
        </w:rPr>
      </w:pPr>
      <w:r>
        <w:rPr>
          <w:rFonts w:ascii="Arial" w:cs="Arial" w:eastAsia="Arial" w:hAnsi="Arial"/>
          <w:sz w:val="22"/>
          <w:szCs w:val="22"/>
          <w:color w:val="auto"/>
        </w:rPr>
        <w:t>members (other than the chairperson) of the Audit Committee shall be eligible to receive an additional annual retainer of $15,000 for such service;</w:t>
      </w:r>
    </w:p>
    <w:p>
      <w:pPr>
        <w:spacing w:after="0" w:line="174" w:lineRule="exact"/>
        <w:rPr>
          <w:rFonts w:ascii="Arial" w:cs="Arial" w:eastAsia="Arial" w:hAnsi="Arial"/>
          <w:sz w:val="22"/>
          <w:szCs w:val="22"/>
          <w:color w:val="auto"/>
        </w:rPr>
      </w:pPr>
    </w:p>
    <w:p>
      <w:pPr>
        <w:ind w:left="1540" w:hanging="411"/>
        <w:spacing w:after="0" w:line="263" w:lineRule="auto"/>
        <w:tabs>
          <w:tab w:leader="none" w:pos="1540" w:val="left"/>
        </w:tabs>
        <w:numPr>
          <w:ilvl w:val="2"/>
          <w:numId w:val="376"/>
        </w:numPr>
        <w:rPr>
          <w:rFonts w:ascii="Arial" w:cs="Arial" w:eastAsia="Arial" w:hAnsi="Arial"/>
          <w:sz w:val="22"/>
          <w:szCs w:val="22"/>
          <w:color w:val="auto"/>
        </w:rPr>
      </w:pPr>
      <w:r>
        <w:rPr>
          <w:rFonts w:ascii="Arial" w:cs="Arial" w:eastAsia="Arial" w:hAnsi="Arial"/>
          <w:sz w:val="22"/>
          <w:szCs w:val="22"/>
          <w:color w:val="auto"/>
        </w:rPr>
        <w:t>chairperson of the Compensation Committee shall be eligible to receive an additional annual retainer of $22,500 for such service;</w:t>
      </w:r>
    </w:p>
    <w:p>
      <w:pPr>
        <w:spacing w:after="0" w:line="174" w:lineRule="exact"/>
        <w:rPr>
          <w:rFonts w:ascii="Arial" w:cs="Arial" w:eastAsia="Arial" w:hAnsi="Arial"/>
          <w:sz w:val="22"/>
          <w:szCs w:val="22"/>
          <w:color w:val="auto"/>
        </w:rPr>
      </w:pPr>
    </w:p>
    <w:p>
      <w:pPr>
        <w:ind w:left="1540" w:hanging="411"/>
        <w:spacing w:after="0" w:line="263" w:lineRule="auto"/>
        <w:tabs>
          <w:tab w:leader="none" w:pos="1540" w:val="left"/>
        </w:tabs>
        <w:numPr>
          <w:ilvl w:val="2"/>
          <w:numId w:val="376"/>
        </w:numPr>
        <w:rPr>
          <w:rFonts w:ascii="Arial" w:cs="Arial" w:eastAsia="Arial" w:hAnsi="Arial"/>
          <w:sz w:val="22"/>
          <w:szCs w:val="22"/>
          <w:color w:val="auto"/>
        </w:rPr>
      </w:pPr>
      <w:r>
        <w:rPr>
          <w:rFonts w:ascii="Arial" w:cs="Arial" w:eastAsia="Arial" w:hAnsi="Arial"/>
          <w:sz w:val="22"/>
          <w:szCs w:val="22"/>
          <w:color w:val="auto"/>
        </w:rPr>
        <w:t>members (other than the chairperson) of the Compensation Committee shall be eligible to receive an additional annual retainer of $12,500 for such service;</w:t>
      </w:r>
    </w:p>
    <w:p>
      <w:pPr>
        <w:spacing w:after="0" w:line="174" w:lineRule="exact"/>
        <w:rPr>
          <w:rFonts w:ascii="Arial" w:cs="Arial" w:eastAsia="Arial" w:hAnsi="Arial"/>
          <w:sz w:val="22"/>
          <w:szCs w:val="22"/>
          <w:color w:val="auto"/>
        </w:rPr>
      </w:pPr>
    </w:p>
    <w:p>
      <w:pPr>
        <w:ind w:left="1540" w:hanging="411"/>
        <w:spacing w:after="0" w:line="263" w:lineRule="auto"/>
        <w:tabs>
          <w:tab w:leader="none" w:pos="1540" w:val="left"/>
        </w:tabs>
        <w:numPr>
          <w:ilvl w:val="2"/>
          <w:numId w:val="376"/>
        </w:numPr>
        <w:rPr>
          <w:rFonts w:ascii="Arial" w:cs="Arial" w:eastAsia="Arial" w:hAnsi="Arial"/>
          <w:sz w:val="22"/>
          <w:szCs w:val="22"/>
          <w:color w:val="auto"/>
        </w:rPr>
      </w:pPr>
      <w:r>
        <w:rPr>
          <w:rFonts w:ascii="Arial" w:cs="Arial" w:eastAsia="Arial" w:hAnsi="Arial"/>
          <w:sz w:val="22"/>
          <w:szCs w:val="22"/>
          <w:color w:val="auto"/>
        </w:rPr>
        <w:t>chairperson of the Nominating and Corporate Governance Committee shall be eligible to receive an additional annual retainer of $20,000 for such service;</w:t>
      </w:r>
    </w:p>
    <w:p>
      <w:pPr>
        <w:spacing w:after="0" w:line="174" w:lineRule="exact"/>
        <w:rPr>
          <w:rFonts w:ascii="Arial" w:cs="Arial" w:eastAsia="Arial" w:hAnsi="Arial"/>
          <w:sz w:val="22"/>
          <w:szCs w:val="22"/>
          <w:color w:val="auto"/>
        </w:rPr>
      </w:pPr>
    </w:p>
    <w:p>
      <w:pPr>
        <w:ind w:left="1540" w:hanging="411"/>
        <w:spacing w:after="0" w:line="263" w:lineRule="auto"/>
        <w:tabs>
          <w:tab w:leader="none" w:pos="1540" w:val="left"/>
        </w:tabs>
        <w:numPr>
          <w:ilvl w:val="2"/>
          <w:numId w:val="376"/>
        </w:numPr>
        <w:rPr>
          <w:rFonts w:ascii="Arial" w:cs="Arial" w:eastAsia="Arial" w:hAnsi="Arial"/>
          <w:sz w:val="22"/>
          <w:szCs w:val="22"/>
          <w:color w:val="auto"/>
        </w:rPr>
      </w:pPr>
      <w:r>
        <w:rPr>
          <w:rFonts w:ascii="Arial" w:cs="Arial" w:eastAsia="Arial" w:hAnsi="Arial"/>
          <w:sz w:val="22"/>
          <w:szCs w:val="22"/>
          <w:color w:val="auto"/>
        </w:rPr>
        <w:t>members (other than the chairperson) of the Nominating and Corporate Governance Committee shall be eligible to receive an additional annual retainer of $10,000 for such service;</w:t>
      </w:r>
    </w:p>
    <w:p>
      <w:pPr>
        <w:spacing w:after="0" w:line="174" w:lineRule="exact"/>
        <w:rPr>
          <w:rFonts w:ascii="Arial" w:cs="Arial" w:eastAsia="Arial" w:hAnsi="Arial"/>
          <w:sz w:val="22"/>
          <w:szCs w:val="22"/>
          <w:color w:val="auto"/>
        </w:rPr>
      </w:pPr>
    </w:p>
    <w:p>
      <w:pPr>
        <w:ind w:left="1540" w:right="20" w:hanging="411"/>
        <w:spacing w:after="0" w:line="263" w:lineRule="auto"/>
        <w:tabs>
          <w:tab w:leader="none" w:pos="1540" w:val="left"/>
        </w:tabs>
        <w:numPr>
          <w:ilvl w:val="2"/>
          <w:numId w:val="376"/>
        </w:numPr>
        <w:rPr>
          <w:rFonts w:ascii="Arial" w:cs="Arial" w:eastAsia="Arial" w:hAnsi="Arial"/>
          <w:sz w:val="22"/>
          <w:szCs w:val="22"/>
          <w:color w:val="auto"/>
        </w:rPr>
      </w:pPr>
      <w:r>
        <w:rPr>
          <w:rFonts w:ascii="Arial" w:cs="Arial" w:eastAsia="Arial" w:hAnsi="Arial"/>
          <w:sz w:val="22"/>
          <w:szCs w:val="22"/>
          <w:color w:val="auto"/>
        </w:rPr>
        <w:t>chairperson of the Transaction Committee shall be eligible to receive an additional annual retainer of $22,500 for such service; and</w:t>
      </w:r>
    </w:p>
    <w:p>
      <w:pPr>
        <w:sectPr>
          <w:pgSz w:w="11900" w:h="16838" w:orient="portrait"/>
          <w:cols w:equalWidth="0" w:num="1">
            <w:col w:w="11420"/>
          </w:cols>
          <w:pgMar w:left="240" w:top="626" w:right="239" w:bottom="1440" w:gutter="0" w:footer="0" w:header="0"/>
        </w:sectPr>
      </w:pPr>
    </w:p>
    <w:bookmarkStart w:id="405" w:name="page406"/>
    <w:bookmarkEnd w:id="405"/>
    <w:p>
      <w:pPr>
        <w:ind w:left="1540" w:hanging="411"/>
        <w:spacing w:after="0" w:line="263" w:lineRule="auto"/>
        <w:tabs>
          <w:tab w:leader="none" w:pos="1540" w:val="left"/>
        </w:tabs>
        <w:numPr>
          <w:ilvl w:val="0"/>
          <w:numId w:val="377"/>
        </w:numPr>
        <w:rPr>
          <w:rFonts w:ascii="Arial" w:cs="Arial" w:eastAsia="Arial" w:hAnsi="Arial"/>
          <w:sz w:val="22"/>
          <w:szCs w:val="22"/>
          <w:color w:val="auto"/>
        </w:rPr>
      </w:pPr>
      <w:r>
        <w:rPr>
          <w:rFonts w:ascii="Arial" w:cs="Arial" w:eastAsia="Arial" w:hAnsi="Arial"/>
          <w:sz w:val="22"/>
          <w:szCs w:val="22"/>
          <w:color w:val="auto"/>
        </w:rPr>
        <w:t>members (other than the chairperson) of the Transaction Committee shall be eligible to receive an additional annual retainer of $12,500 for such service.</w:t>
      </w:r>
    </w:p>
    <w:p>
      <w:pPr>
        <w:spacing w:after="0" w:line="175" w:lineRule="exact"/>
        <w:rPr>
          <w:sz w:val="20"/>
          <w:szCs w:val="20"/>
          <w:color w:val="auto"/>
        </w:rPr>
      </w:pPr>
    </w:p>
    <w:p>
      <w:pPr>
        <w:ind w:right="540"/>
        <w:spacing w:after="0" w:line="263" w:lineRule="auto"/>
        <w:rPr>
          <w:sz w:val="20"/>
          <w:szCs w:val="20"/>
          <w:color w:val="auto"/>
        </w:rPr>
      </w:pPr>
      <w:r>
        <w:rPr>
          <w:rFonts w:ascii="Arial" w:cs="Arial" w:eastAsia="Arial" w:hAnsi="Arial"/>
          <w:sz w:val="22"/>
          <w:szCs w:val="22"/>
          <w:color w:val="auto"/>
        </w:rPr>
        <w:t>The annual retainers shall be paid in four equal quarterly installments, earned upon the completion of service in each calendar quarter.</w:t>
      </w:r>
    </w:p>
    <w:p>
      <w:pPr>
        <w:spacing w:after="0" w:line="175" w:lineRule="exact"/>
        <w:rPr>
          <w:sz w:val="20"/>
          <w:szCs w:val="20"/>
          <w:color w:val="auto"/>
        </w:rPr>
      </w:pPr>
    </w:p>
    <w:p>
      <w:pPr>
        <w:ind w:right="60" w:firstLine="656"/>
        <w:spacing w:after="0" w:line="247" w:lineRule="auto"/>
        <w:tabs>
          <w:tab w:leader="none" w:pos="1116" w:val="left"/>
        </w:tabs>
        <w:numPr>
          <w:ilvl w:val="1"/>
          <w:numId w:val="378"/>
        </w:numPr>
        <w:rPr>
          <w:rFonts w:ascii="Arial" w:cs="Arial" w:eastAsia="Arial" w:hAnsi="Arial"/>
          <w:sz w:val="22"/>
          <w:szCs w:val="22"/>
          <w:color w:val="auto"/>
        </w:rPr>
      </w:pPr>
      <w:r>
        <w:rPr>
          <w:rFonts w:ascii="Arial" w:cs="Arial" w:eastAsia="Arial" w:hAnsi="Arial"/>
          <w:sz w:val="22"/>
          <w:szCs w:val="22"/>
          <w:color w:val="auto"/>
        </w:rPr>
        <w:t>Each person who is elected or appointed to be a Non-Employee Director or who is appointed to serve as lead independent director or a member or chairperson of one of the Committees described above, in each case other than on the first day of a calendar quarter, shall be eligible to receive a pro rata amount of the annual retainers described above with respect to the calendar quarter in which such person becomes a Non-Employee Director, lead independent director or a member or chairperson of one of the Committees, as applicable, which pro rata amount reflects a reduction for each day during the calendar quarter prior to the date of such election or appointment.</w:t>
      </w:r>
    </w:p>
    <w:p>
      <w:pPr>
        <w:spacing w:after="0" w:line="193" w:lineRule="exact"/>
        <w:rPr>
          <w:rFonts w:ascii="Arial" w:cs="Arial" w:eastAsia="Arial" w:hAnsi="Arial"/>
          <w:sz w:val="22"/>
          <w:szCs w:val="22"/>
          <w:color w:val="auto"/>
        </w:rPr>
      </w:pPr>
    </w:p>
    <w:p>
      <w:pPr>
        <w:ind w:firstLine="656"/>
        <w:spacing w:after="0" w:line="292" w:lineRule="auto"/>
        <w:tabs>
          <w:tab w:leader="none" w:pos="1158" w:val="left"/>
        </w:tabs>
        <w:numPr>
          <w:ilvl w:val="1"/>
          <w:numId w:val="378"/>
        </w:numPr>
        <w:rPr>
          <w:rFonts w:ascii="Arial" w:cs="Arial" w:eastAsia="Arial" w:hAnsi="Arial"/>
          <w:sz w:val="19"/>
          <w:szCs w:val="19"/>
          <w:color w:val="auto"/>
        </w:rPr>
      </w:pPr>
      <w:r>
        <w:rPr>
          <w:rFonts w:ascii="Arial" w:cs="Arial" w:eastAsia="Arial" w:hAnsi="Arial"/>
          <w:sz w:val="19"/>
          <w:szCs w:val="19"/>
          <w:color w:val="auto"/>
        </w:rPr>
        <w:t>Each Non-Employee Director will be entitled to reimbursement from the Company for his or her reasonable travel (including airfare and ground transportation), lodging and meal expenses incidental to meetings of the Board or committees thereof. If any Reimbursement Payment is subject to tax imposed by the Irish Revenue Commissioners (“</w:t>
      </w:r>
      <w:r>
        <w:rPr>
          <w:rFonts w:ascii="Arial" w:cs="Arial" w:eastAsia="Arial" w:hAnsi="Arial"/>
          <w:sz w:val="19"/>
          <w:szCs w:val="19"/>
          <w:b w:val="1"/>
          <w:bCs w:val="1"/>
          <w:i w:val="1"/>
          <w:iCs w:val="1"/>
          <w:color w:val="auto"/>
        </w:rPr>
        <w:t>Revenue</w:t>
      </w:r>
      <w:r>
        <w:rPr>
          <w:rFonts w:ascii="Arial" w:cs="Arial" w:eastAsia="Arial" w:hAnsi="Arial"/>
          <w:sz w:val="19"/>
          <w:szCs w:val="19"/>
          <w:color w:val="auto"/>
        </w:rPr>
        <w:t>”), each Non-Employee Director will be entitled to a payment, up to an amount (“</w:t>
      </w:r>
      <w:r>
        <w:rPr>
          <w:rFonts w:ascii="Arial" w:cs="Arial" w:eastAsia="Arial" w:hAnsi="Arial"/>
          <w:sz w:val="19"/>
          <w:szCs w:val="19"/>
          <w:b w:val="1"/>
          <w:bCs w:val="1"/>
          <w:i w:val="1"/>
          <w:iCs w:val="1"/>
          <w:color w:val="auto"/>
        </w:rPr>
        <w:t>Gross-Up Payment</w:t>
      </w:r>
      <w:r>
        <w:rPr>
          <w:rFonts w:ascii="Arial" w:cs="Arial" w:eastAsia="Arial" w:hAnsi="Arial"/>
          <w:sz w:val="19"/>
          <w:szCs w:val="19"/>
          <w:color w:val="auto"/>
        </w:rPr>
        <w:t>”) such that after the deduction of all taxes (including, without limitation, any income taxes calculated at the rate applicable to each Non-Employee Director for the year in which the expenses were incurred) on the Gross-Up Payment, the Non-Employee Director will retain an amount equal to the full Reimbursement Payment. All taxes due will be paid by the Company to Revenue.</w:t>
      </w:r>
    </w:p>
    <w:p>
      <w:pPr>
        <w:spacing w:after="0" w:line="151" w:lineRule="exact"/>
        <w:rPr>
          <w:rFonts w:ascii="Arial" w:cs="Arial" w:eastAsia="Arial" w:hAnsi="Arial"/>
          <w:sz w:val="19"/>
          <w:szCs w:val="19"/>
          <w:color w:val="auto"/>
        </w:rPr>
      </w:pPr>
    </w:p>
    <w:p>
      <w:pPr>
        <w:ind w:right="60" w:firstLine="8"/>
        <w:spacing w:after="0" w:line="297" w:lineRule="auto"/>
        <w:tabs>
          <w:tab w:leader="none" w:pos="432" w:val="left"/>
        </w:tabs>
        <w:numPr>
          <w:ilvl w:val="0"/>
          <w:numId w:val="379"/>
        </w:numPr>
        <w:rPr>
          <w:rFonts w:ascii="Arial" w:cs="Arial" w:eastAsia="Arial" w:hAnsi="Arial"/>
          <w:sz w:val="19"/>
          <w:szCs w:val="19"/>
          <w:color w:val="auto"/>
        </w:rPr>
      </w:pPr>
      <w:r>
        <w:rPr>
          <w:rFonts w:ascii="Arial" w:cs="Arial" w:eastAsia="Arial" w:hAnsi="Arial"/>
          <w:sz w:val="19"/>
          <w:szCs w:val="19"/>
          <w:u w:val="single" w:color="auto"/>
          <w:color w:val="auto"/>
        </w:rPr>
        <w:t>Equity Compensation</w:t>
      </w:r>
      <w:r>
        <w:rPr>
          <w:rFonts w:ascii="Arial" w:cs="Arial" w:eastAsia="Arial" w:hAnsi="Arial"/>
          <w:sz w:val="19"/>
          <w:szCs w:val="19"/>
          <w:color w:val="auto"/>
        </w:rPr>
        <w:t>. The stock options and restricted stock unit (“</w:t>
      </w:r>
      <w:r>
        <w:rPr>
          <w:rFonts w:ascii="Arial" w:cs="Arial" w:eastAsia="Arial" w:hAnsi="Arial"/>
          <w:sz w:val="19"/>
          <w:szCs w:val="19"/>
          <w:b w:val="1"/>
          <w:bCs w:val="1"/>
          <w:i w:val="1"/>
          <w:iCs w:val="1"/>
          <w:color w:val="auto"/>
        </w:rPr>
        <w:t>RSU</w:t>
      </w:r>
      <w:r>
        <w:rPr>
          <w:rFonts w:ascii="Arial" w:cs="Arial" w:eastAsia="Arial" w:hAnsi="Arial"/>
          <w:sz w:val="19"/>
          <w:szCs w:val="19"/>
          <w:color w:val="auto"/>
        </w:rPr>
        <w:t>”) awards described below shall be granted under and shall be subject to the terms and provisions of the Company’s Amended and Restated 2007 Non-Employee Directors Stock Award Plan (the “</w:t>
      </w:r>
      <w:r>
        <w:rPr>
          <w:rFonts w:ascii="Arial" w:cs="Arial" w:eastAsia="Arial" w:hAnsi="Arial"/>
          <w:sz w:val="19"/>
          <w:szCs w:val="19"/>
          <w:b w:val="1"/>
          <w:bCs w:val="1"/>
          <w:i w:val="1"/>
          <w:iCs w:val="1"/>
          <w:color w:val="auto"/>
        </w:rPr>
        <w:t>NEDSAP</w:t>
      </w:r>
      <w:r>
        <w:rPr>
          <w:rFonts w:ascii="Arial" w:cs="Arial" w:eastAsia="Arial" w:hAnsi="Arial"/>
          <w:sz w:val="19"/>
          <w:szCs w:val="19"/>
          <w:color w:val="auto"/>
        </w:rPr>
        <w:t>”), provided that the NEDSAP is approved by the Company’s shareholders at the Company’s 2016 annual general meeting of shareholders, unless the Board determines that such stock options or RSU awards shall be granted under and subject to the terms and provisions of the Company’s 2007 Equity Incentive Plan (the “</w:t>
      </w:r>
      <w:r>
        <w:rPr>
          <w:rFonts w:ascii="Arial" w:cs="Arial" w:eastAsia="Arial" w:hAnsi="Arial"/>
          <w:sz w:val="19"/>
          <w:szCs w:val="19"/>
          <w:b w:val="1"/>
          <w:bCs w:val="1"/>
          <w:i w:val="1"/>
          <w:iCs w:val="1"/>
          <w:color w:val="auto"/>
        </w:rPr>
        <w:t>2007 Plan</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right="140" w:firstLine="656"/>
        <w:spacing w:after="0" w:line="261" w:lineRule="auto"/>
        <w:tabs>
          <w:tab w:leader="none" w:pos="1158" w:val="left"/>
        </w:tabs>
        <w:numPr>
          <w:ilvl w:val="1"/>
          <w:numId w:val="379"/>
        </w:numPr>
        <w:rPr>
          <w:rFonts w:ascii="Arial" w:cs="Arial" w:eastAsia="Arial" w:hAnsi="Arial"/>
          <w:sz w:val="21"/>
          <w:szCs w:val="21"/>
          <w:color w:val="auto"/>
        </w:rPr>
      </w:pPr>
      <w:r>
        <w:rPr>
          <w:rFonts w:ascii="Arial" w:cs="Arial" w:eastAsia="Arial" w:hAnsi="Arial"/>
          <w:sz w:val="21"/>
          <w:szCs w:val="21"/>
          <w:u w:val="single" w:color="auto"/>
          <w:color w:val="auto"/>
        </w:rPr>
        <w:t>Initial Grants</w:t>
      </w:r>
      <w:r>
        <w:rPr>
          <w:rFonts w:ascii="Arial" w:cs="Arial" w:eastAsia="Arial" w:hAnsi="Arial"/>
          <w:sz w:val="21"/>
          <w:szCs w:val="21"/>
          <w:color w:val="auto"/>
        </w:rPr>
        <w:t>. A person who is elected or appointed to be a Non-Employee Director for the first time on or following 5 May 2016 automatically shall be granted a nonstatutory stock option to purchase 5,695 ordinary shares of the Company (an “</w:t>
      </w:r>
      <w:r>
        <w:rPr>
          <w:rFonts w:ascii="Arial" w:cs="Arial" w:eastAsia="Arial" w:hAnsi="Arial"/>
          <w:sz w:val="21"/>
          <w:szCs w:val="21"/>
          <w:b w:val="1"/>
          <w:bCs w:val="1"/>
          <w:i w:val="1"/>
          <w:iCs w:val="1"/>
          <w:color w:val="auto"/>
        </w:rPr>
        <w:t>Initial Option Grant</w:t>
      </w:r>
      <w:r>
        <w:rPr>
          <w:rFonts w:ascii="Arial" w:cs="Arial" w:eastAsia="Arial" w:hAnsi="Arial"/>
          <w:sz w:val="21"/>
          <w:szCs w:val="21"/>
          <w:color w:val="auto"/>
        </w:rPr>
        <w:t>”) and an RSU award for 2,280 RSUs (an “</w:t>
      </w:r>
      <w:r>
        <w:rPr>
          <w:rFonts w:ascii="Arial" w:cs="Arial" w:eastAsia="Arial" w:hAnsi="Arial"/>
          <w:sz w:val="21"/>
          <w:szCs w:val="21"/>
          <w:b w:val="1"/>
          <w:bCs w:val="1"/>
          <w:i w:val="1"/>
          <w:iCs w:val="1"/>
          <w:color w:val="auto"/>
        </w:rPr>
        <w:t>Initial RSU Grant</w:t>
      </w:r>
      <w:r>
        <w:rPr>
          <w:rFonts w:ascii="Arial" w:cs="Arial" w:eastAsia="Arial" w:hAnsi="Arial"/>
          <w:sz w:val="21"/>
          <w:szCs w:val="21"/>
          <w:color w:val="auto"/>
        </w:rPr>
        <w:t>”) on the second trading day following the filing date of the Company’s next quarterly or annual report filed under the Securities Exchange Act of 1934, as amended (the “</w:t>
      </w:r>
      <w:r>
        <w:rPr>
          <w:rFonts w:ascii="Arial" w:cs="Arial" w:eastAsia="Arial" w:hAnsi="Arial"/>
          <w:sz w:val="21"/>
          <w:szCs w:val="21"/>
          <w:b w:val="1"/>
          <w:bCs w:val="1"/>
          <w:i w:val="1"/>
          <w:iCs w:val="1"/>
          <w:color w:val="auto"/>
        </w:rPr>
        <w:t>Exchange Act</w:t>
      </w:r>
      <w:r>
        <w:rPr>
          <w:rFonts w:ascii="Arial" w:cs="Arial" w:eastAsia="Arial" w:hAnsi="Arial"/>
          <w:sz w:val="21"/>
          <w:szCs w:val="21"/>
          <w:color w:val="auto"/>
        </w:rPr>
        <w:t>”), that occurs after the date of such initial election or appointment. The Initial Option Grant and Initial RSU Grant shall collectively be referred to as an “</w:t>
      </w:r>
      <w:r>
        <w:rPr>
          <w:rFonts w:ascii="Arial" w:cs="Arial" w:eastAsia="Arial" w:hAnsi="Arial"/>
          <w:sz w:val="21"/>
          <w:szCs w:val="21"/>
          <w:b w:val="1"/>
          <w:bCs w:val="1"/>
          <w:i w:val="1"/>
          <w:iCs w:val="1"/>
          <w:color w:val="auto"/>
        </w:rPr>
        <w:t>Initial Grant</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ind w:right="120" w:firstLine="656"/>
        <w:spacing w:after="0" w:line="312" w:lineRule="auto"/>
        <w:tabs>
          <w:tab w:leader="none" w:pos="1170" w:val="left"/>
        </w:tabs>
        <w:numPr>
          <w:ilvl w:val="1"/>
          <w:numId w:val="379"/>
        </w:numPr>
        <w:rPr>
          <w:rFonts w:ascii="Arial" w:cs="Arial" w:eastAsia="Arial" w:hAnsi="Arial"/>
          <w:sz w:val="19"/>
          <w:szCs w:val="19"/>
          <w:color w:val="auto"/>
        </w:rPr>
      </w:pPr>
      <w:r>
        <w:rPr>
          <w:rFonts w:ascii="Arial" w:cs="Arial" w:eastAsia="Arial" w:hAnsi="Arial"/>
          <w:sz w:val="19"/>
          <w:szCs w:val="19"/>
          <w:u w:val="single" w:color="auto"/>
          <w:color w:val="auto"/>
        </w:rPr>
        <w:t>Continuing Grants</w:t>
      </w:r>
      <w:r>
        <w:rPr>
          <w:rFonts w:ascii="Arial" w:cs="Arial" w:eastAsia="Arial" w:hAnsi="Arial"/>
          <w:sz w:val="19"/>
          <w:szCs w:val="19"/>
          <w:color w:val="auto"/>
        </w:rPr>
        <w:t>. Subject to Section 2(c) below, a person who is a Non-Employee Director on or following 5 May 2016 automatically shall be granted a nonstatutory stock option to purchase 3,415 ordinary shares of the Company (a “</w:t>
      </w:r>
      <w:r>
        <w:rPr>
          <w:rFonts w:ascii="Arial" w:cs="Arial" w:eastAsia="Arial" w:hAnsi="Arial"/>
          <w:sz w:val="19"/>
          <w:szCs w:val="19"/>
          <w:b w:val="1"/>
          <w:bCs w:val="1"/>
          <w:i w:val="1"/>
          <w:iCs w:val="1"/>
          <w:color w:val="auto"/>
        </w:rPr>
        <w:t>Continuing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Option Grant</w:t>
      </w:r>
      <w:r>
        <w:rPr>
          <w:rFonts w:ascii="Arial" w:cs="Arial" w:eastAsia="Arial" w:hAnsi="Arial"/>
          <w:sz w:val="19"/>
          <w:szCs w:val="19"/>
          <w:color w:val="auto"/>
        </w:rPr>
        <w:t>”) and an RSU award for 1,365 RSUs (a “</w:t>
      </w:r>
      <w:r>
        <w:rPr>
          <w:rFonts w:ascii="Arial" w:cs="Arial" w:eastAsia="Arial" w:hAnsi="Arial"/>
          <w:sz w:val="19"/>
          <w:szCs w:val="19"/>
          <w:b w:val="1"/>
          <w:bCs w:val="1"/>
          <w:i w:val="1"/>
          <w:iCs w:val="1"/>
          <w:color w:val="auto"/>
        </w:rPr>
        <w:t>Continuing RSU Grant</w:t>
      </w:r>
      <w:r>
        <w:rPr>
          <w:rFonts w:ascii="Arial" w:cs="Arial" w:eastAsia="Arial" w:hAnsi="Arial"/>
          <w:sz w:val="19"/>
          <w:szCs w:val="19"/>
          <w:color w:val="auto"/>
        </w:rPr>
        <w:t>”) on the second trading day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406" w:name="page407"/>
    <w:bookmarkEnd w:id="406"/>
    <w:p>
      <w:pPr>
        <w:spacing w:after="0" w:line="248" w:lineRule="auto"/>
        <w:rPr>
          <w:sz w:val="20"/>
          <w:szCs w:val="20"/>
          <w:color w:val="auto"/>
        </w:rPr>
      </w:pPr>
      <w:r>
        <w:rPr>
          <w:rFonts w:ascii="Arial" w:cs="Arial" w:eastAsia="Arial" w:hAnsi="Arial"/>
          <w:sz w:val="22"/>
          <w:szCs w:val="22"/>
          <w:color w:val="auto"/>
        </w:rPr>
        <w:t>following the filing date of the Company’s next quarterly or annual report filed under the Exchange Act that occurs after the date of each annual general meeting of the Company’s shareholders. The Continuing Option Grant and Continuing RSU Grant shall collectively be referred to as a “</w:t>
      </w:r>
      <w:r>
        <w:rPr>
          <w:rFonts w:ascii="Arial" w:cs="Arial" w:eastAsia="Arial" w:hAnsi="Arial"/>
          <w:sz w:val="22"/>
          <w:szCs w:val="22"/>
          <w:b w:val="1"/>
          <w:bCs w:val="1"/>
          <w:i w:val="1"/>
          <w:iCs w:val="1"/>
          <w:color w:val="auto"/>
        </w:rPr>
        <w:t>Continuing Grant</w:t>
      </w:r>
      <w:r>
        <w:rPr>
          <w:rFonts w:ascii="Arial" w:cs="Arial" w:eastAsia="Arial" w:hAnsi="Arial"/>
          <w:sz w:val="22"/>
          <w:szCs w:val="22"/>
          <w:color w:val="auto"/>
        </w:rPr>
        <w:t>.” Notwithstanding the foregoing, each person who is elected or appointed to be a Non-Employee Director for the first time at an annual general meeting of the Company’s shareholders shall not be granted a Continuing Grant with respect to such meeting.</w:t>
      </w:r>
    </w:p>
    <w:p>
      <w:pPr>
        <w:spacing w:after="0" w:line="192" w:lineRule="exact"/>
        <w:rPr>
          <w:sz w:val="20"/>
          <w:szCs w:val="20"/>
          <w:color w:val="auto"/>
        </w:rPr>
      </w:pPr>
    </w:p>
    <w:p>
      <w:pPr>
        <w:ind w:right="40" w:firstLine="656"/>
        <w:spacing w:after="0" w:line="260" w:lineRule="auto"/>
        <w:tabs>
          <w:tab w:leader="none" w:pos="1158" w:val="left"/>
        </w:tabs>
        <w:numPr>
          <w:ilvl w:val="0"/>
          <w:numId w:val="380"/>
        </w:numPr>
        <w:rPr>
          <w:rFonts w:ascii="Arial" w:cs="Arial" w:eastAsia="Arial" w:hAnsi="Arial"/>
          <w:sz w:val="21"/>
          <w:szCs w:val="21"/>
          <w:color w:val="auto"/>
        </w:rPr>
      </w:pPr>
      <w:r>
        <w:rPr>
          <w:rFonts w:ascii="Arial" w:cs="Arial" w:eastAsia="Arial" w:hAnsi="Arial"/>
          <w:sz w:val="21"/>
          <w:szCs w:val="21"/>
          <w:u w:val="single" w:color="auto"/>
          <w:color w:val="auto"/>
        </w:rPr>
        <w:t>Continuing Grants for Certain New Non-Employee Directors</w:t>
      </w:r>
      <w:r>
        <w:rPr>
          <w:rFonts w:ascii="Arial" w:cs="Arial" w:eastAsia="Arial" w:hAnsi="Arial"/>
          <w:sz w:val="21"/>
          <w:szCs w:val="21"/>
          <w:color w:val="auto"/>
        </w:rPr>
        <w:t>. If a person is elected or appointed to be a Non-Employee Director for the first time other than at an annual general meeting of the Company’s shareholders, such Non-Employee Director automatically shall be granted a Continuing Grant with respect to the next annual general meeting in accordance with Section 2(b) above, provided that the date of such initial election or appointment is not less than four calendar months prior to the date of the next annual general meeting. If the date of such initial election or appointment is less than four calendar months prior to the date of the next annual general meeting, such Non-Employee Director shall not be granted a Continuing Grant under Section 2(b) above with respect to such next annual general meeting.</w:t>
      </w:r>
    </w:p>
    <w:p>
      <w:pPr>
        <w:spacing w:after="0" w:line="181" w:lineRule="exact"/>
        <w:rPr>
          <w:rFonts w:ascii="Arial" w:cs="Arial" w:eastAsia="Arial" w:hAnsi="Arial"/>
          <w:sz w:val="21"/>
          <w:szCs w:val="21"/>
          <w:color w:val="auto"/>
        </w:rPr>
      </w:pPr>
    </w:p>
    <w:p>
      <w:pPr>
        <w:ind w:left="1180" w:hanging="524"/>
        <w:spacing w:after="0"/>
        <w:tabs>
          <w:tab w:leader="none" w:pos="1180" w:val="left"/>
        </w:tabs>
        <w:numPr>
          <w:ilvl w:val="0"/>
          <w:numId w:val="380"/>
        </w:numPr>
        <w:rPr>
          <w:rFonts w:ascii="Arial" w:cs="Arial" w:eastAsia="Arial" w:hAnsi="Arial"/>
          <w:sz w:val="22"/>
          <w:szCs w:val="22"/>
          <w:color w:val="auto"/>
        </w:rPr>
      </w:pPr>
      <w:r>
        <w:rPr>
          <w:rFonts w:ascii="Arial" w:cs="Arial" w:eastAsia="Arial" w:hAnsi="Arial"/>
          <w:sz w:val="22"/>
          <w:szCs w:val="22"/>
          <w:u w:val="single" w:color="auto"/>
          <w:color w:val="auto"/>
        </w:rPr>
        <w:t>Terms of Options Granted to Non-Employee Directors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20" w:firstLine="1305"/>
        <w:spacing w:after="0" w:line="250" w:lineRule="auto"/>
        <w:tabs>
          <w:tab w:leader="none" w:pos="1716" w:val="left"/>
        </w:tabs>
        <w:numPr>
          <w:ilvl w:val="1"/>
          <w:numId w:val="380"/>
        </w:numPr>
        <w:rPr>
          <w:rFonts w:ascii="Arial" w:cs="Arial" w:eastAsia="Arial" w:hAnsi="Arial"/>
          <w:sz w:val="22"/>
          <w:szCs w:val="22"/>
          <w:color w:val="auto"/>
        </w:rPr>
      </w:pPr>
      <w:r>
        <w:rPr>
          <w:rFonts w:ascii="Arial" w:cs="Arial" w:eastAsia="Arial" w:hAnsi="Arial"/>
          <w:sz w:val="22"/>
          <w:szCs w:val="22"/>
          <w:u w:val="single" w:color="auto"/>
          <w:color w:val="auto"/>
        </w:rPr>
        <w:t>Terms and Conditions</w:t>
      </w:r>
      <w:r>
        <w:rPr>
          <w:rFonts w:ascii="Arial" w:cs="Arial" w:eastAsia="Arial" w:hAnsi="Arial"/>
          <w:sz w:val="22"/>
          <w:szCs w:val="22"/>
          <w:color w:val="auto"/>
        </w:rPr>
        <w:t>. The terms and conditions applicable to each Initial Option Grant and Continuing Option Grant granted to Non-Employee Directors pursuant to this Policy shall be subject to the terms and conditions in the forms of stock option notice of grant and option award agreement previously approved by the Board or the Compensation Committee and the NEDSAP or the 2007 Plan, in each case, as applicable.</w:t>
      </w:r>
    </w:p>
    <w:p>
      <w:pPr>
        <w:spacing w:after="0" w:line="188" w:lineRule="exact"/>
        <w:rPr>
          <w:rFonts w:ascii="Arial" w:cs="Arial" w:eastAsia="Arial" w:hAnsi="Arial"/>
          <w:sz w:val="22"/>
          <w:szCs w:val="22"/>
          <w:color w:val="auto"/>
        </w:rPr>
      </w:pPr>
    </w:p>
    <w:p>
      <w:pPr>
        <w:ind w:left="1840" w:hanging="535"/>
        <w:spacing w:after="0"/>
        <w:tabs>
          <w:tab w:leader="none" w:pos="1840" w:val="left"/>
        </w:tabs>
        <w:numPr>
          <w:ilvl w:val="1"/>
          <w:numId w:val="380"/>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right="100" w:firstLine="1293"/>
        <w:spacing w:after="0" w:line="263" w:lineRule="auto"/>
        <w:tabs>
          <w:tab w:leader="none" w:pos="2413" w:val="left"/>
        </w:tabs>
        <w:numPr>
          <w:ilvl w:val="2"/>
          <w:numId w:val="380"/>
        </w:numPr>
        <w:rPr>
          <w:rFonts w:ascii="Arial" w:cs="Arial" w:eastAsia="Arial" w:hAnsi="Arial"/>
          <w:sz w:val="21"/>
          <w:szCs w:val="21"/>
          <w:color w:val="auto"/>
        </w:rPr>
      </w:pPr>
      <w:r>
        <w:rPr>
          <w:rFonts w:ascii="Arial" w:cs="Arial" w:eastAsia="Arial" w:hAnsi="Arial"/>
          <w:sz w:val="21"/>
          <w:szCs w:val="21"/>
          <w:color w:val="auto"/>
        </w:rPr>
        <w:t>Each Initial Option Grant granted to a Non-Employee Director shall vest and become exercisable as to 1/3 of the shares subject to such option on the first anniversary of the date such Non-Employee Director is first elected or appointed to the Board (the “</w:t>
      </w:r>
      <w:r>
        <w:rPr>
          <w:rFonts w:ascii="Arial" w:cs="Arial" w:eastAsia="Arial" w:hAnsi="Arial"/>
          <w:sz w:val="21"/>
          <w:szCs w:val="21"/>
          <w:b w:val="1"/>
          <w:bCs w:val="1"/>
          <w:i w:val="1"/>
          <w:iCs w:val="1"/>
          <w:color w:val="auto"/>
        </w:rPr>
        <w:t>Initial Grant Vesting Commencement Date</w:t>
      </w:r>
      <w:r>
        <w:rPr>
          <w:rFonts w:ascii="Arial" w:cs="Arial" w:eastAsia="Arial" w:hAnsi="Arial"/>
          <w:sz w:val="21"/>
          <w:szCs w:val="21"/>
          <w:color w:val="auto"/>
        </w:rPr>
        <w:t>”) and as to the remainder of the shares, in 24 equal monthly installments thereafter, subject to the Non-Employee Director’s Continuous Service (as defined in the NEDSAP or the 2007 Plan, as applicable) through such dates.</w:t>
      </w:r>
    </w:p>
    <w:p>
      <w:pPr>
        <w:spacing w:after="0" w:line="175" w:lineRule="exact"/>
        <w:rPr>
          <w:rFonts w:ascii="Arial" w:cs="Arial" w:eastAsia="Arial" w:hAnsi="Arial"/>
          <w:sz w:val="21"/>
          <w:szCs w:val="21"/>
          <w:color w:val="auto"/>
        </w:rPr>
      </w:pPr>
    </w:p>
    <w:p>
      <w:pPr>
        <w:ind w:left="660" w:right="100" w:firstLine="1293"/>
        <w:spacing w:after="0" w:line="248" w:lineRule="auto"/>
        <w:tabs>
          <w:tab w:leader="none" w:pos="2425" w:val="left"/>
        </w:tabs>
        <w:numPr>
          <w:ilvl w:val="2"/>
          <w:numId w:val="380"/>
        </w:numPr>
        <w:rPr>
          <w:rFonts w:ascii="Arial" w:cs="Arial" w:eastAsia="Arial" w:hAnsi="Arial"/>
          <w:sz w:val="22"/>
          <w:szCs w:val="22"/>
          <w:color w:val="auto"/>
        </w:rPr>
      </w:pPr>
      <w:r>
        <w:rPr>
          <w:rFonts w:ascii="Arial" w:cs="Arial" w:eastAsia="Arial" w:hAnsi="Arial"/>
          <w:sz w:val="22"/>
          <w:szCs w:val="22"/>
          <w:color w:val="auto"/>
        </w:rPr>
        <w:t>Each Continuing Option Grant granted to a Non-Employee Director shall vest and become exercisable in 12 equal monthly installments of 1/12 of the shares subject to such option on the first day of each calendar month following the date of the annual general meeting of the Company’s shareholders in such year (the “</w:t>
      </w:r>
      <w:r>
        <w:rPr>
          <w:rFonts w:ascii="Arial" w:cs="Arial" w:eastAsia="Arial" w:hAnsi="Arial"/>
          <w:sz w:val="22"/>
          <w:szCs w:val="22"/>
          <w:b w:val="1"/>
          <w:bCs w:val="1"/>
          <w:i w:val="1"/>
          <w:iCs w:val="1"/>
          <w:color w:val="auto"/>
        </w:rPr>
        <w:t>Continuing Grant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Vesting Commencement Date</w:t>
      </w:r>
      <w:r>
        <w:rPr>
          <w:rFonts w:ascii="Arial" w:cs="Arial" w:eastAsia="Arial" w:hAnsi="Arial"/>
          <w:sz w:val="22"/>
          <w:szCs w:val="22"/>
          <w:color w:val="auto"/>
        </w:rPr>
        <w:t>”), subject to the Non-Employee Director’s Continuous Service (as defined in the NEDSAP</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 the 2007 Plan, as applicable) through such dates.</w:t>
      </w:r>
    </w:p>
    <w:p>
      <w:pPr>
        <w:spacing w:after="0" w:line="192" w:lineRule="exact"/>
        <w:rPr>
          <w:rFonts w:ascii="Arial" w:cs="Arial" w:eastAsia="Arial" w:hAnsi="Arial"/>
          <w:sz w:val="22"/>
          <w:szCs w:val="22"/>
          <w:color w:val="auto"/>
        </w:rPr>
      </w:pPr>
    </w:p>
    <w:p>
      <w:pPr>
        <w:ind w:left="660" w:right="120" w:firstLine="1293"/>
        <w:spacing w:after="0" w:line="253" w:lineRule="auto"/>
        <w:tabs>
          <w:tab w:leader="none" w:pos="2413" w:val="left"/>
        </w:tabs>
        <w:numPr>
          <w:ilvl w:val="2"/>
          <w:numId w:val="380"/>
        </w:numPr>
        <w:rPr>
          <w:rFonts w:ascii="Arial" w:cs="Arial" w:eastAsia="Arial" w:hAnsi="Arial"/>
          <w:sz w:val="22"/>
          <w:szCs w:val="22"/>
          <w:color w:val="auto"/>
        </w:rPr>
      </w:pPr>
      <w:r>
        <w:rPr>
          <w:rFonts w:ascii="Arial" w:cs="Arial" w:eastAsia="Arial" w:hAnsi="Arial"/>
          <w:sz w:val="22"/>
          <w:szCs w:val="22"/>
          <w:color w:val="auto"/>
        </w:rPr>
        <w:t>Notwithstanding the vesting provisions in clauses (a) and (b) hereof, if a Non-Employee Director does not stand for reelection at an annual general meeting of the Company’s shareholders in the year in which his or her term expires or</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40" w:top="631" w:right="279" w:bottom="1440" w:gutter="0" w:footer="0" w:header="0"/>
        </w:sectPr>
      </w:pPr>
    </w:p>
    <w:bookmarkStart w:id="407" w:name="page408"/>
    <w:bookmarkEnd w:id="407"/>
    <w:p>
      <w:pPr>
        <w:ind w:right="360"/>
        <w:spacing w:after="0" w:line="253" w:lineRule="auto"/>
        <w:rPr>
          <w:sz w:val="20"/>
          <w:szCs w:val="20"/>
          <w:color w:val="auto"/>
        </w:rPr>
      </w:pPr>
      <w:r>
        <w:rPr>
          <w:rFonts w:ascii="Arial" w:cs="Arial" w:eastAsia="Arial" w:hAnsi="Arial"/>
          <w:sz w:val="22"/>
          <w:szCs w:val="22"/>
          <w:color w:val="auto"/>
        </w:rPr>
        <w:t>otherwise resigns effective at an annual general meeting of the Company’s shareholders and, in either case, the Non-Employee Director’s Continuous Service terminates at such annual general meeting, then effective as of the date of such annual general meeting:</w:t>
      </w:r>
    </w:p>
    <w:p>
      <w:pPr>
        <w:spacing w:after="0" w:line="186" w:lineRule="exact"/>
        <w:rPr>
          <w:sz w:val="20"/>
          <w:szCs w:val="20"/>
          <w:color w:val="auto"/>
        </w:rPr>
      </w:pPr>
    </w:p>
    <w:p>
      <w:pPr>
        <w:ind w:left="1300" w:right="60" w:firstLine="1301"/>
        <w:spacing w:after="0" w:line="250" w:lineRule="auto"/>
        <w:tabs>
          <w:tab w:leader="none" w:pos="3064" w:val="left"/>
        </w:tabs>
        <w:numPr>
          <w:ilvl w:val="3"/>
          <w:numId w:val="381"/>
        </w:numPr>
        <w:rPr>
          <w:rFonts w:ascii="Arial" w:cs="Arial" w:eastAsia="Arial" w:hAnsi="Arial"/>
          <w:sz w:val="22"/>
          <w:szCs w:val="22"/>
          <w:color w:val="auto"/>
        </w:rPr>
      </w:pPr>
      <w:r>
        <w:rPr>
          <w:rFonts w:ascii="Arial" w:cs="Arial" w:eastAsia="Arial" w:hAnsi="Arial"/>
          <w:sz w:val="22"/>
          <w:szCs w:val="22"/>
          <w:color w:val="auto"/>
        </w:rPr>
        <w:t>the unvested portion, if any, of an Initial Option Grant granted to such Non-Employee Director shall become vested and exercisable with respect to the portion of the Initial Option Grant that would have vested through the anniversary of the Initial Grant Vesting Commencement Date in the year of such annual general meeting; and</w:t>
      </w:r>
    </w:p>
    <w:p>
      <w:pPr>
        <w:spacing w:after="0" w:line="188" w:lineRule="exact"/>
        <w:rPr>
          <w:rFonts w:ascii="Arial" w:cs="Arial" w:eastAsia="Arial" w:hAnsi="Arial"/>
          <w:sz w:val="22"/>
          <w:szCs w:val="22"/>
          <w:color w:val="auto"/>
        </w:rPr>
      </w:pPr>
    </w:p>
    <w:p>
      <w:pPr>
        <w:ind w:left="1300" w:right="480" w:firstLine="1301"/>
        <w:spacing w:after="0" w:line="263" w:lineRule="auto"/>
        <w:tabs>
          <w:tab w:leader="none" w:pos="3064" w:val="left"/>
        </w:tabs>
        <w:numPr>
          <w:ilvl w:val="3"/>
          <w:numId w:val="381"/>
        </w:numPr>
        <w:rPr>
          <w:rFonts w:ascii="Arial" w:cs="Arial" w:eastAsia="Arial" w:hAnsi="Arial"/>
          <w:sz w:val="22"/>
          <w:szCs w:val="22"/>
          <w:color w:val="auto"/>
        </w:rPr>
      </w:pPr>
      <w:r>
        <w:rPr>
          <w:rFonts w:ascii="Arial" w:cs="Arial" w:eastAsia="Arial" w:hAnsi="Arial"/>
          <w:sz w:val="22"/>
          <w:szCs w:val="22"/>
          <w:color w:val="auto"/>
        </w:rPr>
        <w:t>the unvested portion, if any, of a Continuing Option Grant granted to such Non-Employee Director shall become vested and exercisable in full.</w:t>
      </w:r>
    </w:p>
    <w:p>
      <w:pPr>
        <w:spacing w:after="0" w:line="174" w:lineRule="exact"/>
        <w:rPr>
          <w:rFonts w:ascii="Arial" w:cs="Arial" w:eastAsia="Arial" w:hAnsi="Arial"/>
          <w:sz w:val="22"/>
          <w:szCs w:val="22"/>
          <w:color w:val="auto"/>
        </w:rPr>
      </w:pPr>
    </w:p>
    <w:p>
      <w:pPr>
        <w:ind w:left="1160" w:hanging="504"/>
        <w:spacing w:after="0"/>
        <w:tabs>
          <w:tab w:leader="none" w:pos="1160" w:val="left"/>
        </w:tabs>
        <w:numPr>
          <w:ilvl w:val="0"/>
          <w:numId w:val="382"/>
        </w:numPr>
        <w:rPr>
          <w:rFonts w:ascii="Arial" w:cs="Arial" w:eastAsia="Arial" w:hAnsi="Arial"/>
          <w:sz w:val="22"/>
          <w:szCs w:val="22"/>
          <w:color w:val="auto"/>
        </w:rPr>
      </w:pPr>
      <w:r>
        <w:rPr>
          <w:rFonts w:ascii="Arial" w:cs="Arial" w:eastAsia="Arial" w:hAnsi="Arial"/>
          <w:sz w:val="22"/>
          <w:szCs w:val="22"/>
          <w:u w:val="single" w:color="auto"/>
          <w:color w:val="auto"/>
        </w:rPr>
        <w:t>Terms of RSUs Granted to Non-Employee Directors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305"/>
        <w:spacing w:after="0" w:line="250" w:lineRule="auto"/>
        <w:tabs>
          <w:tab w:leader="none" w:pos="1770" w:val="left"/>
        </w:tabs>
        <w:numPr>
          <w:ilvl w:val="1"/>
          <w:numId w:val="382"/>
        </w:numPr>
        <w:rPr>
          <w:rFonts w:ascii="Arial" w:cs="Arial" w:eastAsia="Arial" w:hAnsi="Arial"/>
          <w:sz w:val="22"/>
          <w:szCs w:val="22"/>
          <w:color w:val="auto"/>
        </w:rPr>
      </w:pPr>
      <w:r>
        <w:rPr>
          <w:rFonts w:ascii="Arial" w:cs="Arial" w:eastAsia="Arial" w:hAnsi="Arial"/>
          <w:sz w:val="22"/>
          <w:szCs w:val="22"/>
          <w:u w:val="single" w:color="auto"/>
          <w:color w:val="auto"/>
        </w:rPr>
        <w:t>Terms and Conditions</w:t>
      </w:r>
      <w:r>
        <w:rPr>
          <w:rFonts w:ascii="Arial" w:cs="Arial" w:eastAsia="Arial" w:hAnsi="Arial"/>
          <w:sz w:val="22"/>
          <w:szCs w:val="22"/>
          <w:color w:val="auto"/>
        </w:rPr>
        <w:t>. The terms and conditions applicable to each Initial RSU Grant and Continuing RSU Grant granted to Non-Employee Directors pursuant to this Policy shall be subject to the terms and conditions in the forms of RSU notice of grant and RSU award agreement previously approved by the Board or the Compensation Committee and the NEDSAP or the 2007 Plan, in each case, as applicable.</w:t>
      </w:r>
    </w:p>
    <w:p>
      <w:pPr>
        <w:spacing w:after="0" w:line="188" w:lineRule="exact"/>
        <w:rPr>
          <w:rFonts w:ascii="Arial" w:cs="Arial" w:eastAsia="Arial" w:hAnsi="Arial"/>
          <w:sz w:val="22"/>
          <w:szCs w:val="22"/>
          <w:color w:val="auto"/>
        </w:rPr>
      </w:pPr>
    </w:p>
    <w:p>
      <w:pPr>
        <w:ind w:left="1840" w:hanging="535"/>
        <w:spacing w:after="0"/>
        <w:tabs>
          <w:tab w:leader="none" w:pos="1840" w:val="left"/>
        </w:tabs>
        <w:numPr>
          <w:ilvl w:val="1"/>
          <w:numId w:val="382"/>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right="160" w:firstLine="1293"/>
        <w:spacing w:after="0" w:line="312" w:lineRule="auto"/>
        <w:tabs>
          <w:tab w:leader="none" w:pos="2413" w:val="left"/>
        </w:tabs>
        <w:numPr>
          <w:ilvl w:val="2"/>
          <w:numId w:val="382"/>
        </w:numPr>
        <w:rPr>
          <w:rFonts w:ascii="Arial" w:cs="Arial" w:eastAsia="Arial" w:hAnsi="Arial"/>
          <w:sz w:val="19"/>
          <w:szCs w:val="19"/>
          <w:color w:val="auto"/>
        </w:rPr>
      </w:pPr>
      <w:r>
        <w:rPr>
          <w:rFonts w:ascii="Arial" w:cs="Arial" w:eastAsia="Arial" w:hAnsi="Arial"/>
          <w:sz w:val="19"/>
          <w:szCs w:val="19"/>
          <w:color w:val="auto"/>
        </w:rPr>
        <w:t>Each Initial RSU Grant granted to a Non-Employee Director shall vest in three equal annual installments on each of the first three anniversaries of the Initial Grant Vesting Commencement Date, subject to the Non-Employee Director’s Continuous Service (as defined in the NEDSAP or the 2007 Plan, as applicable) through such dates.</w:t>
      </w:r>
    </w:p>
    <w:p>
      <w:pPr>
        <w:spacing w:after="0" w:line="133" w:lineRule="exact"/>
        <w:rPr>
          <w:rFonts w:ascii="Arial" w:cs="Arial" w:eastAsia="Arial" w:hAnsi="Arial"/>
          <w:sz w:val="19"/>
          <w:szCs w:val="19"/>
          <w:color w:val="auto"/>
        </w:rPr>
      </w:pPr>
    </w:p>
    <w:p>
      <w:pPr>
        <w:ind w:left="660" w:right="280" w:firstLine="1293"/>
        <w:spacing w:after="0" w:line="271" w:lineRule="auto"/>
        <w:tabs>
          <w:tab w:leader="none" w:pos="2425" w:val="left"/>
        </w:tabs>
        <w:numPr>
          <w:ilvl w:val="2"/>
          <w:numId w:val="382"/>
        </w:numPr>
        <w:rPr>
          <w:rFonts w:ascii="Arial" w:cs="Arial" w:eastAsia="Arial" w:hAnsi="Arial"/>
          <w:sz w:val="21"/>
          <w:szCs w:val="21"/>
          <w:color w:val="auto"/>
        </w:rPr>
      </w:pPr>
      <w:r>
        <w:rPr>
          <w:rFonts w:ascii="Arial" w:cs="Arial" w:eastAsia="Arial" w:hAnsi="Arial"/>
          <w:sz w:val="21"/>
          <w:szCs w:val="21"/>
          <w:color w:val="auto"/>
        </w:rPr>
        <w:t>Each Continuing RSU Grant granted to a Non-Employee Director shall vest in full on the first anniversary of the Continuing Grant Vesting Commencement Date, subject to the Non-Employee Director’s Continuous Service (as defined in the NEDSAP or the 2007 Plan, as applicable) through such date.</w:t>
      </w:r>
    </w:p>
    <w:p>
      <w:pPr>
        <w:spacing w:after="0" w:line="167" w:lineRule="exact"/>
        <w:rPr>
          <w:rFonts w:ascii="Arial" w:cs="Arial" w:eastAsia="Arial" w:hAnsi="Arial"/>
          <w:sz w:val="21"/>
          <w:szCs w:val="21"/>
          <w:color w:val="auto"/>
        </w:rPr>
      </w:pPr>
    </w:p>
    <w:p>
      <w:pPr>
        <w:ind w:left="660" w:right="60" w:firstLine="1293"/>
        <w:spacing w:after="0" w:line="248" w:lineRule="auto"/>
        <w:tabs>
          <w:tab w:leader="none" w:pos="2413" w:val="left"/>
        </w:tabs>
        <w:numPr>
          <w:ilvl w:val="2"/>
          <w:numId w:val="382"/>
        </w:numPr>
        <w:rPr>
          <w:rFonts w:ascii="Arial" w:cs="Arial" w:eastAsia="Arial" w:hAnsi="Arial"/>
          <w:sz w:val="22"/>
          <w:szCs w:val="22"/>
          <w:color w:val="auto"/>
        </w:rPr>
      </w:pPr>
      <w:r>
        <w:rPr>
          <w:rFonts w:ascii="Arial" w:cs="Arial" w:eastAsia="Arial" w:hAnsi="Arial"/>
          <w:sz w:val="22"/>
          <w:szCs w:val="22"/>
          <w:color w:val="auto"/>
        </w:rPr>
        <w:t>Notwithstanding the vesting provisions in clauses (a) and (b) hereof, if a Non-Employee Director does not stand for reelection at an annual general meeting of the Company’s shareholders in the year in which his or her term expires or otherwise resigns effective at an annual general meeting of the Company’s shareholders and, in either case, the Non-Employee Director’s Continuous Service terminates at such annual general meeting, then effective as of the date of such annual general meeting:</w:t>
      </w:r>
    </w:p>
    <w:p>
      <w:pPr>
        <w:spacing w:after="0" w:line="192" w:lineRule="exact"/>
        <w:rPr>
          <w:rFonts w:ascii="Arial" w:cs="Arial" w:eastAsia="Arial" w:hAnsi="Arial"/>
          <w:sz w:val="22"/>
          <w:szCs w:val="22"/>
          <w:color w:val="auto"/>
        </w:rPr>
      </w:pPr>
    </w:p>
    <w:p>
      <w:pPr>
        <w:ind w:left="1300" w:right="120" w:firstLine="1301"/>
        <w:spacing w:after="0" w:line="312" w:lineRule="auto"/>
        <w:tabs>
          <w:tab w:leader="none" w:pos="3064" w:val="left"/>
        </w:tabs>
        <w:numPr>
          <w:ilvl w:val="3"/>
          <w:numId w:val="382"/>
        </w:numPr>
        <w:rPr>
          <w:rFonts w:ascii="Arial" w:cs="Arial" w:eastAsia="Arial" w:hAnsi="Arial"/>
          <w:sz w:val="19"/>
          <w:szCs w:val="19"/>
          <w:color w:val="auto"/>
        </w:rPr>
      </w:pPr>
      <w:r>
        <w:rPr>
          <w:rFonts w:ascii="Arial" w:cs="Arial" w:eastAsia="Arial" w:hAnsi="Arial"/>
          <w:sz w:val="19"/>
          <w:szCs w:val="19"/>
          <w:color w:val="auto"/>
        </w:rPr>
        <w:t>the unvested portion, if any, of an Initial RSU Grant granted to such Non-Employee Director shall become vested with respect to the portion of the Initial RSU Grant that would have vested on the anniversary of the Initial Grant Vesting Commencement Date in the year of such annual general meeting; and</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20"/>
          </w:cols>
          <w:pgMar w:left="240" w:top="631" w:right="339" w:bottom="1440" w:gutter="0" w:footer="0" w:header="0"/>
        </w:sectPr>
      </w:pPr>
    </w:p>
    <w:bookmarkStart w:id="408" w:name="page409"/>
    <w:bookmarkEnd w:id="408"/>
    <w:p>
      <w:pPr>
        <w:ind w:left="1300" w:firstLine="1301"/>
        <w:spacing w:after="0" w:line="263" w:lineRule="auto"/>
        <w:tabs>
          <w:tab w:leader="none" w:pos="3064" w:val="left"/>
        </w:tabs>
        <w:numPr>
          <w:ilvl w:val="0"/>
          <w:numId w:val="383"/>
        </w:numPr>
        <w:rPr>
          <w:rFonts w:ascii="Arial" w:cs="Arial" w:eastAsia="Arial" w:hAnsi="Arial"/>
          <w:sz w:val="22"/>
          <w:szCs w:val="22"/>
          <w:color w:val="auto"/>
        </w:rPr>
      </w:pPr>
      <w:r>
        <w:rPr>
          <w:rFonts w:ascii="Arial" w:cs="Arial" w:eastAsia="Arial" w:hAnsi="Arial"/>
          <w:sz w:val="22"/>
          <w:szCs w:val="22"/>
          <w:color w:val="auto"/>
        </w:rPr>
        <w:t>the unvested portion, if any, of a Continuing RSU Grant granted to such Non-Employee Director shall become vested in full.</w:t>
      </w:r>
    </w:p>
    <w:p>
      <w:pPr>
        <w:spacing w:after="0" w:line="200" w:lineRule="exact"/>
        <w:rPr>
          <w:sz w:val="20"/>
          <w:szCs w:val="20"/>
          <w:color w:val="auto"/>
        </w:rPr>
      </w:pPr>
    </w:p>
    <w:p>
      <w:pPr>
        <w:spacing w:after="0" w:line="231"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Adopted by the Board of Directors of Jazz Pharmaceuticals plc on 2 May 2013.</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Amended and restated by the Board of Directors of Jazz Pharmaceuticals plc on 1 August 2013.</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Amended and restated by the Board of Directors of Jazz Pharmaceuticals plc on 1 May 2014.</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Amended and restated by the Board of Directors of Jazz Pharmaceuticals plc on 30 October 2014.</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Amended and restated by the Board of Directors of Jazz Pharmaceuticals plc on 30 April 2015.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Amended and restated by the Board of Directors of Jazz Pharmaceuticals plc on 5 May 2016.</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660"/>
          </w:cols>
          <w:pgMar w:left="240" w:top="631" w:right="999" w:bottom="1440" w:gutter="0" w:footer="0" w:header="0"/>
        </w:sectPr>
      </w:pPr>
    </w:p>
    <w:bookmarkStart w:id="409" w:name="page410"/>
    <w:bookmarkEnd w:id="409"/>
    <w:p>
      <w:pPr>
        <w:jc w:val="right"/>
        <w:spacing w:after="0"/>
        <w:rPr>
          <w:sz w:val="20"/>
          <w:szCs w:val="20"/>
          <w:color w:val="auto"/>
        </w:rPr>
      </w:pPr>
      <w:r>
        <w:rPr>
          <w:rFonts w:ascii="Arial" w:cs="Arial" w:eastAsia="Arial" w:hAnsi="Arial"/>
          <w:sz w:val="22"/>
          <w:szCs w:val="22"/>
          <w:b w:val="1"/>
          <w:bCs w:val="1"/>
          <w:color w:val="auto"/>
        </w:rPr>
        <w:t>Exhibit 10.8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Jazz Pharmaceuticals plc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2011 Equity Incentive Plan</w:t>
      </w:r>
    </w:p>
    <w:p>
      <w:pPr>
        <w:spacing w:after="0" w:line="200" w:lineRule="exact"/>
        <w:rPr>
          <w:sz w:val="20"/>
          <w:szCs w:val="20"/>
          <w:color w:val="auto"/>
        </w:rPr>
      </w:pPr>
    </w:p>
    <w:p>
      <w:pPr>
        <w:spacing w:after="0" w:line="251" w:lineRule="exact"/>
        <w:rPr>
          <w:sz w:val="20"/>
          <w:szCs w:val="20"/>
          <w:color w:val="auto"/>
        </w:rPr>
      </w:pPr>
    </w:p>
    <w:p>
      <w:pPr>
        <w:ind w:left="820" w:hanging="812"/>
        <w:spacing w:after="0"/>
        <w:tabs>
          <w:tab w:leader="none" w:pos="820" w:val="left"/>
        </w:tabs>
        <w:numPr>
          <w:ilvl w:val="0"/>
          <w:numId w:val="384"/>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19" w:lineRule="exact"/>
        <w:rPr>
          <w:rFonts w:ascii="Arial" w:cs="Arial" w:eastAsia="Arial" w:hAnsi="Arial"/>
          <w:sz w:val="22"/>
          <w:szCs w:val="22"/>
          <w:b w:val="1"/>
          <w:bCs w:val="1"/>
          <w:color w:val="auto"/>
        </w:rPr>
      </w:pPr>
    </w:p>
    <w:p>
      <w:pPr>
        <w:jc w:val="both"/>
        <w:ind w:firstLine="656"/>
        <w:spacing w:after="0" w:line="289" w:lineRule="auto"/>
        <w:tabs>
          <w:tab w:leader="none" w:pos="1549" w:val="left"/>
        </w:tabs>
        <w:numPr>
          <w:ilvl w:val="1"/>
          <w:numId w:val="38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Relationship to 2007 Plan and 2003 Plan. </w:t>
      </w:r>
      <w:r>
        <w:rPr>
          <w:rFonts w:ascii="Arial" w:cs="Arial" w:eastAsia="Arial" w:hAnsi="Arial"/>
          <w:sz w:val="19"/>
          <w:szCs w:val="19"/>
          <w:color w:val="auto"/>
        </w:rPr>
        <w:t>From and after 12:01 a.m. Pacific time on the Effective Date, all</w:t>
      </w:r>
      <w:r>
        <w:rPr>
          <w:rFonts w:ascii="Arial" w:cs="Arial" w:eastAsia="Arial" w:hAnsi="Arial"/>
          <w:sz w:val="19"/>
          <w:szCs w:val="19"/>
          <w:b w:val="1"/>
          <w:bCs w:val="1"/>
          <w:color w:val="auto"/>
        </w:rPr>
        <w:t xml:space="preserve"> </w:t>
      </w:r>
      <w:r>
        <w:rPr>
          <w:rFonts w:ascii="Arial" w:cs="Arial" w:eastAsia="Arial" w:hAnsi="Arial"/>
          <w:sz w:val="19"/>
          <w:szCs w:val="19"/>
          <w:color w:val="auto"/>
        </w:rPr>
        <w:t>outstanding stock awards granted under the Jazz Pharmaceuticals plc 2007 Equity Incentive Plan (the “</w:t>
      </w:r>
      <w:r>
        <w:rPr>
          <w:rFonts w:ascii="Arial" w:cs="Arial" w:eastAsia="Arial" w:hAnsi="Arial"/>
          <w:sz w:val="19"/>
          <w:szCs w:val="19"/>
          <w:b w:val="1"/>
          <w:bCs w:val="1"/>
          <w:i w:val="1"/>
          <w:iCs w:val="1"/>
          <w:color w:val="auto"/>
        </w:rPr>
        <w:t>2007 Plan</w:t>
      </w:r>
      <w:r>
        <w:rPr>
          <w:rFonts w:ascii="Arial" w:cs="Arial" w:eastAsia="Arial" w:hAnsi="Arial"/>
          <w:sz w:val="19"/>
          <w:szCs w:val="19"/>
          <w:color w:val="auto"/>
        </w:rPr>
        <w:t>”), which was the successor to and continuation of the Jazz Pharmaceuticals plc 2003 Equity Incentive Plan (the “</w:t>
      </w:r>
      <w:r>
        <w:rPr>
          <w:rFonts w:ascii="Arial" w:cs="Arial" w:eastAsia="Arial" w:hAnsi="Arial"/>
          <w:sz w:val="19"/>
          <w:szCs w:val="19"/>
          <w:b w:val="1"/>
          <w:bCs w:val="1"/>
          <w:i w:val="1"/>
          <w:iCs w:val="1"/>
          <w:color w:val="auto"/>
        </w:rPr>
        <w:t>2003 Plan</w:t>
      </w:r>
      <w:r>
        <w:rPr>
          <w:rFonts w:ascii="Arial" w:cs="Arial" w:eastAsia="Arial" w:hAnsi="Arial"/>
          <w:sz w:val="19"/>
          <w:szCs w:val="19"/>
          <w:color w:val="auto"/>
        </w:rPr>
        <w:t xml:space="preserve">”), will remain subject to the terms of the 2007 Plan or the 2003 Plan, as applicable;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Ordinary Shares subject to outstanding stock awards granted under the 2007 Plan or the 2003 Plan that (i) expire or terminate for any reason prior to exercise or settlement, (ii) are forfeited because of the failure to meet a contingency or condition required to vest such Ordinary Shares or repurchased by the Company or an Affiliate at the original issuance price or (iii) are reacquired by the Company or an Affiliate or withheld (or not issued) to satisfy a tax withholding obligation in connection with an award (the “</w:t>
      </w:r>
      <w:r>
        <w:rPr>
          <w:rFonts w:ascii="Arial" w:cs="Arial" w:eastAsia="Arial" w:hAnsi="Arial"/>
          <w:sz w:val="19"/>
          <w:szCs w:val="19"/>
          <w:b w:val="1"/>
          <w:bCs w:val="1"/>
          <w:i w:val="1"/>
          <w:iCs w:val="1"/>
          <w:color w:val="auto"/>
        </w:rPr>
        <w:t>Returning Shares</w:t>
      </w:r>
      <w:r>
        <w:rPr>
          <w:rFonts w:ascii="Arial" w:cs="Arial" w:eastAsia="Arial" w:hAnsi="Arial"/>
          <w:sz w:val="19"/>
          <w:szCs w:val="19"/>
          <w:color w:val="auto"/>
        </w:rPr>
        <w:t>”) will immediately be added to the Share Reserve (as further described in Section 3(a) below) as and when such Ordinary Shares become Returning Shares, and become available for issuance pursuant to Awards granted under this Plan.</w:t>
      </w:r>
    </w:p>
    <w:p>
      <w:pPr>
        <w:spacing w:after="0" w:line="151" w:lineRule="exact"/>
        <w:rPr>
          <w:rFonts w:ascii="Arial" w:cs="Arial" w:eastAsia="Arial" w:hAnsi="Arial"/>
          <w:sz w:val="19"/>
          <w:szCs w:val="19"/>
          <w:b w:val="1"/>
          <w:bCs w:val="1"/>
          <w:color w:val="auto"/>
        </w:rPr>
      </w:pPr>
    </w:p>
    <w:p>
      <w:pPr>
        <w:ind w:left="1560" w:hanging="904"/>
        <w:spacing w:after="0"/>
        <w:tabs>
          <w:tab w:leader="none" w:pos="1560" w:val="left"/>
        </w:tabs>
        <w:numPr>
          <w:ilvl w:val="1"/>
          <w:numId w:val="38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Eligible Award Recipients. </w:t>
      </w:r>
      <w:r>
        <w:rPr>
          <w:rFonts w:ascii="Arial" w:cs="Arial" w:eastAsia="Arial" w:hAnsi="Arial"/>
          <w:sz w:val="22"/>
          <w:szCs w:val="22"/>
          <w:color w:val="auto"/>
        </w:rPr>
        <w:t>The persons eligible to receive Awards are Employees.</w:t>
      </w:r>
    </w:p>
    <w:p>
      <w:pPr>
        <w:spacing w:after="0" w:line="219" w:lineRule="exact"/>
        <w:rPr>
          <w:rFonts w:ascii="Arial" w:cs="Arial" w:eastAsia="Arial" w:hAnsi="Arial"/>
          <w:sz w:val="22"/>
          <w:szCs w:val="22"/>
          <w:b w:val="1"/>
          <w:bCs w:val="1"/>
          <w:color w:val="auto"/>
        </w:rPr>
      </w:pPr>
    </w:p>
    <w:p>
      <w:pPr>
        <w:jc w:val="both"/>
        <w:ind w:firstLine="656"/>
        <w:spacing w:after="0" w:line="256" w:lineRule="auto"/>
        <w:tabs>
          <w:tab w:leader="none" w:pos="1536" w:val="left"/>
        </w:tabs>
        <w:numPr>
          <w:ilvl w:val="1"/>
          <w:numId w:val="38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Available Awards. </w:t>
      </w:r>
      <w:r>
        <w:rPr>
          <w:rFonts w:ascii="Arial" w:cs="Arial" w:eastAsia="Arial" w:hAnsi="Arial"/>
          <w:sz w:val="22"/>
          <w:szCs w:val="22"/>
          <w:color w:val="auto"/>
        </w:rPr>
        <w:t>The Plan provides for the grant of the following Awards: (i) Incentive Stock Options, (ii)</w:t>
      </w:r>
      <w:r>
        <w:rPr>
          <w:rFonts w:ascii="Arial" w:cs="Arial" w:eastAsia="Arial" w:hAnsi="Arial"/>
          <w:sz w:val="22"/>
          <w:szCs w:val="22"/>
          <w:b w:val="1"/>
          <w:bCs w:val="1"/>
          <w:color w:val="auto"/>
        </w:rPr>
        <w:t xml:space="preserve"> </w:t>
      </w:r>
      <w:r>
        <w:rPr>
          <w:rFonts w:ascii="Arial" w:cs="Arial" w:eastAsia="Arial" w:hAnsi="Arial"/>
          <w:sz w:val="22"/>
          <w:szCs w:val="22"/>
          <w:color w:val="auto"/>
        </w:rPr>
        <w:t>Nonstatutory Stock Options, (iii) Stock Appreciation Rights (iv) Restricted Stock Awards, (v) Restricted Stock Unit Awards, (vi) Performance Stock Awards, (vii) Performance Cash Awards, and (viii) Other Stock Awards.</w:t>
      </w:r>
    </w:p>
    <w:p>
      <w:pPr>
        <w:spacing w:after="0" w:line="176" w:lineRule="exact"/>
        <w:rPr>
          <w:rFonts w:ascii="Arial" w:cs="Arial" w:eastAsia="Arial" w:hAnsi="Arial"/>
          <w:sz w:val="22"/>
          <w:szCs w:val="22"/>
          <w:b w:val="1"/>
          <w:bCs w:val="1"/>
          <w:color w:val="auto"/>
        </w:rPr>
      </w:pPr>
    </w:p>
    <w:p>
      <w:pPr>
        <w:jc w:val="both"/>
        <w:ind w:firstLine="656"/>
        <w:spacing w:after="0" w:line="267" w:lineRule="auto"/>
        <w:tabs>
          <w:tab w:leader="none" w:pos="1561" w:val="left"/>
        </w:tabs>
        <w:numPr>
          <w:ilvl w:val="1"/>
          <w:numId w:val="38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Purpose. </w:t>
      </w:r>
      <w:r>
        <w:rPr>
          <w:rFonts w:ascii="Arial" w:cs="Arial" w:eastAsia="Arial" w:hAnsi="Arial"/>
          <w:sz w:val="21"/>
          <w:szCs w:val="21"/>
          <w:color w:val="auto"/>
        </w:rPr>
        <w:t>The Company, by means of the Plan, seeks to secure and retain the services of the group of persons</w:t>
      </w:r>
      <w:r>
        <w:rPr>
          <w:rFonts w:ascii="Arial" w:cs="Arial" w:eastAsia="Arial" w:hAnsi="Arial"/>
          <w:sz w:val="21"/>
          <w:szCs w:val="21"/>
          <w:b w:val="1"/>
          <w:bCs w:val="1"/>
          <w:color w:val="auto"/>
        </w:rPr>
        <w:t xml:space="preserve"> </w:t>
      </w:r>
      <w:r>
        <w:rPr>
          <w:rFonts w:ascii="Arial" w:cs="Arial" w:eastAsia="Arial" w:hAnsi="Arial"/>
          <w:sz w:val="21"/>
          <w:szCs w:val="21"/>
          <w:color w:val="auto"/>
        </w:rPr>
        <w:t>eligible to receive Awards as set forth in Section 1(b), to provide incentives for such persons to exert maximum efforts for the success of the Company and any Affiliate and to provide a means by which such eligible recipients may be given an opportunity to benefit from increases in value of the Ordinary Shares through the granting of Awards.</w:t>
      </w:r>
    </w:p>
    <w:p>
      <w:pPr>
        <w:spacing w:after="0" w:line="167" w:lineRule="exact"/>
        <w:rPr>
          <w:rFonts w:ascii="Arial" w:cs="Arial" w:eastAsia="Arial" w:hAnsi="Arial"/>
          <w:sz w:val="21"/>
          <w:szCs w:val="21"/>
          <w:b w:val="1"/>
          <w:bCs w:val="1"/>
          <w:color w:val="auto"/>
        </w:rPr>
      </w:pPr>
    </w:p>
    <w:p>
      <w:pPr>
        <w:ind w:left="820" w:hanging="812"/>
        <w:spacing w:after="0"/>
        <w:tabs>
          <w:tab w:leader="none" w:pos="820" w:val="left"/>
        </w:tabs>
        <w:numPr>
          <w:ilvl w:val="0"/>
          <w:numId w:val="384"/>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w:t>
      </w:r>
    </w:p>
    <w:p>
      <w:pPr>
        <w:spacing w:after="0" w:line="219" w:lineRule="exact"/>
        <w:rPr>
          <w:rFonts w:ascii="Arial" w:cs="Arial" w:eastAsia="Arial" w:hAnsi="Arial"/>
          <w:sz w:val="22"/>
          <w:szCs w:val="22"/>
          <w:b w:val="1"/>
          <w:bCs w:val="1"/>
          <w:color w:val="auto"/>
        </w:rPr>
      </w:pPr>
    </w:p>
    <w:p>
      <w:pPr>
        <w:ind w:firstLine="656"/>
        <w:spacing w:after="0" w:line="269" w:lineRule="auto"/>
        <w:tabs>
          <w:tab w:leader="none" w:pos="1549" w:val="left"/>
        </w:tabs>
        <w:numPr>
          <w:ilvl w:val="1"/>
          <w:numId w:val="38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Administration by Board. </w:t>
      </w:r>
      <w:r>
        <w:rPr>
          <w:rFonts w:ascii="Arial" w:cs="Arial" w:eastAsia="Arial" w:hAnsi="Arial"/>
          <w:sz w:val="22"/>
          <w:szCs w:val="22"/>
          <w:color w:val="auto"/>
        </w:rPr>
        <w:t>The Board shall administer the Plan unless and until the Board delegates</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of the Plan to a Committee or Committees, as provided in Section 2(c).</w:t>
      </w:r>
    </w:p>
    <w:p>
      <w:pPr>
        <w:spacing w:after="0" w:line="162" w:lineRule="exact"/>
        <w:rPr>
          <w:rFonts w:ascii="Arial" w:cs="Arial" w:eastAsia="Arial" w:hAnsi="Arial"/>
          <w:sz w:val="22"/>
          <w:szCs w:val="22"/>
          <w:b w:val="1"/>
          <w:bCs w:val="1"/>
          <w:color w:val="auto"/>
        </w:rPr>
      </w:pPr>
    </w:p>
    <w:p>
      <w:pPr>
        <w:ind w:right="20" w:firstLine="656"/>
        <w:spacing w:after="0" w:line="269" w:lineRule="auto"/>
        <w:tabs>
          <w:tab w:leader="none" w:pos="1561" w:val="left"/>
        </w:tabs>
        <w:numPr>
          <w:ilvl w:val="1"/>
          <w:numId w:val="38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Powers of Board. </w:t>
      </w:r>
      <w:r>
        <w:rPr>
          <w:rFonts w:ascii="Arial" w:cs="Arial" w:eastAsia="Arial" w:hAnsi="Arial"/>
          <w:sz w:val="22"/>
          <w:szCs w:val="22"/>
          <w:color w:val="auto"/>
        </w:rPr>
        <w:t>The Board shall have the power, subject to, and within the limitations of, the express</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Plan:</w:t>
      </w:r>
    </w:p>
    <w:p>
      <w:pPr>
        <w:spacing w:after="0" w:line="168" w:lineRule="exact"/>
        <w:rPr>
          <w:rFonts w:ascii="Arial" w:cs="Arial" w:eastAsia="Arial" w:hAnsi="Arial"/>
          <w:sz w:val="22"/>
          <w:szCs w:val="22"/>
          <w:b w:val="1"/>
          <w:bCs w:val="1"/>
          <w:color w:val="auto"/>
        </w:rPr>
      </w:pPr>
    </w:p>
    <w:p>
      <w:pPr>
        <w:ind w:left="2160" w:hanging="855"/>
        <w:spacing w:after="0"/>
        <w:tabs>
          <w:tab w:leader="none" w:pos="2160" w:val="left"/>
        </w:tabs>
        <w:numPr>
          <w:ilvl w:val="2"/>
          <w:numId w:val="384"/>
        </w:numPr>
        <w:rPr>
          <w:rFonts w:ascii="Arial" w:cs="Arial" w:eastAsia="Arial" w:hAnsi="Arial"/>
          <w:sz w:val="19"/>
          <w:szCs w:val="19"/>
          <w:b w:val="1"/>
          <w:bCs w:val="1"/>
          <w:color w:val="auto"/>
        </w:rPr>
      </w:pPr>
      <w:r>
        <w:rPr>
          <w:rFonts w:ascii="Arial" w:cs="Arial" w:eastAsia="Arial" w:hAnsi="Arial"/>
          <w:sz w:val="19"/>
          <w:szCs w:val="19"/>
          <w:color w:val="auto"/>
        </w:rPr>
        <w:t>To determine from time to time (A) which of the persons eligible under the Plan shall be granted Awards;</w:t>
      </w:r>
    </w:p>
    <w:p>
      <w:pPr>
        <w:spacing w:after="0" w:line="56" w:lineRule="exact"/>
        <w:rPr>
          <w:rFonts w:ascii="Arial" w:cs="Arial" w:eastAsia="Arial" w:hAnsi="Arial"/>
          <w:sz w:val="19"/>
          <w:szCs w:val="19"/>
          <w:b w:val="1"/>
          <w:bCs w:val="1"/>
          <w:color w:val="auto"/>
        </w:rPr>
      </w:pPr>
    </w:p>
    <w:p>
      <w:pPr>
        <w:jc w:val="both"/>
        <w:spacing w:after="0" w:line="260" w:lineRule="auto"/>
        <w:rPr>
          <w:rFonts w:ascii="Arial" w:cs="Arial" w:eastAsia="Arial" w:hAnsi="Arial"/>
          <w:sz w:val="19"/>
          <w:szCs w:val="19"/>
          <w:b w:val="1"/>
          <w:bCs w:val="1"/>
          <w:color w:val="auto"/>
        </w:rPr>
      </w:pPr>
      <w:r>
        <w:rPr>
          <w:rFonts w:ascii="Arial" w:cs="Arial" w:eastAsia="Arial" w:hAnsi="Arial"/>
          <w:sz w:val="21"/>
          <w:szCs w:val="21"/>
          <w:color w:val="auto"/>
        </w:rPr>
        <w:t>(B) when and how each Award shall be granted; (C) what type or combination of types of Award shall be granted; (D) the provisions of each Award granted (which need not be identical), including the time or times when a person shall be permitted to receive cash or Ordinary Shares pursuant to a Stock Award; (E) the number of Ordinary Shares with respect to which a Stock Award shall be granted to each such person; and (F) the Fair Market Value applicable to a Stock Award.</w:t>
      </w:r>
    </w:p>
    <w:p>
      <w:pPr>
        <w:spacing w:after="0" w:line="200" w:lineRule="exact"/>
        <w:rPr>
          <w:sz w:val="20"/>
          <w:szCs w:val="20"/>
          <w:color w:val="auto"/>
        </w:rPr>
      </w:pPr>
    </w:p>
    <w:p>
      <w:pPr>
        <w:spacing w:after="0" w:line="221"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42" w:right="239" w:bottom="1440" w:gutter="0" w:footer="0" w:header="0"/>
        </w:sectPr>
      </w:pPr>
    </w:p>
    <w:bookmarkStart w:id="410" w:name="page411"/>
    <w:bookmarkEnd w:id="410"/>
    <w:p>
      <w:pPr>
        <w:jc w:val="both"/>
        <w:ind w:left="-8" w:firstLine="1305"/>
        <w:spacing w:after="0" w:line="265" w:lineRule="auto"/>
        <w:tabs>
          <w:tab w:leader="none" w:pos="2201" w:val="left"/>
        </w:tabs>
        <w:numPr>
          <w:ilvl w:val="1"/>
          <w:numId w:val="385"/>
        </w:numPr>
        <w:rPr>
          <w:rFonts w:ascii="Arial" w:cs="Arial" w:eastAsia="Arial" w:hAnsi="Arial"/>
          <w:sz w:val="21"/>
          <w:szCs w:val="21"/>
          <w:b w:val="1"/>
          <w:bCs w:val="1"/>
          <w:color w:val="auto"/>
        </w:rPr>
      </w:pPr>
      <w:r>
        <w:rPr>
          <w:rFonts w:ascii="Arial" w:cs="Arial" w:eastAsia="Arial" w:hAnsi="Arial"/>
          <w:sz w:val="21"/>
          <w:szCs w:val="21"/>
          <w:color w:val="auto"/>
        </w:rPr>
        <w:t>To construe and interpret the Plan and Awards granted under it, and to establish, amend and revoke rules and regulations for its administration. The Board, in the exercise of this power, may correct any defect, omission or inconsistency in the Plan or in any Stock Award Agreement or in the written terms of a Performance Cash Award, in a manner and to the extent it shall deem necessary or expedient to make the Plan or Award fully effective.</w:t>
      </w:r>
    </w:p>
    <w:p>
      <w:pPr>
        <w:spacing w:after="0" w:line="175" w:lineRule="exact"/>
        <w:rPr>
          <w:rFonts w:ascii="Arial" w:cs="Arial" w:eastAsia="Arial" w:hAnsi="Arial"/>
          <w:sz w:val="21"/>
          <w:szCs w:val="21"/>
          <w:b w:val="1"/>
          <w:bCs w:val="1"/>
          <w:color w:val="auto"/>
        </w:rPr>
      </w:pPr>
    </w:p>
    <w:p>
      <w:pPr>
        <w:ind w:left="2272" w:hanging="975"/>
        <w:spacing w:after="0"/>
        <w:tabs>
          <w:tab w:leader="none" w:pos="2272" w:val="left"/>
        </w:tabs>
        <w:numPr>
          <w:ilvl w:val="1"/>
          <w:numId w:val="385"/>
        </w:numPr>
        <w:rPr>
          <w:rFonts w:ascii="Arial" w:cs="Arial" w:eastAsia="Arial" w:hAnsi="Arial"/>
          <w:sz w:val="22"/>
          <w:szCs w:val="22"/>
          <w:b w:val="1"/>
          <w:bCs w:val="1"/>
          <w:color w:val="auto"/>
        </w:rPr>
      </w:pPr>
      <w:r>
        <w:rPr>
          <w:rFonts w:ascii="Arial" w:cs="Arial" w:eastAsia="Arial" w:hAnsi="Arial"/>
          <w:sz w:val="22"/>
          <w:szCs w:val="22"/>
          <w:color w:val="auto"/>
        </w:rPr>
        <w:t>To settle all controversies regarding the Plan and Awards granted under it.</w:t>
      </w:r>
    </w:p>
    <w:p>
      <w:pPr>
        <w:spacing w:after="0" w:line="219" w:lineRule="exact"/>
        <w:rPr>
          <w:rFonts w:ascii="Arial" w:cs="Arial" w:eastAsia="Arial" w:hAnsi="Arial"/>
          <w:sz w:val="22"/>
          <w:szCs w:val="22"/>
          <w:b w:val="1"/>
          <w:bCs w:val="1"/>
          <w:color w:val="auto"/>
        </w:rPr>
      </w:pPr>
    </w:p>
    <w:p>
      <w:pPr>
        <w:jc w:val="both"/>
        <w:ind w:left="-8" w:firstLine="1305"/>
        <w:spacing w:after="0" w:line="253" w:lineRule="auto"/>
        <w:tabs>
          <w:tab w:leader="none" w:pos="2249" w:val="left"/>
        </w:tabs>
        <w:numPr>
          <w:ilvl w:val="1"/>
          <w:numId w:val="385"/>
        </w:numPr>
        <w:rPr>
          <w:rFonts w:ascii="Arial" w:cs="Arial" w:eastAsia="Arial" w:hAnsi="Arial"/>
          <w:sz w:val="22"/>
          <w:szCs w:val="22"/>
          <w:b w:val="1"/>
          <w:bCs w:val="1"/>
          <w:color w:val="auto"/>
        </w:rPr>
      </w:pPr>
      <w:r>
        <w:rPr>
          <w:rFonts w:ascii="Arial" w:cs="Arial" w:eastAsia="Arial" w:hAnsi="Arial"/>
          <w:sz w:val="22"/>
          <w:szCs w:val="22"/>
          <w:color w:val="auto"/>
        </w:rPr>
        <w:t>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w:t>
      </w:r>
    </w:p>
    <w:p>
      <w:pPr>
        <w:spacing w:after="0" w:line="185" w:lineRule="exact"/>
        <w:rPr>
          <w:rFonts w:ascii="Arial" w:cs="Arial" w:eastAsia="Arial" w:hAnsi="Arial"/>
          <w:sz w:val="22"/>
          <w:szCs w:val="22"/>
          <w:b w:val="1"/>
          <w:bCs w:val="1"/>
          <w:color w:val="auto"/>
        </w:rPr>
      </w:pPr>
    </w:p>
    <w:p>
      <w:pPr>
        <w:jc w:val="both"/>
        <w:ind w:left="-8" w:firstLine="1305"/>
        <w:spacing w:after="0" w:line="292" w:lineRule="auto"/>
        <w:tabs>
          <w:tab w:leader="none" w:pos="2189" w:val="left"/>
        </w:tabs>
        <w:numPr>
          <w:ilvl w:val="1"/>
          <w:numId w:val="385"/>
        </w:numPr>
        <w:rPr>
          <w:rFonts w:ascii="Arial" w:cs="Arial" w:eastAsia="Arial" w:hAnsi="Arial"/>
          <w:sz w:val="19"/>
          <w:szCs w:val="19"/>
          <w:b w:val="1"/>
          <w:bCs w:val="1"/>
          <w:color w:val="auto"/>
        </w:rPr>
      </w:pPr>
      <w:r>
        <w:rPr>
          <w:rFonts w:ascii="Arial" w:cs="Arial" w:eastAsia="Arial" w:hAnsi="Arial"/>
          <w:sz w:val="19"/>
          <w:szCs w:val="19"/>
          <w:color w:val="auto"/>
        </w:rPr>
        <w:t>To effect, at any time and from time to time, with the consent of any adversely affected Participant, (A) the reduction of the exercise price (or strike price) of any outstanding Option or SAR under the Plan, provided this does not reduce the exercise price or strike price below the nominal value of an Ordinary Share; (B) the cancellation of any outstanding Option or SAR under the Plan and the grant in substitution therefor of (1) a new Option or SAR under the Plan or another equity plan of the Company covering the same or a different number of Ordinary Shares, (2) a Restricted Stock Award, (3) a Restricted Stock Unit Award, (4) an Other Stock Award, (5) cash and/or (6) other valuable consideration (as determined by the Board, in its sole discretion); or (C) any other action that is treated as a repricing under generally accepted accounting principles.</w:t>
      </w:r>
    </w:p>
    <w:p>
      <w:pPr>
        <w:spacing w:after="0" w:line="151" w:lineRule="exact"/>
        <w:rPr>
          <w:rFonts w:ascii="Arial" w:cs="Arial" w:eastAsia="Arial" w:hAnsi="Arial"/>
          <w:sz w:val="19"/>
          <w:szCs w:val="19"/>
          <w:b w:val="1"/>
          <w:bCs w:val="1"/>
          <w:color w:val="auto"/>
        </w:rPr>
      </w:pPr>
    </w:p>
    <w:p>
      <w:pPr>
        <w:jc w:val="both"/>
        <w:ind w:left="-8" w:firstLine="1305"/>
        <w:spacing w:after="0" w:line="253" w:lineRule="auto"/>
        <w:tabs>
          <w:tab w:leader="none" w:pos="2249" w:val="left"/>
        </w:tabs>
        <w:numPr>
          <w:ilvl w:val="1"/>
          <w:numId w:val="385"/>
        </w:numPr>
        <w:rPr>
          <w:rFonts w:ascii="Arial" w:cs="Arial" w:eastAsia="Arial" w:hAnsi="Arial"/>
          <w:sz w:val="22"/>
          <w:szCs w:val="22"/>
          <w:b w:val="1"/>
          <w:bCs w:val="1"/>
          <w:color w:val="auto"/>
        </w:rPr>
      </w:pPr>
      <w:r>
        <w:rPr>
          <w:rFonts w:ascii="Arial" w:cs="Arial" w:eastAsia="Arial" w:hAnsi="Arial"/>
          <w:sz w:val="22"/>
          <w:szCs w:val="22"/>
          <w:color w:val="auto"/>
        </w:rPr>
        <w:t>To suspend or terminate the Plan at any time. Suspension or termination of the Plan shall not impair rights and obligations under any Award granted while the Plan is in effect except with the written consent of the affected Participant.</w:t>
      </w:r>
    </w:p>
    <w:p>
      <w:pPr>
        <w:spacing w:after="0" w:line="185" w:lineRule="exact"/>
        <w:rPr>
          <w:rFonts w:ascii="Arial" w:cs="Arial" w:eastAsia="Arial" w:hAnsi="Arial"/>
          <w:sz w:val="22"/>
          <w:szCs w:val="22"/>
          <w:b w:val="1"/>
          <w:bCs w:val="1"/>
          <w:color w:val="auto"/>
        </w:rPr>
      </w:pPr>
    </w:p>
    <w:p>
      <w:pPr>
        <w:jc w:val="both"/>
        <w:ind w:left="-8" w:firstLine="1305"/>
        <w:spacing w:after="0" w:line="284" w:lineRule="auto"/>
        <w:tabs>
          <w:tab w:leader="none" w:pos="2309" w:val="left"/>
        </w:tabs>
        <w:numPr>
          <w:ilvl w:val="1"/>
          <w:numId w:val="385"/>
        </w:numPr>
        <w:rPr>
          <w:rFonts w:ascii="Arial" w:cs="Arial" w:eastAsia="Arial" w:hAnsi="Arial"/>
          <w:sz w:val="19"/>
          <w:szCs w:val="19"/>
          <w:b w:val="1"/>
          <w:bCs w:val="1"/>
          <w:color w:val="auto"/>
        </w:rPr>
      </w:pPr>
      <w:r>
        <w:rPr>
          <w:rFonts w:ascii="Arial" w:cs="Arial" w:eastAsia="Arial" w:hAnsi="Arial"/>
          <w:sz w:val="19"/>
          <w:szCs w:val="19"/>
          <w:color w:val="auto"/>
        </w:rPr>
        <w:t>To amend the Plan in any respect the Board deems necessary or advisable. However, except as provided in Section 9(a) relating to Capitalization Adjustments, to the extent required by applicable law or listing requirements, shareholder approval shall be required for any amendment of the Plan that either (A) materially increases the number of Ordinary Shares available for issuance under the Plan, (B) materially expands the class of individuals eligible to receive Awards under the Plan, (C) materially increases the benefits accruing to Participants under the Plan or materially reduces the price at which Ordinary Shares may be issued or purchased under the Plan, (D) materially extends the term of the Plan, or (E) expands the types of Awards available for issuance under the Plan. Except as provided above, rights under any Award granted before amendment of the Plan shall not be impaired by any amendment of the Plan unless (1) the Company requests the consent of the affected Participant, and</w:t>
      </w:r>
    </w:p>
    <w:p>
      <w:pPr>
        <w:spacing w:after="0" w:line="2" w:lineRule="exact"/>
        <w:rPr>
          <w:rFonts w:ascii="Arial" w:cs="Arial" w:eastAsia="Arial" w:hAnsi="Arial"/>
          <w:sz w:val="19"/>
          <w:szCs w:val="19"/>
          <w:b w:val="1"/>
          <w:bCs w:val="1"/>
          <w:color w:val="auto"/>
        </w:rPr>
      </w:pPr>
    </w:p>
    <w:p>
      <w:pPr>
        <w:ind w:left="312" w:hanging="312"/>
        <w:spacing w:after="0"/>
        <w:tabs>
          <w:tab w:leader="none" w:pos="312" w:val="left"/>
        </w:tabs>
        <w:numPr>
          <w:ilvl w:val="0"/>
          <w:numId w:val="386"/>
        </w:numPr>
        <w:rPr>
          <w:rFonts w:ascii="Arial" w:cs="Arial" w:eastAsia="Arial" w:hAnsi="Arial"/>
          <w:sz w:val="22"/>
          <w:szCs w:val="22"/>
          <w:color w:val="auto"/>
        </w:rPr>
      </w:pPr>
      <w:r>
        <w:rPr>
          <w:rFonts w:ascii="Arial" w:cs="Arial" w:eastAsia="Arial" w:hAnsi="Arial"/>
          <w:sz w:val="22"/>
          <w:szCs w:val="22"/>
          <w:color w:val="auto"/>
        </w:rPr>
        <w:t>such Participant consents in writing.</w:t>
      </w:r>
    </w:p>
    <w:p>
      <w:pPr>
        <w:spacing w:after="0" w:line="201" w:lineRule="exact"/>
        <w:rPr>
          <w:rFonts w:ascii="Arial" w:cs="Arial" w:eastAsia="Arial" w:hAnsi="Arial"/>
          <w:sz w:val="22"/>
          <w:szCs w:val="22"/>
          <w:color w:val="auto"/>
        </w:rPr>
      </w:pPr>
    </w:p>
    <w:p>
      <w:pPr>
        <w:jc w:val="both"/>
        <w:ind w:left="-8" w:firstLine="1305"/>
        <w:spacing w:after="0" w:line="250" w:lineRule="auto"/>
        <w:tabs>
          <w:tab w:leader="none" w:pos="2369" w:val="left"/>
        </w:tabs>
        <w:numPr>
          <w:ilvl w:val="1"/>
          <w:numId w:val="386"/>
        </w:numPr>
        <w:rPr>
          <w:rFonts w:ascii="Arial" w:cs="Arial" w:eastAsia="Arial" w:hAnsi="Arial"/>
          <w:sz w:val="22"/>
          <w:szCs w:val="22"/>
          <w:b w:val="1"/>
          <w:bCs w:val="1"/>
          <w:color w:val="auto"/>
        </w:rPr>
      </w:pPr>
      <w:r>
        <w:rPr>
          <w:rFonts w:ascii="Arial" w:cs="Arial" w:eastAsia="Arial" w:hAnsi="Arial"/>
          <w:sz w:val="22"/>
          <w:szCs w:val="22"/>
          <w:color w:val="auto"/>
        </w:rPr>
        <w:t>To submit any amendment to the Plan for shareholder approval, including, but not limited to, amendments to the Plan intended to satisfy the requirements of (A) Section 162(m) of the Code regarding the exclusion of performance-based compensation from the limit on corporate deductibility of compensation paid to Covered Employees, (B) Section 422 of the Code regarding incentive stock options or (C) Rule 16b-3.</w:t>
      </w:r>
    </w:p>
    <w:p>
      <w:pPr>
        <w:spacing w:after="0" w:line="188" w:lineRule="exact"/>
        <w:rPr>
          <w:rFonts w:ascii="Arial" w:cs="Arial" w:eastAsia="Arial" w:hAnsi="Arial"/>
          <w:sz w:val="22"/>
          <w:szCs w:val="22"/>
          <w:b w:val="1"/>
          <w:bCs w:val="1"/>
          <w:color w:val="auto"/>
        </w:rPr>
      </w:pPr>
    </w:p>
    <w:p>
      <w:pPr>
        <w:jc w:val="both"/>
        <w:ind w:left="-8" w:firstLine="1305"/>
        <w:spacing w:after="0" w:line="294" w:lineRule="auto"/>
        <w:tabs>
          <w:tab w:leader="none" w:pos="2249" w:val="left"/>
        </w:tabs>
        <w:numPr>
          <w:ilvl w:val="1"/>
          <w:numId w:val="386"/>
        </w:numPr>
        <w:rPr>
          <w:rFonts w:ascii="Arial" w:cs="Arial" w:eastAsia="Arial" w:hAnsi="Arial"/>
          <w:sz w:val="19"/>
          <w:szCs w:val="19"/>
          <w:b w:val="1"/>
          <w:bCs w:val="1"/>
          <w:color w:val="auto"/>
        </w:rPr>
      </w:pPr>
      <w:r>
        <w:rPr>
          <w:rFonts w:ascii="Arial" w:cs="Arial" w:eastAsia="Arial" w:hAnsi="Arial"/>
          <w:sz w:val="19"/>
          <w:szCs w:val="19"/>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except with respect to amendments that disqualify or impair the status of an Incentive Stock Option, a Participant’s</w:t>
      </w:r>
      <w:r>
        <w:rPr>
          <w:rFonts w:ascii="Arial" w:cs="Arial" w:eastAsia="Arial" w:hAnsi="Arial"/>
          <w:sz w:val="19"/>
          <w:szCs w:val="19"/>
          <w:i w:val="1"/>
          <w:iCs w:val="1"/>
          <w:color w:val="auto"/>
        </w:rPr>
        <w:t xml:space="preserve"> </w:t>
      </w:r>
      <w:r>
        <w:rPr>
          <w:rFonts w:ascii="Arial" w:cs="Arial" w:eastAsia="Arial" w:hAnsi="Arial"/>
          <w:sz w:val="19"/>
          <w:szCs w:val="19"/>
          <w:color w:val="auto"/>
        </w:rPr>
        <w:t>rights under any Award shall not be impaired by any such amendment unless (A) the Company requests the consent of the affected Participant, and (B) such Participant consents in writing. Notwithstanding the foregoing, subject to the limitations of</w:t>
      </w:r>
    </w:p>
    <w:p>
      <w:pPr>
        <w:spacing w:after="0" w:line="393" w:lineRule="exact"/>
        <w:rPr>
          <w:sz w:val="20"/>
          <w:szCs w:val="20"/>
          <w:color w:val="auto"/>
        </w:rPr>
      </w:pPr>
    </w:p>
    <w:p>
      <w:pPr>
        <w:ind w:left="595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12"/>
          </w:cols>
          <w:pgMar w:left="248" w:top="847" w:right="239" w:bottom="1440" w:gutter="0" w:footer="0" w:header="0"/>
        </w:sectPr>
      </w:pPr>
    </w:p>
    <w:bookmarkStart w:id="411" w:name="page412"/>
    <w:bookmarkEnd w:id="411"/>
    <w:p>
      <w:pPr>
        <w:jc w:val="both"/>
        <w:spacing w:after="0" w:line="253" w:lineRule="auto"/>
        <w:rPr>
          <w:sz w:val="20"/>
          <w:szCs w:val="20"/>
          <w:color w:val="auto"/>
        </w:rPr>
      </w:pPr>
      <w:r>
        <w:rPr>
          <w:rFonts w:ascii="Arial" w:cs="Arial" w:eastAsia="Arial" w:hAnsi="Arial"/>
          <w:sz w:val="22"/>
          <w:szCs w:val="22"/>
          <w:color w:val="auto"/>
        </w:rPr>
        <w:t>applicable law, if any, the Board may amend the terms of any one or more Awards without the affected Participant’s consent if necessary to maintain the qualified status of the Award as an Incentive Stock Option or to bring the Award into compliance with Section 409A of the Code.</w:t>
      </w:r>
    </w:p>
    <w:p>
      <w:pPr>
        <w:spacing w:after="0" w:line="186" w:lineRule="exact"/>
        <w:rPr>
          <w:sz w:val="20"/>
          <w:szCs w:val="20"/>
          <w:color w:val="auto"/>
        </w:rPr>
      </w:pPr>
    </w:p>
    <w:p>
      <w:pPr>
        <w:ind w:firstLine="1305"/>
        <w:spacing w:after="0" w:line="343" w:lineRule="auto"/>
        <w:tabs>
          <w:tab w:leader="none" w:pos="2197" w:val="left"/>
        </w:tabs>
        <w:numPr>
          <w:ilvl w:val="2"/>
          <w:numId w:val="387"/>
        </w:numPr>
        <w:rPr>
          <w:rFonts w:ascii="Arial" w:cs="Arial" w:eastAsia="Arial" w:hAnsi="Arial"/>
          <w:sz w:val="19"/>
          <w:szCs w:val="19"/>
          <w:b w:val="1"/>
          <w:bCs w:val="1"/>
          <w:color w:val="auto"/>
        </w:rPr>
      </w:pPr>
      <w:r>
        <w:rPr>
          <w:rFonts w:ascii="Arial" w:cs="Arial" w:eastAsia="Arial" w:hAnsi="Arial"/>
          <w:sz w:val="19"/>
          <w:szCs w:val="19"/>
          <w:color w:val="auto"/>
        </w:rPr>
        <w:t>Generally, to exercise such powers and to perform such acts as the Board deems necessary or expedient to promote the best interests of the Company and any Affiliates and that are not in conflict with the provisions of the Plan or Awards.</w:t>
      </w:r>
    </w:p>
    <w:p>
      <w:pPr>
        <w:spacing w:after="0" w:line="104" w:lineRule="exact"/>
        <w:rPr>
          <w:rFonts w:ascii="Arial" w:cs="Arial" w:eastAsia="Arial" w:hAnsi="Arial"/>
          <w:sz w:val="19"/>
          <w:szCs w:val="19"/>
          <w:b w:val="1"/>
          <w:bCs w:val="1"/>
          <w:color w:val="auto"/>
        </w:rPr>
      </w:pPr>
    </w:p>
    <w:p>
      <w:pPr>
        <w:ind w:firstLine="1305"/>
        <w:spacing w:after="0" w:line="263" w:lineRule="auto"/>
        <w:tabs>
          <w:tab w:leader="none" w:pos="2257" w:val="left"/>
        </w:tabs>
        <w:numPr>
          <w:ilvl w:val="2"/>
          <w:numId w:val="387"/>
        </w:numPr>
        <w:rPr>
          <w:rFonts w:ascii="Arial" w:cs="Arial" w:eastAsia="Arial" w:hAnsi="Arial"/>
          <w:sz w:val="22"/>
          <w:szCs w:val="22"/>
          <w:b w:val="1"/>
          <w:bCs w:val="1"/>
          <w:color w:val="auto"/>
        </w:rPr>
      </w:pPr>
      <w:r>
        <w:rPr>
          <w:rFonts w:ascii="Arial" w:cs="Arial" w:eastAsia="Arial" w:hAnsi="Arial"/>
          <w:sz w:val="22"/>
          <w:szCs w:val="22"/>
          <w:color w:val="auto"/>
        </w:rPr>
        <w:t>To adopt such procedures and sub-plans as are necessary or appropriate to permit participation in the Plan by Employees who are foreign nationals or employed outside the United States.</w:t>
      </w:r>
    </w:p>
    <w:p>
      <w:pPr>
        <w:spacing w:after="0" w:line="168" w:lineRule="exact"/>
        <w:rPr>
          <w:rFonts w:ascii="Arial" w:cs="Arial" w:eastAsia="Arial" w:hAnsi="Arial"/>
          <w:sz w:val="22"/>
          <w:szCs w:val="22"/>
          <w:b w:val="1"/>
          <w:bCs w:val="1"/>
          <w:color w:val="auto"/>
        </w:rPr>
      </w:pPr>
    </w:p>
    <w:p>
      <w:pPr>
        <w:ind w:left="1540" w:hanging="884"/>
        <w:spacing w:after="0"/>
        <w:tabs>
          <w:tab w:leader="none" w:pos="1540" w:val="left"/>
        </w:tabs>
        <w:numPr>
          <w:ilvl w:val="1"/>
          <w:numId w:val="388"/>
        </w:numPr>
        <w:rPr>
          <w:rFonts w:ascii="Arial" w:cs="Arial" w:eastAsia="Arial" w:hAnsi="Arial"/>
          <w:sz w:val="22"/>
          <w:szCs w:val="22"/>
          <w:b w:val="1"/>
          <w:bCs w:val="1"/>
          <w:color w:val="auto"/>
        </w:rPr>
      </w:pPr>
      <w:r>
        <w:rPr>
          <w:rFonts w:ascii="Arial" w:cs="Arial" w:eastAsia="Arial" w:hAnsi="Arial"/>
          <w:sz w:val="22"/>
          <w:szCs w:val="22"/>
          <w:b w:val="1"/>
          <w:bCs w:val="1"/>
          <w:color w:val="auto"/>
        </w:rPr>
        <w:t>Delegation to Committee.</w:t>
      </w:r>
    </w:p>
    <w:p>
      <w:pPr>
        <w:spacing w:after="0" w:line="219" w:lineRule="exact"/>
        <w:rPr>
          <w:rFonts w:ascii="Arial" w:cs="Arial" w:eastAsia="Arial" w:hAnsi="Arial"/>
          <w:sz w:val="22"/>
          <w:szCs w:val="22"/>
          <w:b w:val="1"/>
          <w:bCs w:val="1"/>
          <w:color w:val="auto"/>
        </w:rPr>
      </w:pPr>
    </w:p>
    <w:p>
      <w:pPr>
        <w:jc w:val="both"/>
        <w:ind w:firstLine="1305"/>
        <w:spacing w:after="0" w:line="259" w:lineRule="auto"/>
        <w:tabs>
          <w:tab w:leader="none" w:pos="2149" w:val="left"/>
        </w:tabs>
        <w:numPr>
          <w:ilvl w:val="2"/>
          <w:numId w:val="38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General. </w:t>
      </w:r>
      <w:r>
        <w:rPr>
          <w:rFonts w:ascii="Arial" w:cs="Arial" w:eastAsia="Arial" w:hAnsi="Arial"/>
          <w:sz w:val="21"/>
          <w:szCs w:val="21"/>
          <w:color w:val="auto"/>
        </w:rPr>
        <w:t>The Board may delegate some or all of the administration of the Plan to a Committee or</w:t>
      </w:r>
      <w:r>
        <w:rPr>
          <w:rFonts w:ascii="Arial" w:cs="Arial" w:eastAsia="Arial" w:hAnsi="Arial"/>
          <w:sz w:val="21"/>
          <w:szCs w:val="21"/>
          <w:b w:val="1"/>
          <w:bCs w:val="1"/>
          <w:color w:val="auto"/>
        </w:rPr>
        <w:t xml:space="preserve"> </w:t>
      </w:r>
      <w:r>
        <w:rPr>
          <w:rFonts w:ascii="Arial" w:cs="Arial" w:eastAsia="Arial" w:hAnsi="Arial"/>
          <w:sz w:val="21"/>
          <w:szCs w:val="21"/>
          <w:color w:val="auto"/>
        </w:rPr>
        <w:t>Committees. If administration of the Plan is delegated to a Committee, the Committee shall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the Plan to the Board shall thereafter be to the Committee or subcommittee), subject, however, to such resolutions, not inconsistent with the provisions of the Plan, as may be adopted from time to time by the Board.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80" w:lineRule="exact"/>
        <w:rPr>
          <w:rFonts w:ascii="Arial" w:cs="Arial" w:eastAsia="Arial" w:hAnsi="Arial"/>
          <w:sz w:val="21"/>
          <w:szCs w:val="21"/>
          <w:b w:val="1"/>
          <w:bCs w:val="1"/>
          <w:color w:val="auto"/>
        </w:rPr>
      </w:pPr>
    </w:p>
    <w:p>
      <w:pPr>
        <w:jc w:val="both"/>
        <w:ind w:firstLine="1305"/>
        <w:spacing w:after="0" w:line="256" w:lineRule="auto"/>
        <w:tabs>
          <w:tab w:leader="none" w:pos="2209" w:val="left"/>
        </w:tabs>
        <w:numPr>
          <w:ilvl w:val="2"/>
          <w:numId w:val="38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Section 162(m) and Rule 16b-3 Compliance. </w:t>
      </w:r>
      <w:r>
        <w:rPr>
          <w:rFonts w:ascii="Arial" w:cs="Arial" w:eastAsia="Arial" w:hAnsi="Arial"/>
          <w:sz w:val="22"/>
          <w:szCs w:val="22"/>
          <w:color w:val="auto"/>
        </w:rPr>
        <w:t>The Committee may consist solely of two or more Outside</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in accordance with Section 162(m) of the Code, or solely of two or more Non-Employee Directors, in accordance with Rule 16b-3.</w:t>
      </w:r>
    </w:p>
    <w:p>
      <w:pPr>
        <w:spacing w:after="0" w:line="176" w:lineRule="exact"/>
        <w:rPr>
          <w:rFonts w:ascii="Arial" w:cs="Arial" w:eastAsia="Arial" w:hAnsi="Arial"/>
          <w:sz w:val="22"/>
          <w:szCs w:val="22"/>
          <w:b w:val="1"/>
          <w:bCs w:val="1"/>
          <w:color w:val="auto"/>
        </w:rPr>
      </w:pPr>
    </w:p>
    <w:p>
      <w:pPr>
        <w:ind w:left="1560" w:hanging="904"/>
        <w:spacing w:after="0"/>
        <w:tabs>
          <w:tab w:leader="none" w:pos="1560" w:val="left"/>
        </w:tabs>
        <w:numPr>
          <w:ilvl w:val="1"/>
          <w:numId w:val="38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Delegation to an Officer. </w:t>
      </w:r>
      <w:r>
        <w:rPr>
          <w:rFonts w:ascii="Arial" w:cs="Arial" w:eastAsia="Arial" w:hAnsi="Arial"/>
          <w:sz w:val="19"/>
          <w:szCs w:val="19"/>
          <w:color w:val="auto"/>
        </w:rPr>
        <w:t>The Board may delegate to one or more Officers the authority to do one or both of the</w:t>
      </w:r>
    </w:p>
    <w:p>
      <w:pPr>
        <w:spacing w:after="0" w:line="62" w:lineRule="exact"/>
        <w:rPr>
          <w:rFonts w:ascii="Arial" w:cs="Arial" w:eastAsia="Arial" w:hAnsi="Arial"/>
          <w:sz w:val="19"/>
          <w:szCs w:val="19"/>
          <w:b w:val="1"/>
          <w:bCs w:val="1"/>
          <w:color w:val="auto"/>
        </w:rPr>
      </w:pPr>
    </w:p>
    <w:p>
      <w:pPr>
        <w:jc w:val="both"/>
        <w:spacing w:after="0" w:line="257" w:lineRule="auto"/>
        <w:rPr>
          <w:rFonts w:ascii="Arial" w:cs="Arial" w:eastAsia="Arial" w:hAnsi="Arial"/>
          <w:sz w:val="19"/>
          <w:szCs w:val="19"/>
          <w:b w:val="1"/>
          <w:bCs w:val="1"/>
          <w:color w:val="auto"/>
        </w:rPr>
      </w:pPr>
      <w:r>
        <w:rPr>
          <w:rFonts w:ascii="Arial" w:cs="Arial" w:eastAsia="Arial" w:hAnsi="Arial"/>
          <w:sz w:val="21"/>
          <w:szCs w:val="21"/>
          <w:color w:val="auto"/>
        </w:rPr>
        <w:t xml:space="preserve">following: (i) designate Employees who are providing Continuous Service to the Company or any of its Subsidiaries who are not Officers to be recipients of Options and Stock Appreciation Rights (and, to the extent permitted by applicable law, other Stock Awards) and the terms thereof, and (ii) determine the number of Ordinary Shares to be subject to such Stock Awards granted to such Employees;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Board resolutions regarding such delegation shall specify the total number of Ordinary Shares that may be subject to the Stock Awards granted by such Officer and that such Officer may not grant a Stock Award to himself or herself. Notwithstanding the foregoing, the Board may not delegate authority to an Officer to determine the Fair Market Value pursuant to Section 13(v)(iii) below.</w:t>
      </w:r>
    </w:p>
    <w:p>
      <w:pPr>
        <w:spacing w:after="0" w:line="178" w:lineRule="exact"/>
        <w:rPr>
          <w:rFonts w:ascii="Arial" w:cs="Arial" w:eastAsia="Arial" w:hAnsi="Arial"/>
          <w:sz w:val="19"/>
          <w:szCs w:val="19"/>
          <w:b w:val="1"/>
          <w:bCs w:val="1"/>
          <w:color w:val="auto"/>
        </w:rPr>
      </w:pPr>
    </w:p>
    <w:p>
      <w:pPr>
        <w:ind w:firstLine="656"/>
        <w:spacing w:after="0" w:line="269" w:lineRule="auto"/>
        <w:tabs>
          <w:tab w:leader="none" w:pos="1536" w:val="left"/>
        </w:tabs>
        <w:numPr>
          <w:ilvl w:val="1"/>
          <w:numId w:val="38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 of Board’s Decision. </w:t>
      </w:r>
      <w:r>
        <w:rPr>
          <w:rFonts w:ascii="Arial" w:cs="Arial" w:eastAsia="Arial" w:hAnsi="Arial"/>
          <w:sz w:val="22"/>
          <w:szCs w:val="22"/>
          <w:color w:val="auto"/>
        </w:rPr>
        <w:t>All determinations, interpretations and constructions made by the Board in good</w:t>
      </w:r>
      <w:r>
        <w:rPr>
          <w:rFonts w:ascii="Arial" w:cs="Arial" w:eastAsia="Arial" w:hAnsi="Arial"/>
          <w:sz w:val="22"/>
          <w:szCs w:val="22"/>
          <w:b w:val="1"/>
          <w:bCs w:val="1"/>
          <w:color w:val="auto"/>
        </w:rPr>
        <w:t xml:space="preserve"> </w:t>
      </w:r>
      <w:r>
        <w:rPr>
          <w:rFonts w:ascii="Arial" w:cs="Arial" w:eastAsia="Arial" w:hAnsi="Arial"/>
          <w:sz w:val="22"/>
          <w:szCs w:val="22"/>
          <w:color w:val="auto"/>
        </w:rPr>
        <w:t>faith shall not be subject to review by any person and shall be final, binding and conclusive on all persons.</w:t>
      </w:r>
    </w:p>
    <w:p>
      <w:pPr>
        <w:spacing w:after="0" w:line="162" w:lineRule="exact"/>
        <w:rPr>
          <w:rFonts w:ascii="Arial" w:cs="Arial" w:eastAsia="Arial" w:hAnsi="Arial"/>
          <w:sz w:val="22"/>
          <w:szCs w:val="22"/>
          <w:b w:val="1"/>
          <w:bCs w:val="1"/>
          <w:color w:val="auto"/>
        </w:rPr>
      </w:pPr>
    </w:p>
    <w:p>
      <w:pPr>
        <w:ind w:left="820" w:hanging="812"/>
        <w:spacing w:after="0"/>
        <w:tabs>
          <w:tab w:leader="none" w:pos="820" w:val="left"/>
        </w:tabs>
        <w:numPr>
          <w:ilvl w:val="0"/>
          <w:numId w:val="389"/>
        </w:numPr>
        <w:rPr>
          <w:rFonts w:ascii="Arial" w:cs="Arial" w:eastAsia="Arial" w:hAnsi="Arial"/>
          <w:sz w:val="22"/>
          <w:szCs w:val="22"/>
          <w:b w:val="1"/>
          <w:bCs w:val="1"/>
          <w:color w:val="auto"/>
        </w:rPr>
      </w:pPr>
      <w:r>
        <w:rPr>
          <w:rFonts w:ascii="Arial" w:cs="Arial" w:eastAsia="Arial" w:hAnsi="Arial"/>
          <w:sz w:val="22"/>
          <w:szCs w:val="22"/>
          <w:b w:val="1"/>
          <w:bCs w:val="1"/>
          <w:color w:val="auto"/>
        </w:rPr>
        <w:t>Shares Subject to the Plan.</w:t>
      </w:r>
    </w:p>
    <w:p>
      <w:pPr>
        <w:spacing w:after="0" w:line="219" w:lineRule="exact"/>
        <w:rPr>
          <w:rFonts w:ascii="Arial" w:cs="Arial" w:eastAsia="Arial" w:hAnsi="Arial"/>
          <w:sz w:val="22"/>
          <w:szCs w:val="22"/>
          <w:b w:val="1"/>
          <w:bCs w:val="1"/>
          <w:color w:val="auto"/>
        </w:rPr>
      </w:pPr>
    </w:p>
    <w:p>
      <w:pPr>
        <w:jc w:val="both"/>
        <w:ind w:firstLine="656"/>
        <w:spacing w:after="0" w:line="298" w:lineRule="auto"/>
        <w:tabs>
          <w:tab w:leader="none" w:pos="1549" w:val="left"/>
        </w:tabs>
        <w:numPr>
          <w:ilvl w:val="1"/>
          <w:numId w:val="38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Share Reserve. </w:t>
      </w:r>
      <w:r>
        <w:rPr>
          <w:rFonts w:ascii="Arial" w:cs="Arial" w:eastAsia="Arial" w:hAnsi="Arial"/>
          <w:sz w:val="19"/>
          <w:szCs w:val="19"/>
          <w:color w:val="auto"/>
        </w:rPr>
        <w:t>Subject to the provisions of Section 9(a) relating to Capitalization Adjustments, the aggregate</w:t>
      </w:r>
      <w:r>
        <w:rPr>
          <w:rFonts w:ascii="Arial" w:cs="Arial" w:eastAsia="Arial" w:hAnsi="Arial"/>
          <w:sz w:val="19"/>
          <w:szCs w:val="19"/>
          <w:b w:val="1"/>
          <w:bCs w:val="1"/>
          <w:color w:val="auto"/>
        </w:rPr>
        <w:t xml:space="preserve"> </w:t>
      </w:r>
      <w:r>
        <w:rPr>
          <w:rFonts w:ascii="Arial" w:cs="Arial" w:eastAsia="Arial" w:hAnsi="Arial"/>
          <w:sz w:val="19"/>
          <w:szCs w:val="19"/>
          <w:color w:val="auto"/>
        </w:rPr>
        <w:t>number of Ordinary Shares that may be issued pursuant to Stock Awards from and after the Effective Date shall not exceed eight million three hundred thirty five thousand two hundred fifty five (8,335,255) Ordinary Shares (the “</w:t>
      </w:r>
      <w:r>
        <w:rPr>
          <w:rFonts w:ascii="Arial" w:cs="Arial" w:eastAsia="Arial" w:hAnsi="Arial"/>
          <w:sz w:val="19"/>
          <w:szCs w:val="19"/>
          <w:b w:val="1"/>
          <w:bCs w:val="1"/>
          <w:i w:val="1"/>
          <w:iCs w:val="1"/>
          <w:color w:val="auto"/>
        </w:rPr>
        <w:t>Share Reserve</w:t>
      </w:r>
      <w:r>
        <w:rPr>
          <w:rFonts w:ascii="Arial" w:cs="Arial" w:eastAsia="Arial" w:hAnsi="Arial"/>
          <w:sz w:val="19"/>
          <w:szCs w:val="19"/>
          <w:color w:val="auto"/>
        </w:rPr>
        <w:t>”), which number is the sum of (i) five million (5,000,000) Ordinary Shares, plus (ii) an additional number of Ordinary Shares in an amount not to exceed three million three hundred thirty five thousand two hundred fifty five (3,335,255) Ordinary Shares (which</w:t>
      </w:r>
    </w:p>
    <w:p>
      <w:pPr>
        <w:spacing w:after="0" w:line="39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47" w:right="239" w:bottom="1440" w:gutter="0" w:footer="0" w:header="0"/>
        </w:sectPr>
      </w:pPr>
    </w:p>
    <w:bookmarkStart w:id="412" w:name="page413"/>
    <w:bookmarkEnd w:id="412"/>
    <w:p>
      <w:pPr>
        <w:spacing w:after="0" w:line="291" w:lineRule="auto"/>
        <w:rPr>
          <w:sz w:val="20"/>
          <w:szCs w:val="20"/>
          <w:color w:val="auto"/>
        </w:rPr>
      </w:pPr>
      <w:r>
        <w:rPr>
          <w:rFonts w:ascii="Arial" w:cs="Arial" w:eastAsia="Arial" w:hAnsi="Arial"/>
          <w:sz w:val="19"/>
          <w:szCs w:val="19"/>
          <w:color w:val="auto"/>
        </w:rPr>
        <w:t>number consists of the Returning Shares, if any, as such shares become available from time to time). In addition, the number of Ordinary Shares available for issuance under the Plan shall automatically increase on January 1st of each year for a period of ten</w:t>
      </w:r>
    </w:p>
    <w:p>
      <w:pPr>
        <w:spacing w:after="0" w:line="1" w:lineRule="exact"/>
        <w:rPr>
          <w:sz w:val="20"/>
          <w:szCs w:val="20"/>
          <w:color w:val="auto"/>
        </w:rPr>
      </w:pPr>
    </w:p>
    <w:p>
      <w:pPr>
        <w:jc w:val="both"/>
        <w:ind w:firstLine="8"/>
        <w:spacing w:after="0" w:line="285" w:lineRule="auto"/>
        <w:tabs>
          <w:tab w:leader="none" w:pos="425" w:val="left"/>
        </w:tabs>
        <w:numPr>
          <w:ilvl w:val="0"/>
          <w:numId w:val="390"/>
        </w:numPr>
        <w:rPr>
          <w:rFonts w:ascii="Arial" w:cs="Arial" w:eastAsia="Arial" w:hAnsi="Arial"/>
          <w:sz w:val="19"/>
          <w:szCs w:val="19"/>
          <w:color w:val="auto"/>
        </w:rPr>
      </w:pPr>
      <w:r>
        <w:rPr>
          <w:rFonts w:ascii="Arial" w:cs="Arial" w:eastAsia="Arial" w:hAnsi="Arial"/>
          <w:sz w:val="19"/>
          <w:szCs w:val="19"/>
          <w:color w:val="auto"/>
        </w:rPr>
        <w:t>years commencing on January 1, 2013 and ending on (and including) January 1, 2022, in an amount equal to the lesser of (i) four and one-half percent (4.5%) of the total number of Ordinary Shares outstanding on December 31st of the preceding calendar year or (ii) five million (5,000,000) Ordinary Shares. Notwithstanding the foregoing, the Board may act prior to the first day of any calendar year, to provide that there shall be no increase in the Share Reserve for such calendar year or that the increase in the Share Reserve for such calendar year shall be a lesser number of Ordinary Shares than would otherwise occur pursuant to the preceding sentence. For clarity, the Share Reserve in this Section 3(a) is a limitation on the number of Ordinary Shares that may be issued pursuant to the Plan. Accordingly, this Section 3(a) does not limit the granting of Stock Awards except as provided in Section 7(a). Shares may be issued in connection with a merger or acquisition as permitted by, as applicable, NASDAQ Listing Rule 5635(c) or, if applicable, NYSE Listed Company Manual Section 303A.08, AMEX Company Guide Section 711 or other applicable rule, and such issuance shall not reduce the number of Ordinary Shares available for issuance under the Plan. Furthermore, if a Stock Award or any portion thereof (i) expires or otherwise terminates without all of the Ordinary Shares covered by such Stock Award having been issued or (ii) is settled in cash (</w:t>
      </w:r>
      <w:r>
        <w:rPr>
          <w:rFonts w:ascii="Arial" w:cs="Arial" w:eastAsia="Arial" w:hAnsi="Arial"/>
          <w:sz w:val="19"/>
          <w:szCs w:val="19"/>
          <w:i w:val="1"/>
          <w:iCs w:val="1"/>
          <w:color w:val="auto"/>
        </w:rPr>
        <w:t>i.e.</w:t>
      </w:r>
      <w:r>
        <w:rPr>
          <w:rFonts w:ascii="Arial" w:cs="Arial" w:eastAsia="Arial" w:hAnsi="Arial"/>
          <w:sz w:val="19"/>
          <w:szCs w:val="19"/>
          <w:color w:val="auto"/>
        </w:rPr>
        <w:t>, the Participant receives cash rather than Ordinary Shares), such expiration, termination or settlement shall not reduce (or otherwise offset) the number of Ordinary Shares that may be available for issuance under the Plan.</w:t>
      </w:r>
    </w:p>
    <w:p>
      <w:pPr>
        <w:spacing w:after="0" w:line="155" w:lineRule="exact"/>
        <w:rPr>
          <w:rFonts w:ascii="Arial" w:cs="Arial" w:eastAsia="Arial" w:hAnsi="Arial"/>
          <w:sz w:val="19"/>
          <w:szCs w:val="19"/>
          <w:color w:val="auto"/>
        </w:rPr>
      </w:pPr>
    </w:p>
    <w:p>
      <w:pPr>
        <w:jc w:val="both"/>
        <w:ind w:firstLine="656"/>
        <w:spacing w:after="0" w:line="288" w:lineRule="auto"/>
        <w:tabs>
          <w:tab w:leader="none" w:pos="1561" w:val="left"/>
        </w:tabs>
        <w:numPr>
          <w:ilvl w:val="1"/>
          <w:numId w:val="39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Reversion of Shares to the Share Reserve. </w:t>
      </w:r>
      <w:r>
        <w:rPr>
          <w:rFonts w:ascii="Arial" w:cs="Arial" w:eastAsia="Arial" w:hAnsi="Arial"/>
          <w:sz w:val="19"/>
          <w:szCs w:val="19"/>
          <w:color w:val="auto"/>
        </w:rPr>
        <w:t>If (i) any Ordinary Shares issued pursuant to a Stock Award are</w:t>
      </w:r>
      <w:r>
        <w:rPr>
          <w:rFonts w:ascii="Arial" w:cs="Arial" w:eastAsia="Arial" w:hAnsi="Arial"/>
          <w:sz w:val="19"/>
          <w:szCs w:val="19"/>
          <w:b w:val="1"/>
          <w:bCs w:val="1"/>
          <w:color w:val="auto"/>
        </w:rPr>
        <w:t xml:space="preserve"> </w:t>
      </w:r>
      <w:r>
        <w:rPr>
          <w:rFonts w:ascii="Arial" w:cs="Arial" w:eastAsia="Arial" w:hAnsi="Arial"/>
          <w:sz w:val="19"/>
          <w:szCs w:val="19"/>
          <w:color w:val="auto"/>
        </w:rPr>
        <w:t>forfeited back to or repurchased by the Company or any Affiliate because of the failure to meet a contingency or condition required for the vesting of such Ordinary Shares, or (ii) any Ordinary Shares are cancelled in accordance with the cancellation and regrant provisions of Section 2(b)(v), then the Ordinary Shares that are forfeited, repurchased or canceled shall revert to and again become available for issuance under the Plan. If any Ordinary Shares subject to a Stock Award are not delivered to a Participant because such Ordinary Shares are withheld for the payment of taxes pursuant to Section 8(g) or a Stock Award is exercised through a reduction of Ordinary Shares subject to the Stock Award (</w:t>
      </w:r>
      <w:r>
        <w:rPr>
          <w:rFonts w:ascii="Arial" w:cs="Arial" w:eastAsia="Arial" w:hAnsi="Arial"/>
          <w:sz w:val="19"/>
          <w:szCs w:val="19"/>
          <w:i w:val="1"/>
          <w:iCs w:val="1"/>
          <w:color w:val="auto"/>
        </w:rPr>
        <w:t>i.e</w:t>
      </w:r>
      <w:r>
        <w:rPr>
          <w:rFonts w:ascii="Arial" w:cs="Arial" w:eastAsia="Arial" w:hAnsi="Arial"/>
          <w:sz w:val="19"/>
          <w:szCs w:val="19"/>
          <w:color w:val="auto"/>
        </w:rPr>
        <w:t>., “net exercised”) or an appreciation distribution in respect of a Stock Appreciation Right is paid in Ordinary Shares, the number of Ordinary Shares subject to the Stock Award that are not delivered to the Participant shall remain available for subsequent issuance under the Plan. If the exercise price of any Stock Award is satisfied by tendering Ordinary Shares held by the Participant (either by actual delivery or attestation), then the number of Ordinary Shares so tendered shall remain available for issuance under the Plan.</w:t>
      </w:r>
    </w:p>
    <w:p>
      <w:pPr>
        <w:spacing w:after="0" w:line="154" w:lineRule="exact"/>
        <w:rPr>
          <w:rFonts w:ascii="Arial" w:cs="Arial" w:eastAsia="Arial" w:hAnsi="Arial"/>
          <w:sz w:val="19"/>
          <w:szCs w:val="19"/>
          <w:b w:val="1"/>
          <w:bCs w:val="1"/>
          <w:color w:val="auto"/>
        </w:rPr>
      </w:pPr>
    </w:p>
    <w:p>
      <w:pPr>
        <w:jc w:val="both"/>
        <w:ind w:firstLine="656"/>
        <w:spacing w:after="0" w:line="315" w:lineRule="auto"/>
        <w:tabs>
          <w:tab w:leader="none" w:pos="1536" w:val="left"/>
        </w:tabs>
        <w:numPr>
          <w:ilvl w:val="1"/>
          <w:numId w:val="39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Incentive Stock Option Limit. </w:t>
      </w:r>
      <w:r>
        <w:rPr>
          <w:rFonts w:ascii="Arial" w:cs="Arial" w:eastAsia="Arial" w:hAnsi="Arial"/>
          <w:sz w:val="19"/>
          <w:szCs w:val="19"/>
          <w:color w:val="auto"/>
        </w:rPr>
        <w:t>Notwithstanding anything to the contrary in this Section 3 and, subject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Section 9(a) relating to Capitalization Adjustments, the aggregate maximum number of Ordinary Shares that may be issued pursuant to the exercise of Incentive Stock Options shall be one hundred million (100,000,000) Ordinary Shares.</w:t>
      </w:r>
    </w:p>
    <w:p>
      <w:pPr>
        <w:spacing w:after="0" w:line="125" w:lineRule="exact"/>
        <w:rPr>
          <w:rFonts w:ascii="Arial" w:cs="Arial" w:eastAsia="Arial" w:hAnsi="Arial"/>
          <w:sz w:val="19"/>
          <w:szCs w:val="19"/>
          <w:b w:val="1"/>
          <w:bCs w:val="1"/>
          <w:color w:val="auto"/>
        </w:rPr>
      </w:pPr>
    </w:p>
    <w:p>
      <w:pPr>
        <w:jc w:val="both"/>
        <w:ind w:firstLine="656"/>
        <w:spacing w:after="0" w:line="259" w:lineRule="auto"/>
        <w:tabs>
          <w:tab w:leader="none" w:pos="1561" w:val="left"/>
        </w:tabs>
        <w:numPr>
          <w:ilvl w:val="1"/>
          <w:numId w:val="390"/>
        </w:numPr>
        <w:rPr>
          <w:rFonts w:ascii="Arial" w:cs="Arial" w:eastAsia="Arial" w:hAnsi="Arial"/>
          <w:sz w:val="21"/>
          <w:szCs w:val="21"/>
          <w:b w:val="1"/>
          <w:bCs w:val="1"/>
          <w:color w:val="auto"/>
        </w:rPr>
      </w:pPr>
      <w:r>
        <w:rPr>
          <w:rFonts w:ascii="Arial" w:cs="Arial" w:eastAsia="Arial" w:hAnsi="Arial"/>
          <w:sz w:val="21"/>
          <w:szCs w:val="21"/>
          <w:b w:val="1"/>
          <w:bCs w:val="1"/>
          <w:color w:val="auto"/>
        </w:rPr>
        <w:t>Section 162(m) Limitation on Annual Grants</w:t>
      </w:r>
      <w:r>
        <w:rPr>
          <w:rFonts w:ascii="Arial" w:cs="Arial" w:eastAsia="Arial" w:hAnsi="Arial"/>
          <w:sz w:val="21"/>
          <w:szCs w:val="21"/>
          <w:color w:val="auto"/>
        </w:rPr>
        <w:t>. Subject to the provisions of Section 9(a) relating to</w:t>
      </w:r>
      <w:r>
        <w:rPr>
          <w:rFonts w:ascii="Arial" w:cs="Arial" w:eastAsia="Arial" w:hAnsi="Arial"/>
          <w:sz w:val="21"/>
          <w:szCs w:val="21"/>
          <w:b w:val="1"/>
          <w:bCs w:val="1"/>
          <w:color w:val="auto"/>
        </w:rPr>
        <w:t xml:space="preserve"> </w:t>
      </w:r>
      <w:r>
        <w:rPr>
          <w:rFonts w:ascii="Arial" w:cs="Arial" w:eastAsia="Arial" w:hAnsi="Arial"/>
          <w:sz w:val="21"/>
          <w:szCs w:val="21"/>
          <w:color w:val="auto"/>
        </w:rPr>
        <w:t>Capitalization Adjustments, at such time as the Company may be subject to the applicable provisions of Section 162(m) of the Code, a maximum of two million (2,000,000) Ordinary Shares subject to Options, Stock Appreciation Rights and Other Stock Awards whose value is determined by reference to an increase over an exercise or strike price of at least one hundred percent (100%) of the Fair Market Value on the date any such Stock Award is granted may be granted to any Participant during any calendar year. Notwithstanding the foregoing, if any additional Options, Stock Appreciation Rights or Other Stock Awards whose value is determined by reference to an increase over an exercise or strike price of at least one hundred percent (100%) of the Fair Market Value on the date the Stock Awards are granted to any Participant during any calendar year, compensation attributable to the exercise of such additional Stock Awards shall not satisfy</w:t>
      </w:r>
    </w:p>
    <w:p>
      <w:pPr>
        <w:spacing w:after="0" w:line="200" w:lineRule="exact"/>
        <w:rPr>
          <w:sz w:val="20"/>
          <w:szCs w:val="20"/>
          <w:color w:val="auto"/>
        </w:rPr>
      </w:pPr>
    </w:p>
    <w:p>
      <w:pPr>
        <w:spacing w:after="0" w:line="229"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47" w:right="239" w:bottom="1440" w:gutter="0" w:footer="0" w:header="0"/>
        </w:sectPr>
      </w:pPr>
    </w:p>
    <w:bookmarkStart w:id="413" w:name="page414"/>
    <w:bookmarkEnd w:id="413"/>
    <w:p>
      <w:pPr>
        <w:spacing w:after="0" w:line="263" w:lineRule="auto"/>
        <w:rPr>
          <w:sz w:val="20"/>
          <w:szCs w:val="20"/>
          <w:color w:val="auto"/>
        </w:rPr>
      </w:pPr>
      <w:r>
        <w:rPr>
          <w:rFonts w:ascii="Arial" w:cs="Arial" w:eastAsia="Arial" w:hAnsi="Arial"/>
          <w:sz w:val="22"/>
          <w:szCs w:val="22"/>
          <w:color w:val="auto"/>
        </w:rPr>
        <w:t>the requirements to be considered “qualified performance-based compensation” under Section 162(m) of the Code unless such additional Stock Awards are approved by the Company’s shareholders.</w:t>
      </w:r>
    </w:p>
    <w:p>
      <w:pPr>
        <w:spacing w:after="0" w:line="169" w:lineRule="exact"/>
        <w:rPr>
          <w:sz w:val="20"/>
          <w:szCs w:val="20"/>
          <w:color w:val="auto"/>
        </w:rPr>
      </w:pPr>
    </w:p>
    <w:p>
      <w:pPr>
        <w:ind w:firstLine="656"/>
        <w:spacing w:after="0" w:line="293" w:lineRule="auto"/>
        <w:tabs>
          <w:tab w:leader="none" w:pos="1536" w:val="left"/>
        </w:tabs>
        <w:numPr>
          <w:ilvl w:val="1"/>
          <w:numId w:val="39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Source of Shares. </w:t>
      </w:r>
      <w:r>
        <w:rPr>
          <w:rFonts w:ascii="Arial" w:cs="Arial" w:eastAsia="Arial" w:hAnsi="Arial"/>
          <w:sz w:val="21"/>
          <w:szCs w:val="21"/>
          <w:color w:val="auto"/>
        </w:rPr>
        <w:t>The shares issuable under the Plan shall be authorized but unissued or reacquired Ordinary</w:t>
      </w:r>
      <w:r>
        <w:rPr>
          <w:rFonts w:ascii="Arial" w:cs="Arial" w:eastAsia="Arial" w:hAnsi="Arial"/>
          <w:sz w:val="21"/>
          <w:szCs w:val="21"/>
          <w:b w:val="1"/>
          <w:bCs w:val="1"/>
          <w:color w:val="auto"/>
        </w:rPr>
        <w:t xml:space="preserve"> </w:t>
      </w:r>
      <w:r>
        <w:rPr>
          <w:rFonts w:ascii="Arial" w:cs="Arial" w:eastAsia="Arial" w:hAnsi="Arial"/>
          <w:sz w:val="21"/>
          <w:szCs w:val="21"/>
          <w:color w:val="auto"/>
        </w:rPr>
        <w:t>Shares, including Ordinary Shares repurchased by the Company or any Affiliate on the open market or otherwise.</w:t>
      </w:r>
    </w:p>
    <w:p>
      <w:pPr>
        <w:spacing w:after="0" w:line="139" w:lineRule="exact"/>
        <w:rPr>
          <w:rFonts w:ascii="Arial" w:cs="Arial" w:eastAsia="Arial" w:hAnsi="Arial"/>
          <w:sz w:val="21"/>
          <w:szCs w:val="21"/>
          <w:b w:val="1"/>
          <w:bCs w:val="1"/>
          <w:color w:val="auto"/>
        </w:rPr>
      </w:pPr>
    </w:p>
    <w:p>
      <w:pPr>
        <w:ind w:left="820" w:hanging="812"/>
        <w:spacing w:after="0"/>
        <w:tabs>
          <w:tab w:leader="none" w:pos="820" w:val="left"/>
        </w:tabs>
        <w:numPr>
          <w:ilvl w:val="0"/>
          <w:numId w:val="392"/>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p>
    <w:p>
      <w:pPr>
        <w:spacing w:after="0" w:line="219" w:lineRule="exact"/>
        <w:rPr>
          <w:rFonts w:ascii="Arial" w:cs="Arial" w:eastAsia="Arial" w:hAnsi="Arial"/>
          <w:sz w:val="22"/>
          <w:szCs w:val="22"/>
          <w:b w:val="1"/>
          <w:bCs w:val="1"/>
          <w:color w:val="auto"/>
        </w:rPr>
      </w:pPr>
    </w:p>
    <w:p>
      <w:pPr>
        <w:jc w:val="both"/>
        <w:ind w:firstLine="656"/>
        <w:spacing w:after="0" w:line="260" w:lineRule="auto"/>
        <w:tabs>
          <w:tab w:leader="none" w:pos="1549" w:val="left"/>
        </w:tabs>
        <w:numPr>
          <w:ilvl w:val="1"/>
          <w:numId w:val="392"/>
        </w:numPr>
        <w:rPr>
          <w:rFonts w:ascii="Arial" w:cs="Arial" w:eastAsia="Arial" w:hAnsi="Arial"/>
          <w:sz w:val="21"/>
          <w:szCs w:val="21"/>
          <w:b w:val="1"/>
          <w:bCs w:val="1"/>
          <w:color w:val="auto"/>
        </w:rPr>
      </w:pPr>
      <w:r>
        <w:rPr>
          <w:rFonts w:ascii="Arial" w:cs="Arial" w:eastAsia="Arial" w:hAnsi="Arial"/>
          <w:sz w:val="21"/>
          <w:szCs w:val="21"/>
          <w:b w:val="1"/>
          <w:bCs w:val="1"/>
          <w:color w:val="auto"/>
        </w:rPr>
        <w:t>Eligibility for Specific Stock Awards</w:t>
      </w:r>
      <w:r>
        <w:rPr>
          <w:rFonts w:ascii="Arial" w:cs="Arial" w:eastAsia="Arial" w:hAnsi="Arial"/>
          <w:sz w:val="21"/>
          <w:szCs w:val="21"/>
          <w:color w:val="auto"/>
        </w:rPr>
        <w:t>. Incentive Stock Options may be granted only to employees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 or a “parent corporation” or “subsidiary corporation” thereof (as such terms are defined in Sections 424(e) and (f) of the Code). Stock Awards other than Incentive Stock Options may be granted to Employees; </w:t>
      </w:r>
      <w:r>
        <w:rPr>
          <w:rFonts w:ascii="Arial" w:cs="Arial" w:eastAsia="Arial" w:hAnsi="Arial"/>
          <w:sz w:val="21"/>
          <w:szCs w:val="21"/>
          <w:i w:val="1"/>
          <w:iCs w:val="1"/>
          <w:color w:val="auto"/>
        </w:rPr>
        <w:t>provided, however</w:t>
      </w:r>
      <w:r>
        <w:rPr>
          <w:rFonts w:ascii="Arial" w:cs="Arial" w:eastAsia="Arial" w:hAnsi="Arial"/>
          <w:sz w:val="21"/>
          <w:szCs w:val="21"/>
          <w:color w:val="auto"/>
        </w:rPr>
        <w:t>, that Nonstatutory Stock Options and SARs may not be granted to Employees who are providing Continuous Service only to any “parent” of the Company, as such term is defined in Rule 405 promulgated under the Securities Act, unless the Ordinary Shares underlying such Stock Awards are treated as “service recipient stock” under Section 409A of the Code because the Stock Awards are granted pursuant to a corporate transaction (such as a spin off transaction) or unless such Stock Awards comply with the distribution requirements of Section 409A of the Code.</w:t>
      </w:r>
    </w:p>
    <w:p>
      <w:pPr>
        <w:spacing w:after="0" w:line="176" w:lineRule="exact"/>
        <w:rPr>
          <w:rFonts w:ascii="Arial" w:cs="Arial" w:eastAsia="Arial" w:hAnsi="Arial"/>
          <w:sz w:val="21"/>
          <w:szCs w:val="21"/>
          <w:b w:val="1"/>
          <w:bCs w:val="1"/>
          <w:color w:val="auto"/>
        </w:rPr>
      </w:pPr>
    </w:p>
    <w:p>
      <w:pPr>
        <w:jc w:val="both"/>
        <w:ind w:firstLine="656"/>
        <w:spacing w:after="0" w:line="256" w:lineRule="auto"/>
        <w:tabs>
          <w:tab w:leader="none" w:pos="1561" w:val="left"/>
        </w:tabs>
        <w:numPr>
          <w:ilvl w:val="1"/>
          <w:numId w:val="39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Ten Percent Shareholders. </w:t>
      </w:r>
      <w:r>
        <w:rPr>
          <w:rFonts w:ascii="Arial" w:cs="Arial" w:eastAsia="Arial" w:hAnsi="Arial"/>
          <w:sz w:val="22"/>
          <w:szCs w:val="22"/>
          <w:color w:val="auto"/>
        </w:rPr>
        <w:t>A Ten Percent Shareholder shall not be granted an Incentive Stock Option unless the</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price of such Option is at least one hundred ten percent (110%) of the Fair Market Value on the date of grant and the Option is not exercisable after the expiration of five (5) years from the date of grant.</w:t>
      </w:r>
    </w:p>
    <w:p>
      <w:pPr>
        <w:spacing w:after="0" w:line="176" w:lineRule="exact"/>
        <w:rPr>
          <w:rFonts w:ascii="Arial" w:cs="Arial" w:eastAsia="Arial" w:hAnsi="Arial"/>
          <w:sz w:val="22"/>
          <w:szCs w:val="22"/>
          <w:b w:val="1"/>
          <w:bCs w:val="1"/>
          <w:color w:val="auto"/>
        </w:rPr>
      </w:pPr>
    </w:p>
    <w:p>
      <w:pPr>
        <w:ind w:left="820" w:hanging="812"/>
        <w:spacing w:after="0"/>
        <w:tabs>
          <w:tab w:leader="none" w:pos="820" w:val="left"/>
        </w:tabs>
        <w:numPr>
          <w:ilvl w:val="0"/>
          <w:numId w:val="392"/>
        </w:numPr>
        <w:rPr>
          <w:rFonts w:ascii="Arial" w:cs="Arial" w:eastAsia="Arial" w:hAnsi="Arial"/>
          <w:sz w:val="22"/>
          <w:szCs w:val="22"/>
          <w:b w:val="1"/>
          <w:bCs w:val="1"/>
          <w:color w:val="auto"/>
        </w:rPr>
      </w:pPr>
      <w:r>
        <w:rPr>
          <w:rFonts w:ascii="Arial" w:cs="Arial" w:eastAsia="Arial" w:hAnsi="Arial"/>
          <w:sz w:val="22"/>
          <w:szCs w:val="22"/>
          <w:b w:val="1"/>
          <w:bCs w:val="1"/>
          <w:color w:val="auto"/>
        </w:rPr>
        <w:t>Provisions Relating to Options and Stock Appreciation Rights.</w:t>
      </w:r>
    </w:p>
    <w:p>
      <w:pPr>
        <w:spacing w:after="0" w:line="22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Each Option or SAR shall be in such form and shall contain such terms and conditions as the Board shall deem appropriate. All Options shall be separately designated Incentive Stock Options or Nonstatutory Stock Options at the time of grant, and, if certificates are issued, a separate certificate or certificates shall be issued for Ordinary Shares purchased on exercise of each type of Option. If an Option is not specifically designated as an Incentive Stock Option, then the Option shall be a Nonstatutory Stock Option. The provisions of separate Options or SARs need not be identical; </w:t>
      </w:r>
      <w:r>
        <w:rPr>
          <w:rFonts w:ascii="Arial" w:cs="Arial" w:eastAsia="Arial" w:hAnsi="Arial"/>
          <w:sz w:val="19"/>
          <w:szCs w:val="19"/>
          <w:i w:val="1"/>
          <w:iCs w:val="1"/>
          <w:color w:val="auto"/>
        </w:rPr>
        <w:t>provided, however</w:t>
      </w:r>
      <w:r>
        <w:rPr>
          <w:rFonts w:ascii="Arial" w:cs="Arial" w:eastAsia="Arial" w:hAnsi="Arial"/>
          <w:sz w:val="19"/>
          <w:szCs w:val="19"/>
          <w:color w:val="auto"/>
        </w:rPr>
        <w:t>, that each Option Agreement or Stock Appreciation Right Agreement shall conform to (through incorporation of provisions hereof by reference in the applicable Award Agreement or otherwise) the substance of each of the following provisions:</w:t>
      </w:r>
    </w:p>
    <w:p>
      <w:pPr>
        <w:spacing w:after="0" w:line="145" w:lineRule="exact"/>
        <w:rPr>
          <w:sz w:val="20"/>
          <w:szCs w:val="20"/>
          <w:color w:val="auto"/>
        </w:rPr>
      </w:pPr>
    </w:p>
    <w:p>
      <w:pPr>
        <w:jc w:val="both"/>
        <w:ind w:firstLine="656"/>
        <w:spacing w:after="0" w:line="350" w:lineRule="auto"/>
        <w:tabs>
          <w:tab w:leader="none" w:pos="1549" w:val="left"/>
        </w:tabs>
        <w:numPr>
          <w:ilvl w:val="0"/>
          <w:numId w:val="39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Subject to</w:t>
      </w:r>
      <w:r>
        <w:rPr>
          <w:rFonts w:ascii="Arial" w:cs="Arial" w:eastAsia="Arial" w:hAnsi="Arial"/>
          <w:sz w:val="19"/>
          <w:szCs w:val="19"/>
          <w:b w:val="1"/>
          <w:bCs w:val="1"/>
          <w:color w:val="auto"/>
        </w:rPr>
        <w:t xml:space="preserve"> the </w:t>
      </w:r>
      <w:r>
        <w:rPr>
          <w:rFonts w:ascii="Arial" w:cs="Arial" w:eastAsia="Arial" w:hAnsi="Arial"/>
          <w:sz w:val="19"/>
          <w:szCs w:val="19"/>
          <w:color w:val="auto"/>
        </w:rPr>
        <w:t>provisions of Section 4(b) regarding Ten Percent Shareholders, no Option or SAR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exercisable after the expiration of ten (10) years from the date of its grant or such shorter period specified in the Award Agreement.</w:t>
      </w:r>
    </w:p>
    <w:p>
      <w:pPr>
        <w:spacing w:after="0" w:line="92" w:lineRule="exact"/>
        <w:rPr>
          <w:rFonts w:ascii="Arial" w:cs="Arial" w:eastAsia="Arial" w:hAnsi="Arial"/>
          <w:sz w:val="19"/>
          <w:szCs w:val="19"/>
          <w:b w:val="1"/>
          <w:bCs w:val="1"/>
          <w:color w:val="auto"/>
        </w:rPr>
      </w:pPr>
    </w:p>
    <w:p>
      <w:pPr>
        <w:jc w:val="both"/>
        <w:ind w:firstLine="656"/>
        <w:spacing w:after="0" w:line="291" w:lineRule="auto"/>
        <w:tabs>
          <w:tab w:leader="none" w:pos="1561" w:val="left"/>
        </w:tabs>
        <w:numPr>
          <w:ilvl w:val="0"/>
          <w:numId w:val="39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Exercise Price. </w:t>
      </w:r>
      <w:r>
        <w:rPr>
          <w:rFonts w:ascii="Arial" w:cs="Arial" w:eastAsia="Arial" w:hAnsi="Arial"/>
          <w:sz w:val="19"/>
          <w:szCs w:val="19"/>
          <w:color w:val="auto"/>
        </w:rPr>
        <w:t>Subject to the provisions of Section 4(b) regarding Ten Percent Shareholders, the exercise price</w:t>
      </w:r>
      <w:r>
        <w:rPr>
          <w:rFonts w:ascii="Arial" w:cs="Arial" w:eastAsia="Arial" w:hAnsi="Arial"/>
          <w:sz w:val="19"/>
          <w:szCs w:val="19"/>
          <w:b w:val="1"/>
          <w:bCs w:val="1"/>
          <w:color w:val="auto"/>
        </w:rPr>
        <w:t xml:space="preserve"> </w:t>
      </w:r>
      <w:r>
        <w:rPr>
          <w:rFonts w:ascii="Arial" w:cs="Arial" w:eastAsia="Arial" w:hAnsi="Arial"/>
          <w:sz w:val="19"/>
          <w:szCs w:val="19"/>
          <w:color w:val="auto"/>
        </w:rPr>
        <w:t>(or strike price) of each Option or SAR shall be not less than one hundred percent (100%) of the Fair Market Value of the Ordinary Shares subject to the Option or SAR on the date the Option or SAR is granted. Notwithstanding the foregoing, an Option or SAR may be granted with an exercise price (or strike price) lower than one hundred percent (100%) of the Fair Market Value of the Ordinary Shares subject to the Option or SAR if such Option or SAR is granted pursuant to an assumption of or substitution for another option or stock appreciation right pursuant to a Corporate Transaction and in a manner consistent with the provisions of Sections 409A and, if applicable, 424(a) of the Code, provided that in all cases the exercise price is not less than the nominal value of an Ordinary Share. Each SAR will be denominated in Ordinary Share equivalents.</w:t>
      </w:r>
    </w:p>
    <w:p>
      <w:pPr>
        <w:spacing w:after="0" w:line="399"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47" w:right="239" w:bottom="1440" w:gutter="0" w:footer="0" w:header="0"/>
        </w:sectPr>
      </w:pPr>
    </w:p>
    <w:bookmarkStart w:id="414" w:name="page415"/>
    <w:bookmarkEnd w:id="414"/>
    <w:p>
      <w:pPr>
        <w:jc w:val="both"/>
        <w:ind w:left="-8" w:firstLine="656"/>
        <w:spacing w:after="0" w:line="247" w:lineRule="auto"/>
        <w:tabs>
          <w:tab w:leader="none" w:pos="1528" w:val="left"/>
        </w:tabs>
        <w:numPr>
          <w:ilvl w:val="1"/>
          <w:numId w:val="3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Purchase Price for Options. </w:t>
      </w:r>
      <w:r>
        <w:rPr>
          <w:rFonts w:ascii="Arial" w:cs="Arial" w:eastAsia="Arial" w:hAnsi="Arial"/>
          <w:sz w:val="22"/>
          <w:szCs w:val="22"/>
          <w:color w:val="auto"/>
        </w:rPr>
        <w:t>The purchase price of Ordinary Shares acquired pursuant to the exercise of an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Option shall be paid, to the extent permitted by applicable law and as determined by the Board in its sole discretion, by any combination of the methods of payment set forth below; </w:t>
      </w:r>
      <w:r>
        <w:rPr>
          <w:rFonts w:ascii="Arial" w:cs="Arial" w:eastAsia="Arial" w:hAnsi="Arial"/>
          <w:sz w:val="22"/>
          <w:szCs w:val="22"/>
          <w:i w:val="1"/>
          <w:iCs w:val="1"/>
          <w:color w:val="auto"/>
        </w:rPr>
        <w:t>provided, however</w:t>
      </w:r>
      <w:r>
        <w:rPr>
          <w:rFonts w:ascii="Arial" w:cs="Arial" w:eastAsia="Arial" w:hAnsi="Arial"/>
          <w:sz w:val="22"/>
          <w:szCs w:val="22"/>
          <w:color w:val="auto"/>
        </w:rPr>
        <w:t>, that where Ordinary Shares are issued pursuant to the exercise of an Option the nominal value of each newly issued Ordinary Share is fully paid up. The Board shall have the authority to grant Options that do not permit all of the following methods of payment (or otherwise restrict the ability to use certain methods) and to grant Options that require the consent of the Company to utilize a particular method of payment. The permitted methods of payment are as follows:</w:t>
      </w:r>
    </w:p>
    <w:p>
      <w:pPr>
        <w:spacing w:after="0" w:line="195" w:lineRule="exact"/>
        <w:rPr>
          <w:rFonts w:ascii="Arial" w:cs="Arial" w:eastAsia="Arial" w:hAnsi="Arial"/>
          <w:sz w:val="22"/>
          <w:szCs w:val="22"/>
          <w:b w:val="1"/>
          <w:bCs w:val="1"/>
          <w:color w:val="auto"/>
        </w:rPr>
      </w:pPr>
    </w:p>
    <w:p>
      <w:pPr>
        <w:ind w:left="2152" w:hanging="855"/>
        <w:spacing w:after="0"/>
        <w:tabs>
          <w:tab w:leader="none" w:pos="2152" w:val="left"/>
        </w:tabs>
        <w:numPr>
          <w:ilvl w:val="2"/>
          <w:numId w:val="394"/>
        </w:numPr>
        <w:rPr>
          <w:rFonts w:ascii="Arial" w:cs="Arial" w:eastAsia="Arial" w:hAnsi="Arial"/>
          <w:sz w:val="22"/>
          <w:szCs w:val="22"/>
          <w:b w:val="1"/>
          <w:bCs w:val="1"/>
          <w:color w:val="auto"/>
        </w:rPr>
      </w:pPr>
      <w:r>
        <w:rPr>
          <w:rFonts w:ascii="Arial" w:cs="Arial" w:eastAsia="Arial" w:hAnsi="Arial"/>
          <w:sz w:val="22"/>
          <w:szCs w:val="22"/>
          <w:color w:val="auto"/>
        </w:rPr>
        <w:t>by cash, check, bank draft or money order payable to the Company;</w:t>
      </w:r>
    </w:p>
    <w:p>
      <w:pPr>
        <w:spacing w:after="0" w:line="219" w:lineRule="exact"/>
        <w:rPr>
          <w:rFonts w:ascii="Arial" w:cs="Arial" w:eastAsia="Arial" w:hAnsi="Arial"/>
          <w:sz w:val="22"/>
          <w:szCs w:val="22"/>
          <w:b w:val="1"/>
          <w:bCs w:val="1"/>
          <w:color w:val="auto"/>
        </w:rPr>
      </w:pPr>
    </w:p>
    <w:p>
      <w:pPr>
        <w:jc w:val="both"/>
        <w:ind w:left="-8" w:firstLine="1305"/>
        <w:spacing w:after="0" w:line="312" w:lineRule="auto"/>
        <w:tabs>
          <w:tab w:leader="none" w:pos="2201" w:val="left"/>
        </w:tabs>
        <w:numPr>
          <w:ilvl w:val="2"/>
          <w:numId w:val="394"/>
        </w:numPr>
        <w:rPr>
          <w:rFonts w:ascii="Arial" w:cs="Arial" w:eastAsia="Arial" w:hAnsi="Arial"/>
          <w:sz w:val="19"/>
          <w:szCs w:val="19"/>
          <w:b w:val="1"/>
          <w:bCs w:val="1"/>
          <w:color w:val="auto"/>
        </w:rPr>
      </w:pPr>
      <w:r>
        <w:rPr>
          <w:rFonts w:ascii="Arial" w:cs="Arial" w:eastAsia="Arial" w:hAnsi="Arial"/>
          <w:sz w:val="19"/>
          <w:szCs w:val="19"/>
          <w:color w:val="auto"/>
        </w:rPr>
        <w:t>pursuant to a program developed under Regulation T as promulgated by the Federal Reserve Board that, prior to the issuance of the Ordinary Shares subject to the Option, results in either the receipt of cash (or check) by the Company or the receipt of irrevocable instructions to pay the aggregate exercise price to the Company from the sales proceeds;</w:t>
      </w:r>
    </w:p>
    <w:p>
      <w:pPr>
        <w:spacing w:after="0" w:line="133" w:lineRule="exact"/>
        <w:rPr>
          <w:rFonts w:ascii="Arial" w:cs="Arial" w:eastAsia="Arial" w:hAnsi="Arial"/>
          <w:sz w:val="19"/>
          <w:szCs w:val="19"/>
          <w:b w:val="1"/>
          <w:bCs w:val="1"/>
          <w:color w:val="auto"/>
        </w:rPr>
      </w:pPr>
    </w:p>
    <w:p>
      <w:pPr>
        <w:ind w:left="2272" w:hanging="975"/>
        <w:spacing w:after="0"/>
        <w:tabs>
          <w:tab w:leader="none" w:pos="2272" w:val="left"/>
        </w:tabs>
        <w:numPr>
          <w:ilvl w:val="2"/>
          <w:numId w:val="394"/>
        </w:numPr>
        <w:rPr>
          <w:rFonts w:ascii="Arial" w:cs="Arial" w:eastAsia="Arial" w:hAnsi="Arial"/>
          <w:sz w:val="22"/>
          <w:szCs w:val="22"/>
          <w:b w:val="1"/>
          <w:bCs w:val="1"/>
          <w:color w:val="auto"/>
        </w:rPr>
      </w:pPr>
      <w:r>
        <w:rPr>
          <w:rFonts w:ascii="Arial" w:cs="Arial" w:eastAsia="Arial" w:hAnsi="Arial"/>
          <w:sz w:val="22"/>
          <w:szCs w:val="22"/>
          <w:color w:val="auto"/>
        </w:rPr>
        <w:t>by delivery to the Company (either by actual delivery or attestation) of Ordinary Shares;</w:t>
      </w:r>
    </w:p>
    <w:p>
      <w:pPr>
        <w:spacing w:after="0" w:line="219" w:lineRule="exact"/>
        <w:rPr>
          <w:rFonts w:ascii="Arial" w:cs="Arial" w:eastAsia="Arial" w:hAnsi="Arial"/>
          <w:sz w:val="22"/>
          <w:szCs w:val="22"/>
          <w:b w:val="1"/>
          <w:bCs w:val="1"/>
          <w:color w:val="auto"/>
        </w:rPr>
      </w:pPr>
    </w:p>
    <w:p>
      <w:pPr>
        <w:jc w:val="both"/>
        <w:ind w:left="-8" w:firstLine="1305"/>
        <w:spacing w:after="0" w:line="284" w:lineRule="auto"/>
        <w:tabs>
          <w:tab w:leader="none" w:pos="2249" w:val="left"/>
        </w:tabs>
        <w:numPr>
          <w:ilvl w:val="2"/>
          <w:numId w:val="394"/>
        </w:numPr>
        <w:rPr>
          <w:rFonts w:ascii="Arial" w:cs="Arial" w:eastAsia="Arial" w:hAnsi="Arial"/>
          <w:sz w:val="19"/>
          <w:szCs w:val="19"/>
          <w:b w:val="1"/>
          <w:bCs w:val="1"/>
          <w:color w:val="auto"/>
        </w:rPr>
      </w:pPr>
      <w:r>
        <w:rPr>
          <w:rFonts w:ascii="Arial" w:cs="Arial" w:eastAsia="Arial" w:hAnsi="Arial"/>
          <w:sz w:val="19"/>
          <w:szCs w:val="19"/>
          <w:color w:val="auto"/>
        </w:rPr>
        <w:t xml:space="preserve">if the option is a Nonstatutory Stock Option, by a “net exercise” arrangement pursuant to which the Company will reduce the number of Ordinary Shares issuable upon exercise by the largest whole number of Ordinary Shares with a Fair Market Value that does not exceed the aggregate exercise price;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shall accept a cash or other payment from the Participant to the extent of any remaining balance of the aggregate exercise price not satisfied by such reduction in the number of whole Ordinary Shares to be issued;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Ordinary Shares will no longer be subject to an Option and will not be exercisable thereafter to the extent that (A) Ordinary Shares issuable upon exercise are reduced to pay the exercise price pursuant to the “net exercise,” (B) Ordinary Shares are delivered to the Participant as a result of such exercise, and</w:t>
      </w:r>
    </w:p>
    <w:p>
      <w:pPr>
        <w:spacing w:after="0" w:line="4" w:lineRule="exact"/>
        <w:rPr>
          <w:rFonts w:ascii="Arial" w:cs="Arial" w:eastAsia="Arial" w:hAnsi="Arial"/>
          <w:sz w:val="19"/>
          <w:szCs w:val="19"/>
          <w:b w:val="1"/>
          <w:bCs w:val="1"/>
          <w:color w:val="auto"/>
        </w:rPr>
      </w:pPr>
    </w:p>
    <w:p>
      <w:pPr>
        <w:ind w:left="352" w:hanging="352"/>
        <w:spacing w:after="0"/>
        <w:tabs>
          <w:tab w:leader="none" w:pos="352" w:val="left"/>
        </w:tabs>
        <w:numPr>
          <w:ilvl w:val="0"/>
          <w:numId w:val="395"/>
        </w:numPr>
        <w:rPr>
          <w:rFonts w:ascii="Arial" w:cs="Arial" w:eastAsia="Arial" w:hAnsi="Arial"/>
          <w:sz w:val="22"/>
          <w:szCs w:val="22"/>
          <w:color w:val="auto"/>
        </w:rPr>
      </w:pPr>
      <w:r>
        <w:rPr>
          <w:rFonts w:ascii="Arial" w:cs="Arial" w:eastAsia="Arial" w:hAnsi="Arial"/>
          <w:sz w:val="22"/>
          <w:szCs w:val="22"/>
          <w:color w:val="auto"/>
        </w:rPr>
        <w:t>Ordinary Shares are withheld to satisfy tax withholding obligations; or</w:t>
      </w:r>
    </w:p>
    <w:p>
      <w:pPr>
        <w:spacing w:after="0" w:line="201" w:lineRule="exact"/>
        <w:rPr>
          <w:rFonts w:ascii="Arial" w:cs="Arial" w:eastAsia="Arial" w:hAnsi="Arial"/>
          <w:sz w:val="22"/>
          <w:szCs w:val="22"/>
          <w:color w:val="auto"/>
        </w:rPr>
      </w:pPr>
    </w:p>
    <w:p>
      <w:pPr>
        <w:ind w:left="2192" w:hanging="895"/>
        <w:spacing w:after="0"/>
        <w:tabs>
          <w:tab w:leader="none" w:pos="2192" w:val="left"/>
        </w:tabs>
        <w:numPr>
          <w:ilvl w:val="2"/>
          <w:numId w:val="395"/>
        </w:numPr>
        <w:rPr>
          <w:rFonts w:ascii="Arial" w:cs="Arial" w:eastAsia="Arial" w:hAnsi="Arial"/>
          <w:sz w:val="22"/>
          <w:szCs w:val="22"/>
          <w:b w:val="1"/>
          <w:bCs w:val="1"/>
          <w:color w:val="auto"/>
        </w:rPr>
      </w:pPr>
      <w:r>
        <w:rPr>
          <w:rFonts w:ascii="Arial" w:cs="Arial" w:eastAsia="Arial" w:hAnsi="Arial"/>
          <w:sz w:val="22"/>
          <w:szCs w:val="22"/>
          <w:color w:val="auto"/>
        </w:rPr>
        <w:t>in any other form of legal consideration that may be acceptable to the Board.</w:t>
      </w:r>
    </w:p>
    <w:p>
      <w:pPr>
        <w:spacing w:after="0" w:line="213" w:lineRule="exact"/>
        <w:rPr>
          <w:rFonts w:ascii="Arial" w:cs="Arial" w:eastAsia="Arial" w:hAnsi="Arial"/>
          <w:sz w:val="22"/>
          <w:szCs w:val="22"/>
          <w:b w:val="1"/>
          <w:bCs w:val="1"/>
          <w:color w:val="auto"/>
        </w:rPr>
      </w:pPr>
    </w:p>
    <w:p>
      <w:pPr>
        <w:jc w:val="both"/>
        <w:ind w:left="-8" w:firstLine="656"/>
        <w:spacing w:after="0" w:line="288" w:lineRule="auto"/>
        <w:tabs>
          <w:tab w:leader="none" w:pos="1553" w:val="left"/>
        </w:tabs>
        <w:numPr>
          <w:ilvl w:val="1"/>
          <w:numId w:val="39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Exercise and Payment of a SAR. </w:t>
      </w:r>
      <w:r>
        <w:rPr>
          <w:rFonts w:ascii="Arial" w:cs="Arial" w:eastAsia="Arial" w:hAnsi="Arial"/>
          <w:sz w:val="19"/>
          <w:szCs w:val="19"/>
          <w:color w:val="auto"/>
        </w:rPr>
        <w:t>To exercise any outstanding Stock Appreciation Right, the Participant must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provide written notice of exercise to the Company in compliance with the provisions of the Stock Appreciation Right Agreement evidencing such Stock Appreciation Right. The appreciation distribution payable on the exercise of a Stock Appreciation Right will be not greater than an amount equal to the excess of (A) the aggregate Fair Market Value (on the date of the exercise of the Stock Appreciation Right) of a number of Ordinary Shares equal to the number of Ordinary Share equivalents in which the Participant is vested under such Stock Appreciation Right, and with respect to which the Participant is exercising the Stock Appreciation Right on such date, over (B) the strike price that will be determined by the Board at the time of grant of the Stock Appreciation Right. The appreciation distribution in respect to a Stock Appreciation Right may be paid in Ordinary Shares, in cash, in any combination of the two or in any other form of consideration, as determined by the Board and contained in the Stock Appreciation Right Agreement evidencing such Stock Appreciation Right; </w:t>
      </w:r>
      <w:r>
        <w:rPr>
          <w:rFonts w:ascii="Arial" w:cs="Arial" w:eastAsia="Arial" w:hAnsi="Arial"/>
          <w:sz w:val="19"/>
          <w:szCs w:val="19"/>
          <w:i w:val="1"/>
          <w:iCs w:val="1"/>
          <w:color w:val="auto"/>
        </w:rPr>
        <w:t>provided, however</w:t>
      </w:r>
      <w:r>
        <w:rPr>
          <w:rFonts w:ascii="Arial" w:cs="Arial" w:eastAsia="Arial" w:hAnsi="Arial"/>
          <w:sz w:val="19"/>
          <w:szCs w:val="19"/>
          <w:color w:val="auto"/>
        </w:rPr>
        <w:t>, that where Ordinary Shares are issued pursuant to a Stock Appreciation Right the nominal value of each newly issued Ordinary Share is fully paid up.</w:t>
      </w:r>
    </w:p>
    <w:p>
      <w:pPr>
        <w:spacing w:after="0" w:line="154" w:lineRule="exact"/>
        <w:rPr>
          <w:rFonts w:ascii="Arial" w:cs="Arial" w:eastAsia="Arial" w:hAnsi="Arial"/>
          <w:sz w:val="19"/>
          <w:szCs w:val="19"/>
          <w:b w:val="1"/>
          <w:bCs w:val="1"/>
          <w:color w:val="auto"/>
        </w:rPr>
      </w:pPr>
    </w:p>
    <w:p>
      <w:pPr>
        <w:ind w:left="-8" w:firstLine="656"/>
        <w:spacing w:after="0" w:line="269" w:lineRule="auto"/>
        <w:tabs>
          <w:tab w:leader="none" w:pos="1528" w:val="left"/>
        </w:tabs>
        <w:numPr>
          <w:ilvl w:val="1"/>
          <w:numId w:val="395"/>
        </w:numPr>
        <w:rPr>
          <w:rFonts w:ascii="Arial" w:cs="Arial" w:eastAsia="Arial" w:hAnsi="Arial"/>
          <w:sz w:val="22"/>
          <w:szCs w:val="22"/>
          <w:color w:val="auto"/>
        </w:rPr>
      </w:pPr>
      <w:r>
        <w:rPr>
          <w:rFonts w:ascii="Arial" w:cs="Arial" w:eastAsia="Arial" w:hAnsi="Arial"/>
          <w:sz w:val="22"/>
          <w:szCs w:val="22"/>
          <w:b w:val="1"/>
          <w:bCs w:val="1"/>
          <w:color w:val="auto"/>
        </w:rPr>
        <w:t xml:space="preserve">Transferability of Options and SARs. </w:t>
      </w:r>
      <w:r>
        <w:rPr>
          <w:rFonts w:ascii="Arial" w:cs="Arial" w:eastAsia="Arial" w:hAnsi="Arial"/>
          <w:sz w:val="22"/>
          <w:szCs w:val="22"/>
          <w:color w:val="auto"/>
        </w:rPr>
        <w:t>The Board may, in its sole discretion, impose such limitations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transferability of Options and SARs as the Board shall determine. In the absence of such</w:t>
      </w:r>
    </w:p>
    <w:p>
      <w:pPr>
        <w:spacing w:after="0" w:line="200" w:lineRule="exact"/>
        <w:rPr>
          <w:sz w:val="20"/>
          <w:szCs w:val="20"/>
          <w:color w:val="auto"/>
        </w:rPr>
      </w:pPr>
    </w:p>
    <w:p>
      <w:pPr>
        <w:spacing w:after="0" w:line="211" w:lineRule="exact"/>
        <w:rPr>
          <w:sz w:val="20"/>
          <w:szCs w:val="20"/>
          <w:color w:val="auto"/>
        </w:rPr>
      </w:pPr>
    </w:p>
    <w:p>
      <w:pPr>
        <w:ind w:left="5952"/>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12"/>
          </w:cols>
          <w:pgMar w:left="248" w:top="842" w:right="239" w:bottom="1440" w:gutter="0" w:footer="0" w:header="0"/>
        </w:sectPr>
      </w:pPr>
    </w:p>
    <w:bookmarkStart w:id="415" w:name="page416"/>
    <w:bookmarkEnd w:id="415"/>
    <w:p>
      <w:pPr>
        <w:spacing w:after="0"/>
        <w:rPr>
          <w:sz w:val="20"/>
          <w:szCs w:val="20"/>
          <w:color w:val="auto"/>
        </w:rPr>
      </w:pPr>
      <w:r>
        <w:rPr>
          <w:rFonts w:ascii="Arial" w:cs="Arial" w:eastAsia="Arial" w:hAnsi="Arial"/>
          <w:sz w:val="19"/>
          <w:szCs w:val="19"/>
          <w:color w:val="auto"/>
        </w:rPr>
        <w:t>a determination by the Board to the contrary, the following restrictions on the transferability of Options and SARs shall apply:</w:t>
      </w:r>
    </w:p>
    <w:p>
      <w:pPr>
        <w:spacing w:after="0" w:line="248" w:lineRule="exact"/>
        <w:rPr>
          <w:sz w:val="20"/>
          <w:szCs w:val="20"/>
          <w:color w:val="auto"/>
        </w:rPr>
      </w:pPr>
    </w:p>
    <w:p>
      <w:pPr>
        <w:jc w:val="both"/>
        <w:ind w:firstLine="1305"/>
        <w:spacing w:after="0" w:line="249" w:lineRule="auto"/>
        <w:tabs>
          <w:tab w:leader="none" w:pos="2149" w:val="left"/>
        </w:tabs>
        <w:numPr>
          <w:ilvl w:val="1"/>
          <w:numId w:val="39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Restrictions on Transfer. </w:t>
      </w:r>
      <w:r>
        <w:rPr>
          <w:rFonts w:ascii="Arial" w:cs="Arial" w:eastAsia="Arial" w:hAnsi="Arial"/>
          <w:sz w:val="22"/>
          <w:szCs w:val="22"/>
          <w:color w:val="auto"/>
        </w:rPr>
        <w:t>An Option or SAR shall not be transferable except by will or by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descent and distribution and shall be exercisable during the lifetime of the Participant only by the Participant;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Board may, in its sole discretion, permit transfer of the Option or SAR in a manner that is not prohibited by applicable tax and securities laws upon the Participant’s request. Except as explicitly provided herein, neither an Option nor a SAR may be transferred for consideration.</w:t>
      </w:r>
    </w:p>
    <w:p>
      <w:pPr>
        <w:spacing w:after="0" w:line="186" w:lineRule="exact"/>
        <w:rPr>
          <w:rFonts w:ascii="Arial" w:cs="Arial" w:eastAsia="Arial" w:hAnsi="Arial"/>
          <w:sz w:val="22"/>
          <w:szCs w:val="22"/>
          <w:b w:val="1"/>
          <w:bCs w:val="1"/>
          <w:color w:val="auto"/>
        </w:rPr>
      </w:pPr>
    </w:p>
    <w:p>
      <w:pPr>
        <w:jc w:val="both"/>
        <w:ind w:firstLine="1305"/>
        <w:spacing w:after="0" w:line="267" w:lineRule="auto"/>
        <w:tabs>
          <w:tab w:leader="none" w:pos="2209" w:val="left"/>
        </w:tabs>
        <w:numPr>
          <w:ilvl w:val="1"/>
          <w:numId w:val="39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Domestic Relations Orders. </w:t>
      </w:r>
      <w:r>
        <w:rPr>
          <w:rFonts w:ascii="Arial" w:cs="Arial" w:eastAsia="Arial" w:hAnsi="Arial"/>
          <w:sz w:val="21"/>
          <w:szCs w:val="21"/>
          <w:color w:val="auto"/>
        </w:rPr>
        <w:t>Subject to the approval of the Board or a duly authorized Officer, an Option</w:t>
      </w:r>
      <w:r>
        <w:rPr>
          <w:rFonts w:ascii="Arial" w:cs="Arial" w:eastAsia="Arial" w:hAnsi="Arial"/>
          <w:sz w:val="21"/>
          <w:szCs w:val="21"/>
          <w:b w:val="1"/>
          <w:bCs w:val="1"/>
          <w:color w:val="auto"/>
        </w:rPr>
        <w:t xml:space="preserve"> </w:t>
      </w:r>
      <w:r>
        <w:rPr>
          <w:rFonts w:ascii="Arial" w:cs="Arial" w:eastAsia="Arial" w:hAnsi="Arial"/>
          <w:sz w:val="21"/>
          <w:szCs w:val="21"/>
          <w:color w:val="auto"/>
        </w:rPr>
        <w:t>or SAR may be transferred pursuant to the terms of a domestic relations order, official marital settlement agreement or other divorce or separation instrument as permitted by Treasury Regulation 1.421-1(b)(2). If an Option is an Incentive Stock Option, such Option may be deemed to be a Nonstatutory Stock Option as a result of such transfer.</w:t>
      </w:r>
    </w:p>
    <w:p>
      <w:pPr>
        <w:spacing w:after="0" w:line="167" w:lineRule="exact"/>
        <w:rPr>
          <w:rFonts w:ascii="Arial" w:cs="Arial" w:eastAsia="Arial" w:hAnsi="Arial"/>
          <w:sz w:val="21"/>
          <w:szCs w:val="21"/>
          <w:b w:val="1"/>
          <w:bCs w:val="1"/>
          <w:color w:val="auto"/>
        </w:rPr>
      </w:pPr>
    </w:p>
    <w:p>
      <w:pPr>
        <w:jc w:val="both"/>
        <w:ind w:firstLine="1305"/>
        <w:spacing w:after="0" w:line="262" w:lineRule="auto"/>
        <w:tabs>
          <w:tab w:leader="none" w:pos="2269" w:val="left"/>
        </w:tabs>
        <w:numPr>
          <w:ilvl w:val="1"/>
          <w:numId w:val="39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Beneficiary Designation. </w:t>
      </w:r>
      <w:r>
        <w:rPr>
          <w:rFonts w:ascii="Arial" w:cs="Arial" w:eastAsia="Arial" w:hAnsi="Arial"/>
          <w:sz w:val="21"/>
          <w:szCs w:val="21"/>
          <w:color w:val="auto"/>
        </w:rPr>
        <w:t>Notwithstanding the foregoing, the Participant may, by delivering written</w:t>
      </w:r>
      <w:r>
        <w:rPr>
          <w:rFonts w:ascii="Arial" w:cs="Arial" w:eastAsia="Arial" w:hAnsi="Arial"/>
          <w:sz w:val="21"/>
          <w:szCs w:val="21"/>
          <w:b w:val="1"/>
          <w:bCs w:val="1"/>
          <w:color w:val="auto"/>
        </w:rPr>
        <w:t xml:space="preserve"> </w:t>
      </w:r>
      <w:r>
        <w:rPr>
          <w:rFonts w:ascii="Arial" w:cs="Arial" w:eastAsia="Arial" w:hAnsi="Arial"/>
          <w:sz w:val="21"/>
          <w:szCs w:val="21"/>
          <w:color w:val="auto"/>
        </w:rPr>
        <w:t>notice to the Company, in a form provided by or otherwise satisfactory to the Company and any broker designated by the Company to effect Option exercises, designate a third party who, in the event of the death of the Participant, shall thereafter be entitled to exercise the Option or SAR and receive the Ordinary Shares or other consideration resulting from such exercise. In the absence of such a designation, the executor or administrator of the Participant’s estate shall be entitled to exercise the Option or SAR and receive the Ordinary Shares or other consideration resulting from such exercise.</w:t>
      </w:r>
    </w:p>
    <w:p>
      <w:pPr>
        <w:spacing w:after="0" w:line="173" w:lineRule="exact"/>
        <w:rPr>
          <w:rFonts w:ascii="Arial" w:cs="Arial" w:eastAsia="Arial" w:hAnsi="Arial"/>
          <w:sz w:val="21"/>
          <w:szCs w:val="21"/>
          <w:b w:val="1"/>
          <w:bCs w:val="1"/>
          <w:color w:val="auto"/>
        </w:rPr>
      </w:pPr>
    </w:p>
    <w:p>
      <w:pPr>
        <w:jc w:val="both"/>
        <w:ind w:firstLine="656"/>
        <w:spacing w:after="0" w:line="248" w:lineRule="auto"/>
        <w:tabs>
          <w:tab w:leader="none" w:pos="1512" w:val="left"/>
        </w:tabs>
        <w:numPr>
          <w:ilvl w:val="0"/>
          <w:numId w:val="39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Generally. </w:t>
      </w:r>
      <w:r>
        <w:rPr>
          <w:rFonts w:ascii="Arial" w:cs="Arial" w:eastAsia="Arial" w:hAnsi="Arial"/>
          <w:sz w:val="22"/>
          <w:szCs w:val="22"/>
          <w:color w:val="auto"/>
        </w:rPr>
        <w:t>The total number of Ordinary Shares subject to an Option or SAR may vest and therefore</w:t>
      </w:r>
      <w:r>
        <w:rPr>
          <w:rFonts w:ascii="Arial" w:cs="Arial" w:eastAsia="Arial" w:hAnsi="Arial"/>
          <w:sz w:val="22"/>
          <w:szCs w:val="22"/>
          <w:b w:val="1"/>
          <w:bCs w:val="1"/>
          <w:color w:val="auto"/>
        </w:rPr>
        <w:t xml:space="preserve"> </w:t>
      </w:r>
      <w:r>
        <w:rPr>
          <w:rFonts w:ascii="Arial" w:cs="Arial" w:eastAsia="Arial" w:hAnsi="Arial"/>
          <w:sz w:val="22"/>
          <w:szCs w:val="22"/>
          <w:color w:val="auto"/>
        </w:rPr>
        <w:t>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Ordinary Shares as to which an Option or SAR may be exercised.</w:t>
      </w:r>
    </w:p>
    <w:p>
      <w:pPr>
        <w:spacing w:after="0" w:line="187" w:lineRule="exact"/>
        <w:rPr>
          <w:rFonts w:ascii="Arial" w:cs="Arial" w:eastAsia="Arial" w:hAnsi="Arial"/>
          <w:sz w:val="22"/>
          <w:szCs w:val="22"/>
          <w:b w:val="1"/>
          <w:bCs w:val="1"/>
          <w:color w:val="auto"/>
        </w:rPr>
      </w:pPr>
    </w:p>
    <w:p>
      <w:pPr>
        <w:jc w:val="both"/>
        <w:ind w:firstLine="656"/>
        <w:spacing w:after="0" w:line="291" w:lineRule="auto"/>
        <w:tabs>
          <w:tab w:leader="none" w:pos="1549" w:val="left"/>
        </w:tabs>
        <w:numPr>
          <w:ilvl w:val="0"/>
          <w:numId w:val="39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Continuous Service. </w:t>
      </w:r>
      <w:r>
        <w:rPr>
          <w:rFonts w:ascii="Arial" w:cs="Arial" w:eastAsia="Arial" w:hAnsi="Arial"/>
          <w:sz w:val="19"/>
          <w:szCs w:val="19"/>
          <w:color w:val="auto"/>
        </w:rPr>
        <w:t>Except as otherwise provided in the applicable Award Agreement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between the Participant and the Company or any Affiliate, if a Participant’s Continuous Service terminates (other than for Cause or upon the Participant’s death or Disability), the Participant may exercise his or her Option or SAR (to the extent that the Participant was entitled to exercise such Award as of the date of termination of Continuous Service) but only within such period of time ending on the earlier of (i) the date three (3) months following the termination of the Participant’s Continuous Service (or such longer or shorter period specified in the applicable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shall terminate.</w:t>
      </w:r>
    </w:p>
    <w:p>
      <w:pPr>
        <w:spacing w:after="0" w:line="149" w:lineRule="exact"/>
        <w:rPr>
          <w:rFonts w:ascii="Arial" w:cs="Arial" w:eastAsia="Arial" w:hAnsi="Arial"/>
          <w:sz w:val="19"/>
          <w:szCs w:val="19"/>
          <w:b w:val="1"/>
          <w:bCs w:val="1"/>
          <w:color w:val="auto"/>
        </w:rPr>
      </w:pPr>
    </w:p>
    <w:p>
      <w:pPr>
        <w:jc w:val="both"/>
        <w:ind w:firstLine="656"/>
        <w:spacing w:after="0" w:line="293" w:lineRule="auto"/>
        <w:tabs>
          <w:tab w:leader="none" w:pos="1561" w:val="left"/>
        </w:tabs>
        <w:numPr>
          <w:ilvl w:val="0"/>
          <w:numId w:val="39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Extension of Termination Date. </w:t>
      </w:r>
      <w:r>
        <w:rPr>
          <w:rFonts w:ascii="Arial" w:cs="Arial" w:eastAsia="Arial" w:hAnsi="Arial"/>
          <w:sz w:val="19"/>
          <w:szCs w:val="19"/>
          <w:color w:val="auto"/>
        </w:rPr>
        <w:t>If the exercise of an Option or SAR following the termination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Continuous Service (other than upon the Participant’s death or Disability) would be prohibited at any time solely because the issuance of Ordinary Shares would violate the registration requirements under the Securities Act, then the Option or SAR shall terminate on the earlier of (i) the expiration of a total period of three (3) months (that need not be consecutive) after the termination of the Participant’s Continuous Service (other than for Cause) during which the exercise of the Option or SAR would not be in violation of such registration requirements or five (5) days (that need not be consecutive) after the termination of the Participant’s Continuous Service for Cause, as applicable, or (ii) the expiration of the term of the</w:t>
      </w:r>
    </w:p>
    <w:p>
      <w:pPr>
        <w:spacing w:after="0" w:line="394"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47" w:right="239" w:bottom="1440" w:gutter="0" w:footer="0" w:header="0"/>
        </w:sectPr>
      </w:pPr>
    </w:p>
    <w:bookmarkStart w:id="416" w:name="page417"/>
    <w:bookmarkEnd w:id="416"/>
    <w:p>
      <w:pPr>
        <w:jc w:val="both"/>
        <w:spacing w:after="0" w:line="260" w:lineRule="auto"/>
        <w:rPr>
          <w:sz w:val="20"/>
          <w:szCs w:val="20"/>
          <w:color w:val="auto"/>
        </w:rPr>
      </w:pPr>
      <w:r>
        <w:rPr>
          <w:rFonts w:ascii="Arial" w:cs="Arial" w:eastAsia="Arial" w:hAnsi="Arial"/>
          <w:sz w:val="21"/>
          <w:szCs w:val="21"/>
          <w:color w:val="auto"/>
        </w:rPr>
        <w:t>Option or SAR as set forth in the applicable Award Agreement. In addition, unless otherwise provided in a Participant’s Award Agreement, if the immediate sale of any Ordinary Shares received upon exercise of an Option or SAR following the termination of the Participant’s Continuous Service (other than for Cause) would violate the Company’s insider trading policy, then the Option or SAR shall terminate on the earlier of (i) the expiration of a period equal to the applicable post-termination exercise period after the termination of the Participant’s Continuous Service during which the sale of the Ordinary Shares received upon exercise of the Option or SAR would not be in violation of the Company’s insider trading policy, or (ii) the expiration of the term of the Option or SAR as set forth in the applicable Award Agreement.</w:t>
      </w:r>
    </w:p>
    <w:p>
      <w:pPr>
        <w:spacing w:after="0" w:line="175" w:lineRule="exact"/>
        <w:rPr>
          <w:sz w:val="20"/>
          <w:szCs w:val="20"/>
          <w:color w:val="auto"/>
        </w:rPr>
      </w:pPr>
    </w:p>
    <w:p>
      <w:pPr>
        <w:jc w:val="both"/>
        <w:ind w:firstLine="656"/>
        <w:spacing w:after="0" w:line="291" w:lineRule="auto"/>
        <w:tabs>
          <w:tab w:leader="none" w:pos="1500" w:val="left"/>
        </w:tabs>
        <w:numPr>
          <w:ilvl w:val="1"/>
          <w:numId w:val="39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Disability of Participant. </w:t>
      </w:r>
      <w:r>
        <w:rPr>
          <w:rFonts w:ascii="Arial" w:cs="Arial" w:eastAsia="Arial" w:hAnsi="Arial"/>
          <w:sz w:val="19"/>
          <w:szCs w:val="19"/>
          <w:color w:val="auto"/>
        </w:rPr>
        <w:t>Except as otherwise provided in the applicable Award Agreement or other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 Participant and the Company or any Affiliate,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(as applicable) shall terminate.</w:t>
      </w:r>
    </w:p>
    <w:p>
      <w:pPr>
        <w:spacing w:after="0" w:line="149" w:lineRule="exact"/>
        <w:rPr>
          <w:rFonts w:ascii="Arial" w:cs="Arial" w:eastAsia="Arial" w:hAnsi="Arial"/>
          <w:sz w:val="19"/>
          <w:szCs w:val="19"/>
          <w:b w:val="1"/>
          <w:bCs w:val="1"/>
          <w:color w:val="auto"/>
        </w:rPr>
      </w:pPr>
    </w:p>
    <w:p>
      <w:pPr>
        <w:jc w:val="both"/>
        <w:ind w:firstLine="656"/>
        <w:spacing w:after="0" w:line="289" w:lineRule="auto"/>
        <w:tabs>
          <w:tab w:leader="none" w:pos="1512" w:val="left"/>
        </w:tabs>
        <w:numPr>
          <w:ilvl w:val="1"/>
          <w:numId w:val="39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Death of Participant. </w:t>
      </w:r>
      <w:r>
        <w:rPr>
          <w:rFonts w:ascii="Arial" w:cs="Arial" w:eastAsia="Arial" w:hAnsi="Arial"/>
          <w:sz w:val="19"/>
          <w:szCs w:val="19"/>
          <w:color w:val="auto"/>
        </w:rPr>
        <w:t>Except as otherwise provided in the applicable Award Agreement or other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 Participant and the Company or any Affiliate,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Award Agreement), or (ii) the expiration of the term of such Option or SAR as set forth in the Award Agreement. If, after the Participant’s death, the Option or SAR is not exercised within the time specified herein or in the Award Agreement (as applicable), the Option or SAR shall terminate.</w:t>
      </w:r>
    </w:p>
    <w:p>
      <w:pPr>
        <w:spacing w:after="0" w:line="151" w:lineRule="exact"/>
        <w:rPr>
          <w:rFonts w:ascii="Arial" w:cs="Arial" w:eastAsia="Arial" w:hAnsi="Arial"/>
          <w:sz w:val="19"/>
          <w:szCs w:val="19"/>
          <w:b w:val="1"/>
          <w:bCs w:val="1"/>
          <w:color w:val="auto"/>
        </w:rPr>
      </w:pPr>
    </w:p>
    <w:p>
      <w:pPr>
        <w:jc w:val="both"/>
        <w:ind w:firstLine="656"/>
        <w:spacing w:after="0" w:line="291" w:lineRule="auto"/>
        <w:tabs>
          <w:tab w:leader="none" w:pos="1561" w:val="left"/>
        </w:tabs>
        <w:numPr>
          <w:ilvl w:val="1"/>
          <w:numId w:val="39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for Cause. </w:t>
      </w:r>
      <w:r>
        <w:rPr>
          <w:rFonts w:ascii="Arial" w:cs="Arial" w:eastAsia="Arial" w:hAnsi="Arial"/>
          <w:sz w:val="19"/>
          <w:szCs w:val="19"/>
          <w:color w:val="auto"/>
        </w:rPr>
        <w:t>Except as explicitly provided otherwise in a Participant’s Award Agreement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individual written agreement between the Company or any Affiliate and the Participant, if a Participant’s Continuous Service is terminated for Cause, the Participant may exercise his or her Option or SAR (to the extent that the Participant was entitled to exercise such Award as of the date of termination of Continuous Service) but only within such period of time ending on the earlier of (i) the date five (5) days following the termination of the Participant’s Continuous Service (or such longer or shorter period specified in the applicable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shall terminate.</w:t>
      </w:r>
    </w:p>
    <w:p>
      <w:pPr>
        <w:spacing w:after="0" w:line="149" w:lineRule="exact"/>
        <w:rPr>
          <w:rFonts w:ascii="Arial" w:cs="Arial" w:eastAsia="Arial" w:hAnsi="Arial"/>
          <w:sz w:val="19"/>
          <w:szCs w:val="19"/>
          <w:b w:val="1"/>
          <w:bCs w:val="1"/>
          <w:color w:val="auto"/>
        </w:rPr>
      </w:pPr>
    </w:p>
    <w:p>
      <w:pPr>
        <w:jc w:val="both"/>
        <w:ind w:firstLine="656"/>
        <w:spacing w:after="0" w:line="287" w:lineRule="auto"/>
        <w:tabs>
          <w:tab w:leader="none" w:pos="1500" w:val="left"/>
        </w:tabs>
        <w:numPr>
          <w:ilvl w:val="1"/>
          <w:numId w:val="398"/>
        </w:numPr>
        <w:rPr>
          <w:rFonts w:ascii="Arial" w:cs="Arial" w:eastAsia="Arial" w:hAnsi="Arial"/>
          <w:sz w:val="19"/>
          <w:szCs w:val="19"/>
          <w:b w:val="1"/>
          <w:bCs w:val="1"/>
          <w:color w:val="auto"/>
        </w:rPr>
      </w:pPr>
      <w:r>
        <w:rPr>
          <w:rFonts w:ascii="Arial" w:cs="Arial" w:eastAsia="Arial" w:hAnsi="Arial"/>
          <w:sz w:val="19"/>
          <w:szCs w:val="19"/>
          <w:b w:val="1"/>
          <w:bCs w:val="1"/>
          <w:color w:val="auto"/>
        </w:rPr>
        <w:t>Non-Exempt Employees</w:t>
      </w:r>
      <w:r>
        <w:rPr>
          <w:rFonts w:ascii="Arial" w:cs="Arial" w:eastAsia="Arial" w:hAnsi="Arial"/>
          <w:sz w:val="19"/>
          <w:szCs w:val="19"/>
          <w:color w:val="auto"/>
        </w:rPr>
        <w:t>. No Option or SAR, whether or not vested, granted to an Employee who is a non-exempt employee for purposes of the Fair Labor Standards Act of 1938, as amended, shall be first exercisable for any Ordinary Shares until at least six months following the date of grant of the Option or SAR. Notwithstanding the foregoing, consistent with the provisions of the Worker Economic Opportunity Act, (i) in the event of the Participant’s death or Disability, (ii) upon a Corporate Transaction in which such Option or SAR is not assumed, continued, or substituted, (iii) upon a Change in Control, or</w:t>
      </w:r>
    </w:p>
    <w:p>
      <w:pPr>
        <w:ind w:left="380" w:hanging="372"/>
        <w:spacing w:after="0"/>
        <w:tabs>
          <w:tab w:leader="none" w:pos="380" w:val="left"/>
        </w:tabs>
        <w:numPr>
          <w:ilvl w:val="0"/>
          <w:numId w:val="399"/>
        </w:numPr>
        <w:rPr>
          <w:rFonts w:ascii="Arial" w:cs="Arial" w:eastAsia="Arial" w:hAnsi="Arial"/>
          <w:sz w:val="22"/>
          <w:szCs w:val="22"/>
          <w:color w:val="auto"/>
        </w:rPr>
      </w:pPr>
      <w:r>
        <w:rPr>
          <w:rFonts w:ascii="Arial" w:cs="Arial" w:eastAsia="Arial" w:hAnsi="Arial"/>
          <w:sz w:val="22"/>
          <w:szCs w:val="22"/>
          <w:color w:val="auto"/>
        </w:rPr>
        <w:t>upon the</w:t>
      </w:r>
    </w:p>
    <w:p>
      <w:pPr>
        <w:spacing w:after="0" w:line="200" w:lineRule="exact"/>
        <w:rPr>
          <w:sz w:val="20"/>
          <w:szCs w:val="20"/>
          <w:color w:val="auto"/>
        </w:rPr>
      </w:pPr>
    </w:p>
    <w:p>
      <w:pPr>
        <w:spacing w:after="0" w:line="245"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47" w:right="239" w:bottom="1440" w:gutter="0" w:footer="0" w:header="0"/>
        </w:sectPr>
      </w:pPr>
    </w:p>
    <w:bookmarkStart w:id="417" w:name="page418"/>
    <w:bookmarkEnd w:id="417"/>
    <w:p>
      <w:pPr>
        <w:jc w:val="both"/>
        <w:spacing w:after="0" w:line="248" w:lineRule="auto"/>
        <w:rPr>
          <w:sz w:val="20"/>
          <w:szCs w:val="20"/>
          <w:color w:val="auto"/>
        </w:rPr>
      </w:pPr>
      <w:r>
        <w:rPr>
          <w:rFonts w:ascii="Arial" w:cs="Arial" w:eastAsia="Arial" w:hAnsi="Arial"/>
          <w:sz w:val="22"/>
          <w:szCs w:val="22"/>
          <w:color w:val="auto"/>
        </w:rPr>
        <w:t>Participant’s retirement (as such term may be defined in the Participant’s Award Agreement or in another applicable agreement or in accordance with the Company’s (or Affiliate’s, if applicable) then current employment policies and guidelines), any such vested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w:t>
      </w:r>
    </w:p>
    <w:p>
      <w:pPr>
        <w:spacing w:after="0" w:line="186" w:lineRule="exact"/>
        <w:rPr>
          <w:sz w:val="20"/>
          <w:szCs w:val="20"/>
          <w:color w:val="auto"/>
        </w:rPr>
      </w:pPr>
    </w:p>
    <w:p>
      <w:pPr>
        <w:ind w:left="820" w:hanging="812"/>
        <w:spacing w:after="0"/>
        <w:tabs>
          <w:tab w:leader="none" w:pos="820" w:val="left"/>
        </w:tabs>
        <w:numPr>
          <w:ilvl w:val="0"/>
          <w:numId w:val="400"/>
        </w:numPr>
        <w:rPr>
          <w:rFonts w:ascii="Arial" w:cs="Arial" w:eastAsia="Arial" w:hAnsi="Arial"/>
          <w:sz w:val="22"/>
          <w:szCs w:val="22"/>
          <w:b w:val="1"/>
          <w:bCs w:val="1"/>
          <w:color w:val="auto"/>
        </w:rPr>
      </w:pPr>
      <w:r>
        <w:rPr>
          <w:rFonts w:ascii="Arial" w:cs="Arial" w:eastAsia="Arial" w:hAnsi="Arial"/>
          <w:sz w:val="22"/>
          <w:szCs w:val="22"/>
          <w:b w:val="1"/>
          <w:bCs w:val="1"/>
          <w:color w:val="auto"/>
        </w:rPr>
        <w:t>Provisions of Stock Awards other than Options and SARs.</w:t>
      </w:r>
    </w:p>
    <w:p>
      <w:pPr>
        <w:spacing w:after="0" w:line="219" w:lineRule="exact"/>
        <w:rPr>
          <w:rFonts w:ascii="Arial" w:cs="Arial" w:eastAsia="Arial" w:hAnsi="Arial"/>
          <w:sz w:val="22"/>
          <w:szCs w:val="22"/>
          <w:b w:val="1"/>
          <w:bCs w:val="1"/>
          <w:color w:val="auto"/>
        </w:rPr>
      </w:pPr>
    </w:p>
    <w:p>
      <w:pPr>
        <w:jc w:val="both"/>
        <w:ind w:firstLine="656"/>
        <w:spacing w:after="0" w:line="291" w:lineRule="auto"/>
        <w:tabs>
          <w:tab w:leader="none" w:pos="1549" w:val="left"/>
        </w:tabs>
        <w:numPr>
          <w:ilvl w:val="1"/>
          <w:numId w:val="40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Restricted Stock Awards. </w:t>
      </w:r>
      <w:r>
        <w:rPr>
          <w:rFonts w:ascii="Arial" w:cs="Arial" w:eastAsia="Arial" w:hAnsi="Arial"/>
          <w:sz w:val="19"/>
          <w:szCs w:val="19"/>
          <w:color w:val="auto"/>
        </w:rPr>
        <w:t>Each Restricted Stock Award Agreement shall be in such form and shall contain such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terms and conditions as the Board shall deem appropriate. To the extent consistent with the Company’s Bylaws, at the Board’s election, Ordinary Shares may be (i) held in book entry form subject to the Company’s instructions until any restrictions relating to the Restricted Stock Award lapse; or (ii) evidenced by a certificate, which certificate shall be held in such form and manner as determined by the Board. The terms and conditions of Restricted Stock Award Agreements may change from time to time, and the terms and conditions of separate Restricted Stock Award Agreements need not be identical; </w:t>
      </w:r>
      <w:r>
        <w:rPr>
          <w:rFonts w:ascii="Arial" w:cs="Arial" w:eastAsia="Arial" w:hAnsi="Arial"/>
          <w:sz w:val="19"/>
          <w:szCs w:val="19"/>
          <w:i w:val="1"/>
          <w:iCs w:val="1"/>
          <w:color w:val="auto"/>
        </w:rPr>
        <w:t>provided, however</w:t>
      </w:r>
      <w:r>
        <w:rPr>
          <w:rFonts w:ascii="Arial" w:cs="Arial" w:eastAsia="Arial" w:hAnsi="Arial"/>
          <w:sz w:val="19"/>
          <w:szCs w:val="19"/>
          <w:color w:val="auto"/>
        </w:rPr>
        <w:t>, that each Restricted Stock Award Agreement shall conform to (through incorporation of the provisions hereof by reference in the agreement or otherwise) the substance of each of the following provisions:</w:t>
      </w:r>
    </w:p>
    <w:p>
      <w:pPr>
        <w:spacing w:after="0" w:line="149" w:lineRule="exact"/>
        <w:rPr>
          <w:rFonts w:ascii="Arial" w:cs="Arial" w:eastAsia="Arial" w:hAnsi="Arial"/>
          <w:sz w:val="19"/>
          <w:szCs w:val="19"/>
          <w:b w:val="1"/>
          <w:bCs w:val="1"/>
          <w:color w:val="auto"/>
        </w:rPr>
      </w:pPr>
    </w:p>
    <w:p>
      <w:pPr>
        <w:jc w:val="both"/>
        <w:ind w:firstLine="1305"/>
        <w:spacing w:after="0" w:line="249" w:lineRule="auto"/>
        <w:tabs>
          <w:tab w:leader="none" w:pos="2149" w:val="left"/>
        </w:tabs>
        <w:numPr>
          <w:ilvl w:val="2"/>
          <w:numId w:val="40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Consideration. </w:t>
      </w:r>
      <w:r>
        <w:rPr>
          <w:rFonts w:ascii="Arial" w:cs="Arial" w:eastAsia="Arial" w:hAnsi="Arial"/>
          <w:sz w:val="22"/>
          <w:szCs w:val="22"/>
          <w:color w:val="auto"/>
        </w:rPr>
        <w:t>A Restricted Stock Award may be awarded in consideration for (A) cash, check, bank</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draft or money order payable to the Company, (B) past services to the Company or an Affiliate, or (C) any other form of legal consideration (including future services) that may be acceptable to the Board, in its sole discretion, and permissible under applicable law; </w:t>
      </w:r>
      <w:r>
        <w:rPr>
          <w:rFonts w:ascii="Arial" w:cs="Arial" w:eastAsia="Arial" w:hAnsi="Arial"/>
          <w:sz w:val="22"/>
          <w:szCs w:val="22"/>
          <w:i w:val="1"/>
          <w:iCs w:val="1"/>
          <w:color w:val="auto"/>
        </w:rPr>
        <w:t>provided, however</w:t>
      </w:r>
      <w:r>
        <w:rPr>
          <w:rFonts w:ascii="Arial" w:cs="Arial" w:eastAsia="Arial" w:hAnsi="Arial"/>
          <w:sz w:val="22"/>
          <w:szCs w:val="22"/>
          <w:color w:val="auto"/>
        </w:rPr>
        <w:t>, that where Ordinary Shares are issued pursuant to a Restricted Stock Award the nominal value of each newly issued Ordinary Share is fully paid up.</w:t>
      </w:r>
    </w:p>
    <w:p>
      <w:pPr>
        <w:spacing w:after="0" w:line="186" w:lineRule="exact"/>
        <w:rPr>
          <w:rFonts w:ascii="Arial" w:cs="Arial" w:eastAsia="Arial" w:hAnsi="Arial"/>
          <w:sz w:val="22"/>
          <w:szCs w:val="22"/>
          <w:b w:val="1"/>
          <w:bCs w:val="1"/>
          <w:color w:val="auto"/>
        </w:rPr>
      </w:pPr>
    </w:p>
    <w:p>
      <w:pPr>
        <w:ind w:firstLine="1305"/>
        <w:spacing w:after="0" w:line="269" w:lineRule="auto"/>
        <w:tabs>
          <w:tab w:leader="none" w:pos="2209" w:val="left"/>
        </w:tabs>
        <w:numPr>
          <w:ilvl w:val="2"/>
          <w:numId w:val="40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Ordinary Shares awarded under a Restricted Stock Award Agreement may be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forfeiture to the Company in accordance with a vesting schedule to be determined by the Board.</w:t>
      </w:r>
    </w:p>
    <w:p>
      <w:pPr>
        <w:spacing w:after="0" w:line="162" w:lineRule="exact"/>
        <w:rPr>
          <w:rFonts w:ascii="Arial" w:cs="Arial" w:eastAsia="Arial" w:hAnsi="Arial"/>
          <w:sz w:val="22"/>
          <w:szCs w:val="22"/>
          <w:b w:val="1"/>
          <w:bCs w:val="1"/>
          <w:color w:val="auto"/>
        </w:rPr>
      </w:pPr>
    </w:p>
    <w:p>
      <w:pPr>
        <w:jc w:val="both"/>
        <w:ind w:firstLine="1305"/>
        <w:spacing w:after="0" w:line="252" w:lineRule="auto"/>
        <w:tabs>
          <w:tab w:leader="none" w:pos="2269" w:val="left"/>
        </w:tabs>
        <w:numPr>
          <w:ilvl w:val="2"/>
          <w:numId w:val="40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Participant’s Continuous Service. </w:t>
      </w:r>
      <w:r>
        <w:rPr>
          <w:rFonts w:ascii="Arial" w:cs="Arial" w:eastAsia="Arial" w:hAnsi="Arial"/>
          <w:sz w:val="22"/>
          <w:szCs w:val="22"/>
          <w:color w:val="auto"/>
        </w:rPr>
        <w:t>If a Participant’s Continuous Service terminates,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any Affiliate may receive through a forfeiture condition or a repurchase right any or all of the Ordinary Shares held by the Participant that have not vested as of the date of termination of Continuous Service under the terms of the Restricted Stock Award Agreement.</w:t>
      </w:r>
    </w:p>
    <w:p>
      <w:pPr>
        <w:spacing w:after="0" w:line="180" w:lineRule="exact"/>
        <w:rPr>
          <w:rFonts w:ascii="Arial" w:cs="Arial" w:eastAsia="Arial" w:hAnsi="Arial"/>
          <w:sz w:val="22"/>
          <w:szCs w:val="22"/>
          <w:b w:val="1"/>
          <w:bCs w:val="1"/>
          <w:color w:val="auto"/>
        </w:rPr>
      </w:pPr>
    </w:p>
    <w:p>
      <w:pPr>
        <w:jc w:val="both"/>
        <w:ind w:firstLine="1305"/>
        <w:spacing w:after="0" w:line="267" w:lineRule="auto"/>
        <w:tabs>
          <w:tab w:leader="none" w:pos="2257" w:val="left"/>
        </w:tabs>
        <w:numPr>
          <w:ilvl w:val="2"/>
          <w:numId w:val="40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Transferability. </w:t>
      </w:r>
      <w:r>
        <w:rPr>
          <w:rFonts w:ascii="Arial" w:cs="Arial" w:eastAsia="Arial" w:hAnsi="Arial"/>
          <w:sz w:val="21"/>
          <w:szCs w:val="21"/>
          <w:color w:val="auto"/>
        </w:rPr>
        <w:t>Rights to acquire Ordinary Shares under the Restricted Stock Award Agreement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transferable by the Participant only upon such terms and conditions as are set forth in the Restricted Stock Award Agreement, as the Board shall determine in its sole discretion, so long as the Ordinary Shares awarded under the Restricted Stock Award Agreement remain subject to the terms of the Restricted Stock Award Agreement.</w:t>
      </w:r>
    </w:p>
    <w:p>
      <w:pPr>
        <w:spacing w:after="0" w:line="167" w:lineRule="exact"/>
        <w:rPr>
          <w:rFonts w:ascii="Arial" w:cs="Arial" w:eastAsia="Arial" w:hAnsi="Arial"/>
          <w:sz w:val="21"/>
          <w:szCs w:val="21"/>
          <w:b w:val="1"/>
          <w:bCs w:val="1"/>
          <w:color w:val="auto"/>
        </w:rPr>
      </w:pPr>
    </w:p>
    <w:p>
      <w:pPr>
        <w:jc w:val="both"/>
        <w:ind w:firstLine="1305"/>
        <w:spacing w:after="0" w:line="256" w:lineRule="auto"/>
        <w:tabs>
          <w:tab w:leader="none" w:pos="2197" w:val="left"/>
        </w:tabs>
        <w:numPr>
          <w:ilvl w:val="2"/>
          <w:numId w:val="40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A Restricted Stock Award Agreement may provide that any dividends paid on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will be subject to the same vesting and forfeiture restrictions as apply to the Ordinary Shares subject to the Restricted Stock Award to which they relate.</w:t>
      </w:r>
    </w:p>
    <w:p>
      <w:pPr>
        <w:spacing w:after="0" w:line="176" w:lineRule="exact"/>
        <w:rPr>
          <w:rFonts w:ascii="Arial" w:cs="Arial" w:eastAsia="Arial" w:hAnsi="Arial"/>
          <w:sz w:val="22"/>
          <w:szCs w:val="22"/>
          <w:b w:val="1"/>
          <w:bCs w:val="1"/>
          <w:color w:val="auto"/>
        </w:rPr>
      </w:pPr>
    </w:p>
    <w:p>
      <w:pPr>
        <w:jc w:val="both"/>
        <w:ind w:firstLine="656"/>
        <w:spacing w:after="0" w:line="252" w:lineRule="auto"/>
        <w:tabs>
          <w:tab w:leader="none" w:pos="1561" w:val="left"/>
        </w:tabs>
        <w:numPr>
          <w:ilvl w:val="1"/>
          <w:numId w:val="40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Restricted Stock Unit Awards. </w:t>
      </w:r>
      <w:r>
        <w:rPr>
          <w:rFonts w:ascii="Arial" w:cs="Arial" w:eastAsia="Arial" w:hAnsi="Arial"/>
          <w:sz w:val="22"/>
          <w:szCs w:val="22"/>
          <w:color w:val="auto"/>
        </w:rPr>
        <w:t>Each Restricted Stock Unit Award Agreement shall be in such form and shall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contain such terms and conditions as the Board shall deem appropriate. The terms and conditions of Restricted Stock Unit Award Agreements may change from time to time, and the terms and conditions of separate Restricted Stock Unit Award Agreements need not be identical; </w:t>
      </w:r>
      <w:r>
        <w:rPr>
          <w:rFonts w:ascii="Arial" w:cs="Arial" w:eastAsia="Arial" w:hAnsi="Arial"/>
          <w:sz w:val="22"/>
          <w:szCs w:val="22"/>
          <w:i w:val="1"/>
          <w:iCs w:val="1"/>
          <w:color w:val="auto"/>
        </w:rPr>
        <w:t>provided, however</w:t>
      </w: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47" w:right="239" w:bottom="1440" w:gutter="0" w:footer="0" w:header="0"/>
        </w:sectPr>
      </w:pPr>
    </w:p>
    <w:bookmarkStart w:id="418" w:name="page419"/>
    <w:bookmarkEnd w:id="418"/>
    <w:p>
      <w:pPr>
        <w:spacing w:after="0" w:line="263" w:lineRule="auto"/>
        <w:rPr>
          <w:sz w:val="20"/>
          <w:szCs w:val="20"/>
          <w:color w:val="auto"/>
        </w:rPr>
      </w:pPr>
      <w:r>
        <w:rPr>
          <w:rFonts w:ascii="Arial" w:cs="Arial" w:eastAsia="Arial" w:hAnsi="Arial"/>
          <w:sz w:val="22"/>
          <w:szCs w:val="22"/>
          <w:color w:val="auto"/>
        </w:rPr>
        <w:t>that each Restricted Stock Unit Award Agreement shall conform to (through incorporation of the provisions hereof by reference in the Agreement or otherwise) the substance of each of the following provisions:</w:t>
      </w:r>
    </w:p>
    <w:p>
      <w:pPr>
        <w:spacing w:after="0" w:line="169" w:lineRule="exact"/>
        <w:rPr>
          <w:sz w:val="20"/>
          <w:szCs w:val="20"/>
          <w:color w:val="auto"/>
        </w:rPr>
      </w:pPr>
    </w:p>
    <w:p>
      <w:pPr>
        <w:jc w:val="both"/>
        <w:ind w:firstLine="1305"/>
        <w:spacing w:after="0" w:line="248" w:lineRule="auto"/>
        <w:tabs>
          <w:tab w:leader="none" w:pos="2149" w:val="left"/>
        </w:tabs>
        <w:numPr>
          <w:ilvl w:val="1"/>
          <w:numId w:val="40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Consideration. </w:t>
      </w:r>
      <w:r>
        <w:rPr>
          <w:rFonts w:ascii="Arial" w:cs="Arial" w:eastAsia="Arial" w:hAnsi="Arial"/>
          <w:sz w:val="22"/>
          <w:szCs w:val="22"/>
          <w:color w:val="auto"/>
        </w:rPr>
        <w:t>At the time of grant of a Restricted Stock Unit Award, the Board will determine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consideration, if any, to be paid by the Participant upon delivery of each Ordinary Share subject to the Restricted Stock Unit Award. The consideration to be paid (if any) by the Participant for each Ordinary Share subject to a Restricted Stock Unit Award may be paid in any form of legal consideration that may be acceptable to the Board, in its sole discretion, and permissible under applicable law; </w:t>
      </w:r>
      <w:r>
        <w:rPr>
          <w:rFonts w:ascii="Arial" w:cs="Arial" w:eastAsia="Arial" w:hAnsi="Arial"/>
          <w:sz w:val="22"/>
          <w:szCs w:val="22"/>
          <w:i w:val="1"/>
          <w:iCs w:val="1"/>
          <w:color w:val="auto"/>
        </w:rPr>
        <w:t>provided, however</w:t>
      </w:r>
      <w:r>
        <w:rPr>
          <w:rFonts w:ascii="Arial" w:cs="Arial" w:eastAsia="Arial" w:hAnsi="Arial"/>
          <w:sz w:val="22"/>
          <w:szCs w:val="22"/>
          <w:color w:val="auto"/>
        </w:rPr>
        <w:t>, that where Ordinary Shares are issued pursuant to a Restricted Stock Unit Award the nominal value of each newly issued Ordinary Share is fully paid up.</w:t>
      </w:r>
    </w:p>
    <w:p>
      <w:pPr>
        <w:spacing w:after="0" w:line="187" w:lineRule="exact"/>
        <w:rPr>
          <w:rFonts w:ascii="Arial" w:cs="Arial" w:eastAsia="Arial" w:hAnsi="Arial"/>
          <w:sz w:val="22"/>
          <w:szCs w:val="22"/>
          <w:b w:val="1"/>
          <w:bCs w:val="1"/>
          <w:color w:val="auto"/>
        </w:rPr>
      </w:pPr>
    </w:p>
    <w:p>
      <w:pPr>
        <w:ind w:firstLine="1305"/>
        <w:spacing w:after="0" w:line="350" w:lineRule="auto"/>
        <w:tabs>
          <w:tab w:leader="none" w:pos="2209" w:val="left"/>
        </w:tabs>
        <w:numPr>
          <w:ilvl w:val="1"/>
          <w:numId w:val="40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Vesting. </w:t>
      </w:r>
      <w:r>
        <w:rPr>
          <w:rFonts w:ascii="Arial" w:cs="Arial" w:eastAsia="Arial" w:hAnsi="Arial"/>
          <w:sz w:val="19"/>
          <w:szCs w:val="19"/>
          <w:color w:val="auto"/>
        </w:rPr>
        <w:t>At the time of the grant of a Restricted Stock Unit Award, the Board may impose such</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restrictions on or conditions to the vesting of the Restricted Stock Unit Award as it, in its sole discretion, deems appropriate.</w:t>
      </w:r>
    </w:p>
    <w:p>
      <w:pPr>
        <w:spacing w:after="0" w:line="92" w:lineRule="exact"/>
        <w:rPr>
          <w:rFonts w:ascii="Arial" w:cs="Arial" w:eastAsia="Arial" w:hAnsi="Arial"/>
          <w:sz w:val="19"/>
          <w:szCs w:val="19"/>
          <w:b w:val="1"/>
          <w:bCs w:val="1"/>
          <w:color w:val="auto"/>
        </w:rPr>
      </w:pPr>
    </w:p>
    <w:p>
      <w:pPr>
        <w:jc w:val="both"/>
        <w:ind w:firstLine="1305"/>
        <w:spacing w:after="0" w:line="256" w:lineRule="auto"/>
        <w:tabs>
          <w:tab w:leader="none" w:pos="2269" w:val="left"/>
        </w:tabs>
        <w:numPr>
          <w:ilvl w:val="1"/>
          <w:numId w:val="401"/>
        </w:numPr>
        <w:rPr>
          <w:rFonts w:ascii="Arial" w:cs="Arial" w:eastAsia="Arial" w:hAnsi="Arial"/>
          <w:sz w:val="22"/>
          <w:szCs w:val="22"/>
          <w:b w:val="1"/>
          <w:bCs w:val="1"/>
          <w:color w:val="auto"/>
        </w:rPr>
      </w:pPr>
      <w:r>
        <w:rPr>
          <w:rFonts w:ascii="Arial" w:cs="Arial" w:eastAsia="Arial" w:hAnsi="Arial"/>
          <w:sz w:val="22"/>
          <w:szCs w:val="22"/>
          <w:b w:val="1"/>
          <w:bCs w:val="1"/>
          <w:color w:val="auto"/>
        </w:rPr>
        <w:t>Payment</w:t>
      </w:r>
      <w:r>
        <w:rPr>
          <w:rFonts w:ascii="Arial" w:cs="Arial" w:eastAsia="Arial" w:hAnsi="Arial"/>
          <w:sz w:val="22"/>
          <w:szCs w:val="22"/>
          <w:color w:val="auto"/>
        </w:rPr>
        <w:t>. A Restricted Stock Unit Award may be settled by the delivery of Ordinary Shares, their cash</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 any combination thereof or in any other form of consideration, as determined by the Board and contained in the Restricted Stock Unit Award Agreement.</w:t>
      </w:r>
    </w:p>
    <w:p>
      <w:pPr>
        <w:spacing w:after="0" w:line="176" w:lineRule="exact"/>
        <w:rPr>
          <w:rFonts w:ascii="Arial" w:cs="Arial" w:eastAsia="Arial" w:hAnsi="Arial"/>
          <w:sz w:val="22"/>
          <w:szCs w:val="22"/>
          <w:b w:val="1"/>
          <w:bCs w:val="1"/>
          <w:color w:val="auto"/>
        </w:rPr>
      </w:pPr>
    </w:p>
    <w:p>
      <w:pPr>
        <w:jc w:val="both"/>
        <w:ind w:firstLine="1305"/>
        <w:spacing w:after="0" w:line="274" w:lineRule="auto"/>
        <w:tabs>
          <w:tab w:leader="none" w:pos="2257" w:val="left"/>
        </w:tabs>
        <w:numPr>
          <w:ilvl w:val="1"/>
          <w:numId w:val="40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Additional Restrictions. </w:t>
      </w:r>
      <w:r>
        <w:rPr>
          <w:rFonts w:ascii="Arial" w:cs="Arial" w:eastAsia="Arial" w:hAnsi="Arial"/>
          <w:sz w:val="21"/>
          <w:szCs w:val="21"/>
          <w:color w:val="auto"/>
        </w:rPr>
        <w:t>At the time of the grant of a Restricted Stock Unit Award, the Board, as it</w:t>
      </w:r>
      <w:r>
        <w:rPr>
          <w:rFonts w:ascii="Arial" w:cs="Arial" w:eastAsia="Arial" w:hAnsi="Arial"/>
          <w:sz w:val="21"/>
          <w:szCs w:val="21"/>
          <w:b w:val="1"/>
          <w:bCs w:val="1"/>
          <w:color w:val="auto"/>
        </w:rPr>
        <w:t xml:space="preserve"> </w:t>
      </w:r>
      <w:r>
        <w:rPr>
          <w:rFonts w:ascii="Arial" w:cs="Arial" w:eastAsia="Arial" w:hAnsi="Arial"/>
          <w:sz w:val="21"/>
          <w:szCs w:val="21"/>
          <w:color w:val="auto"/>
        </w:rPr>
        <w:t>deems appropriate, may impose such restrictions or conditions that delay the delivery of the Ordinary Shares (or their cash equivalent) subject to a Restricted Stock Unit Award to a time after the vesting of such Restricted Stock Unit Award.</w:t>
      </w:r>
    </w:p>
    <w:p>
      <w:pPr>
        <w:spacing w:after="0" w:line="158" w:lineRule="exact"/>
        <w:rPr>
          <w:rFonts w:ascii="Arial" w:cs="Arial" w:eastAsia="Arial" w:hAnsi="Arial"/>
          <w:sz w:val="21"/>
          <w:szCs w:val="21"/>
          <w:b w:val="1"/>
          <w:bCs w:val="1"/>
          <w:color w:val="auto"/>
        </w:rPr>
      </w:pPr>
    </w:p>
    <w:p>
      <w:pPr>
        <w:jc w:val="both"/>
        <w:ind w:firstLine="1305"/>
        <w:spacing w:after="0" w:line="262" w:lineRule="auto"/>
        <w:tabs>
          <w:tab w:leader="none" w:pos="2197" w:val="left"/>
        </w:tabs>
        <w:numPr>
          <w:ilvl w:val="1"/>
          <w:numId w:val="40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Dividend Equivalents. </w:t>
      </w:r>
      <w:r>
        <w:rPr>
          <w:rFonts w:ascii="Arial" w:cs="Arial" w:eastAsia="Arial" w:hAnsi="Arial"/>
          <w:sz w:val="21"/>
          <w:szCs w:val="21"/>
          <w:color w:val="auto"/>
        </w:rPr>
        <w:t>Dividend equivalents may be credited in respect of Ordinary Shares covered by a</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Stock Unit Award, as determined by the Board and contained in the Restricted Stock Unit Award Agreement. At the sole discretion of the Board, such dividend equivalents may be converted into additional Ordinary Shares covered by the Restricted Stock Unit Award in such manner as determined by the Board. Any additional Ordinary Shares covered by the Restricted Stock Unit Award credited by reason of such dividend equivalents will be subject to all of the same terms and conditions of the underlying Restricted Stock Unit Award Agreement to which they relate.</w:t>
      </w:r>
    </w:p>
    <w:p>
      <w:pPr>
        <w:spacing w:after="0" w:line="173" w:lineRule="exact"/>
        <w:rPr>
          <w:rFonts w:ascii="Arial" w:cs="Arial" w:eastAsia="Arial" w:hAnsi="Arial"/>
          <w:sz w:val="21"/>
          <w:szCs w:val="21"/>
          <w:b w:val="1"/>
          <w:bCs w:val="1"/>
          <w:color w:val="auto"/>
        </w:rPr>
      </w:pPr>
    </w:p>
    <w:p>
      <w:pPr>
        <w:jc w:val="both"/>
        <w:ind w:firstLine="1305"/>
        <w:spacing w:after="0" w:line="256" w:lineRule="auto"/>
        <w:tabs>
          <w:tab w:leader="none" w:pos="2257" w:val="left"/>
        </w:tabs>
        <w:numPr>
          <w:ilvl w:val="1"/>
          <w:numId w:val="40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Participant’s Continuous Service. </w:t>
      </w:r>
      <w:r>
        <w:rPr>
          <w:rFonts w:ascii="Arial" w:cs="Arial" w:eastAsia="Arial" w:hAnsi="Arial"/>
          <w:sz w:val="22"/>
          <w:szCs w:val="22"/>
          <w:color w:val="auto"/>
        </w:rPr>
        <w:t>Except as otherwise provided in the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Unit Award Agreement, such portion of the Restricted Stock Unit Award that has not vested will be forfeited upon the Participant’s termination of Continuous Service.</w:t>
      </w:r>
    </w:p>
    <w:p>
      <w:pPr>
        <w:spacing w:after="0" w:line="176" w:lineRule="exact"/>
        <w:rPr>
          <w:rFonts w:ascii="Arial" w:cs="Arial" w:eastAsia="Arial" w:hAnsi="Arial"/>
          <w:sz w:val="22"/>
          <w:szCs w:val="22"/>
          <w:b w:val="1"/>
          <w:bCs w:val="1"/>
          <w:color w:val="auto"/>
        </w:rPr>
      </w:pPr>
    </w:p>
    <w:p>
      <w:pPr>
        <w:ind w:left="1540" w:hanging="884"/>
        <w:spacing w:after="0"/>
        <w:tabs>
          <w:tab w:leader="none" w:pos="1540" w:val="left"/>
        </w:tabs>
        <w:numPr>
          <w:ilvl w:val="0"/>
          <w:numId w:val="402"/>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Awards</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firstLine="1305"/>
        <w:spacing w:after="0" w:line="289" w:lineRule="auto"/>
        <w:tabs>
          <w:tab w:leader="none" w:pos="2149" w:val="left"/>
        </w:tabs>
        <w:numPr>
          <w:ilvl w:val="1"/>
          <w:numId w:val="402"/>
        </w:numPr>
        <w:rPr>
          <w:rFonts w:ascii="Arial" w:cs="Arial" w:eastAsia="Arial" w:hAnsi="Arial"/>
          <w:sz w:val="19"/>
          <w:szCs w:val="19"/>
          <w:b w:val="1"/>
          <w:bCs w:val="1"/>
          <w:color w:val="auto"/>
        </w:rPr>
      </w:pPr>
      <w:r>
        <w:rPr>
          <w:rFonts w:ascii="Arial" w:cs="Arial" w:eastAsia="Arial" w:hAnsi="Arial"/>
          <w:sz w:val="19"/>
          <w:szCs w:val="19"/>
          <w:b w:val="1"/>
          <w:bCs w:val="1"/>
          <w:color w:val="auto"/>
        </w:rPr>
        <w:t>Performance Stock Awards</w:t>
      </w:r>
      <w:r>
        <w:rPr>
          <w:rFonts w:ascii="Arial" w:cs="Arial" w:eastAsia="Arial" w:hAnsi="Arial"/>
          <w:sz w:val="19"/>
          <w:szCs w:val="19"/>
          <w:color w:val="auto"/>
        </w:rPr>
        <w:t>. A Performance Stock Award is a Stock Award that may be granted, may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vest or may be exercised contingent upon the attainment during a Performance Period of certain Performance Goals.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with respect to a Performance Stock Award shall be conclusively determined by the Committee, in its sole discretion;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Board also may make any such determinations to the extent that the Performance Stock Award is not intended to comply with Section 162(m) of the Code. The maximum number of Ordinary Shares covered by an Award that may be granted to any Participant in a calendar year attributable to Performance Stock Awards (whether the grant, vesting or exercise is contingent upon the attainment during a Performance Period of the Performance Goals) shall not exceed two million (2,000,000) Ordinary Shares. The Board may provide for or, subject to such terms and</w:t>
      </w:r>
    </w:p>
    <w:p>
      <w:pPr>
        <w:spacing w:after="0" w:line="400"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847" w:right="239" w:bottom="1440" w:gutter="0" w:footer="0" w:header="0"/>
        </w:sectPr>
      </w:pPr>
    </w:p>
    <w:bookmarkStart w:id="419" w:name="page420"/>
    <w:bookmarkEnd w:id="419"/>
    <w:p>
      <w:pPr>
        <w:jc w:val="both"/>
        <w:spacing w:after="0" w:line="271" w:lineRule="auto"/>
        <w:rPr>
          <w:sz w:val="20"/>
          <w:szCs w:val="20"/>
          <w:color w:val="auto"/>
        </w:rPr>
      </w:pPr>
      <w:r>
        <w:rPr>
          <w:rFonts w:ascii="Arial" w:cs="Arial" w:eastAsia="Arial" w:hAnsi="Arial"/>
          <w:sz w:val="21"/>
          <w:szCs w:val="21"/>
          <w:color w:val="auto"/>
        </w:rPr>
        <w:t>conditions as the Board may specify, may permit a Participant to elect for, the payment of any Performance Stock Award to be deferred to a specified date or event. In addition, to the extent permitted by applicable law and the applicable Award Agreement, the Board may determine that cash may be used in payment of Performance Stock Awards.</w:t>
      </w:r>
    </w:p>
    <w:p>
      <w:pPr>
        <w:spacing w:after="0" w:line="162" w:lineRule="exact"/>
        <w:rPr>
          <w:sz w:val="20"/>
          <w:szCs w:val="20"/>
          <w:color w:val="auto"/>
        </w:rPr>
      </w:pPr>
    </w:p>
    <w:p>
      <w:pPr>
        <w:jc w:val="both"/>
        <w:ind w:firstLine="1305"/>
        <w:spacing w:after="0" w:line="288" w:lineRule="auto"/>
        <w:tabs>
          <w:tab w:leader="none" w:pos="2209" w:val="left"/>
        </w:tabs>
        <w:numPr>
          <w:ilvl w:val="1"/>
          <w:numId w:val="403"/>
        </w:numPr>
        <w:rPr>
          <w:rFonts w:ascii="Arial" w:cs="Arial" w:eastAsia="Arial" w:hAnsi="Arial"/>
          <w:sz w:val="19"/>
          <w:szCs w:val="19"/>
          <w:b w:val="1"/>
          <w:bCs w:val="1"/>
          <w:color w:val="auto"/>
        </w:rPr>
      </w:pPr>
      <w:r>
        <w:rPr>
          <w:rFonts w:ascii="Arial" w:cs="Arial" w:eastAsia="Arial" w:hAnsi="Arial"/>
          <w:sz w:val="19"/>
          <w:szCs w:val="19"/>
          <w:b w:val="1"/>
          <w:bCs w:val="1"/>
          <w:color w:val="auto"/>
        </w:rPr>
        <w:t>Performance Cash Awards</w:t>
      </w:r>
      <w:r>
        <w:rPr>
          <w:rFonts w:ascii="Arial" w:cs="Arial" w:eastAsia="Arial" w:hAnsi="Arial"/>
          <w:sz w:val="19"/>
          <w:szCs w:val="19"/>
          <w:color w:val="auto"/>
        </w:rPr>
        <w:t>. A Performance Cash Award is a cash award that may be paid contingent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upon the attainment during a Performance Period of certain Performance Goals. A Performance Cash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with respect to a Performance Cash Award shall be conclusively determined by the Committee, in its sole discretion;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Board also may make any such determinations to the extent that the Performance Cash Award is not</w:t>
      </w:r>
      <w:r>
        <w:rPr>
          <w:rFonts w:ascii="Arial" w:cs="Arial" w:eastAsia="Arial" w:hAnsi="Arial"/>
          <w:sz w:val="19"/>
          <w:szCs w:val="19"/>
          <w:i w:val="1"/>
          <w:iCs w:val="1"/>
          <w:color w:val="auto"/>
        </w:rPr>
        <w:t xml:space="preserve"> </w:t>
      </w:r>
      <w:r>
        <w:rPr>
          <w:rFonts w:ascii="Arial" w:cs="Arial" w:eastAsia="Arial" w:hAnsi="Arial"/>
          <w:sz w:val="19"/>
          <w:szCs w:val="19"/>
          <w:color w:val="auto"/>
        </w:rPr>
        <w:t>intended to comply with Section 162(m) of the Code. The maximum value that may be paid to any Participant in a calendar year pursuant to Performance Cash Awards shall not exceed fifteen million dollars ($15,000,000). The Board may provide for or, subject to such terms and conditions as the Board may specify, may permit a Participant to elect for, the payment of any Performance Cash Award to be deferred to a specified date or event.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49" w:lineRule="exact"/>
        <w:rPr>
          <w:rFonts w:ascii="Arial" w:cs="Arial" w:eastAsia="Arial" w:hAnsi="Arial"/>
          <w:sz w:val="19"/>
          <w:szCs w:val="19"/>
          <w:b w:val="1"/>
          <w:bCs w:val="1"/>
          <w:color w:val="auto"/>
        </w:rPr>
      </w:pPr>
    </w:p>
    <w:p>
      <w:pPr>
        <w:jc w:val="both"/>
        <w:ind w:firstLine="1305"/>
        <w:spacing w:after="0" w:line="264" w:lineRule="auto"/>
        <w:tabs>
          <w:tab w:leader="none" w:pos="2269" w:val="left"/>
        </w:tabs>
        <w:numPr>
          <w:ilvl w:val="1"/>
          <w:numId w:val="403"/>
        </w:numPr>
        <w:rPr>
          <w:rFonts w:ascii="Arial" w:cs="Arial" w:eastAsia="Arial" w:hAnsi="Arial"/>
          <w:sz w:val="21"/>
          <w:szCs w:val="21"/>
          <w:b w:val="1"/>
          <w:bCs w:val="1"/>
          <w:color w:val="auto"/>
        </w:rPr>
      </w:pPr>
      <w:r>
        <w:rPr>
          <w:rFonts w:ascii="Arial" w:cs="Arial" w:eastAsia="Arial" w:hAnsi="Arial"/>
          <w:sz w:val="21"/>
          <w:szCs w:val="21"/>
          <w:b w:val="1"/>
          <w:bCs w:val="1"/>
          <w:color w:val="auto"/>
        </w:rPr>
        <w:t>Committee and Board Discretion</w:t>
      </w:r>
      <w:r>
        <w:rPr>
          <w:rFonts w:ascii="Arial" w:cs="Arial" w:eastAsia="Arial" w:hAnsi="Arial"/>
          <w:sz w:val="21"/>
          <w:szCs w:val="21"/>
          <w:color w:val="auto"/>
        </w:rPr>
        <w:t>. The Committee retains the discretion to reduce or eliminate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compensation or economic benefit due upon the attainment of any Performance Goals and to define the manner of calculating the Performance Criteria it selects to use for a Performance Period with respect to a Performance Stock Award or Performance Cash Award;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Board also retains any such discretion to the extent that the Performance Stock Award or Performance Cash Award is not intended to comply with Section 162(m) of the Code.</w:t>
      </w:r>
    </w:p>
    <w:p>
      <w:pPr>
        <w:spacing w:after="0" w:line="170" w:lineRule="exact"/>
        <w:rPr>
          <w:rFonts w:ascii="Arial" w:cs="Arial" w:eastAsia="Arial" w:hAnsi="Arial"/>
          <w:sz w:val="21"/>
          <w:szCs w:val="21"/>
          <w:b w:val="1"/>
          <w:bCs w:val="1"/>
          <w:color w:val="auto"/>
        </w:rPr>
      </w:pPr>
    </w:p>
    <w:p>
      <w:pPr>
        <w:jc w:val="both"/>
        <w:ind w:firstLine="1305"/>
        <w:spacing w:after="0" w:line="287" w:lineRule="auto"/>
        <w:tabs>
          <w:tab w:leader="none" w:pos="2257" w:val="left"/>
        </w:tabs>
        <w:numPr>
          <w:ilvl w:val="1"/>
          <w:numId w:val="403"/>
        </w:numPr>
        <w:rPr>
          <w:rFonts w:ascii="Arial" w:cs="Arial" w:eastAsia="Arial" w:hAnsi="Arial"/>
          <w:sz w:val="19"/>
          <w:szCs w:val="19"/>
          <w:b w:val="1"/>
          <w:bCs w:val="1"/>
          <w:color w:val="auto"/>
        </w:rPr>
      </w:pPr>
      <w:r>
        <w:rPr>
          <w:rFonts w:ascii="Arial" w:cs="Arial" w:eastAsia="Arial" w:hAnsi="Arial"/>
          <w:sz w:val="19"/>
          <w:szCs w:val="19"/>
          <w:b w:val="1"/>
          <w:bCs w:val="1"/>
          <w:color w:val="auto"/>
        </w:rPr>
        <w:t>Section 162(m) Compliance</w:t>
      </w:r>
      <w:r>
        <w:rPr>
          <w:rFonts w:ascii="Arial" w:cs="Arial" w:eastAsia="Arial" w:hAnsi="Arial"/>
          <w:sz w:val="19"/>
          <w:szCs w:val="19"/>
          <w:color w:val="auto"/>
        </w:rPr>
        <w:t>. Unless otherwise permitted in compliance with the requirements of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162(m) of the Code with respect to an Award intended to qualify as “performance-based compensation” thereunder, the Committee shall establish the Performance Goals applicable to, and the formula for calculating the amount payable under, the Award no later than the earlier of (a) the date ninety (90) days after the commencement of the applicable Performance Period, or (b) the date on which twenty-five percent (25%) of the Performance Period has elapsed, and in either event at a time when the achievement of the applicable Performance Goals remains substantially uncertain. Prior to the payment of any compensation under an Award intended to qualify as “performance-based compensation” under Section 162(m) of the Code, the Committee shall certify the extent to which any Performance Goals and any other material terms under such Award have been satisfied (other than in cases where such relate solely to the increase in the value of the Ordinary Shares). Notwithstanding the satisfaction of any Performance Goals, to the extent specified at the time of grant of an Award to any “covered employee” within the meaning of Section 162(m) of the Code that is intended to qualify as “performance-based compensation” thereunder, the number of Ordinary Shares, Options, cash or other benefits granted, issued, retainable and/or vested under the Award on account of the satisfaction of such Performance Goals may be reduced by the Committee on the basis of such further considerations as the Committee, in its sole discretion, shall determine.</w:t>
      </w:r>
    </w:p>
    <w:p>
      <w:pPr>
        <w:spacing w:after="0" w:line="155" w:lineRule="exact"/>
        <w:rPr>
          <w:rFonts w:ascii="Arial" w:cs="Arial" w:eastAsia="Arial" w:hAnsi="Arial"/>
          <w:sz w:val="19"/>
          <w:szCs w:val="19"/>
          <w:b w:val="1"/>
          <w:bCs w:val="1"/>
          <w:color w:val="auto"/>
        </w:rPr>
      </w:pPr>
    </w:p>
    <w:p>
      <w:pPr>
        <w:jc w:val="both"/>
        <w:ind w:firstLine="656"/>
        <w:spacing w:after="0" w:line="249" w:lineRule="auto"/>
        <w:tabs>
          <w:tab w:leader="none" w:pos="1561" w:val="left"/>
        </w:tabs>
        <w:numPr>
          <w:ilvl w:val="0"/>
          <w:numId w:val="404"/>
        </w:numPr>
        <w:rPr>
          <w:rFonts w:ascii="Arial" w:cs="Arial" w:eastAsia="Arial" w:hAnsi="Arial"/>
          <w:sz w:val="22"/>
          <w:szCs w:val="22"/>
          <w:b w:val="1"/>
          <w:bCs w:val="1"/>
          <w:color w:val="auto"/>
        </w:rPr>
      </w:pPr>
      <w:r>
        <w:rPr>
          <w:rFonts w:ascii="Arial" w:cs="Arial" w:eastAsia="Arial" w:hAnsi="Arial"/>
          <w:sz w:val="22"/>
          <w:szCs w:val="22"/>
          <w:b w:val="1"/>
          <w:bCs w:val="1"/>
          <w:color w:val="auto"/>
        </w:rPr>
        <w:t>Other Stock Awards</w:t>
      </w:r>
      <w:r>
        <w:rPr>
          <w:rFonts w:ascii="Arial" w:cs="Arial" w:eastAsia="Arial" w:hAnsi="Arial"/>
          <w:sz w:val="22"/>
          <w:szCs w:val="22"/>
          <w:color w:val="auto"/>
        </w:rPr>
        <w:t>. Other forms of Stock Awards valued in whole or in part by reference to, or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based on, Ordinary Shares, including the appreciation in value thereof (e.g., options or share rights with an exercise price or strike price less than 100% of the Fair Market Value of the Ordinary Shares at the time of grant) may be granted either alone or in addition to Stock Awards provided for under Section 5 and the preceding provisions of this Section 6. Subject to the provisions of the Plan, the Board shall have</w:t>
      </w:r>
    </w:p>
    <w:p>
      <w:pPr>
        <w:spacing w:after="0" w:line="200" w:lineRule="exact"/>
        <w:rPr>
          <w:sz w:val="20"/>
          <w:szCs w:val="20"/>
          <w:color w:val="auto"/>
        </w:rPr>
      </w:pPr>
    </w:p>
    <w:p>
      <w:pPr>
        <w:spacing w:after="0" w:line="236"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848" w:right="239" w:bottom="1440" w:gutter="0" w:footer="0" w:header="0"/>
        </w:sectPr>
      </w:pPr>
    </w:p>
    <w:bookmarkStart w:id="420" w:name="page421"/>
    <w:bookmarkEnd w:id="420"/>
    <w:p>
      <w:pPr>
        <w:jc w:val="both"/>
        <w:spacing w:after="0" w:line="265" w:lineRule="auto"/>
        <w:rPr>
          <w:sz w:val="20"/>
          <w:szCs w:val="20"/>
          <w:color w:val="auto"/>
        </w:rPr>
      </w:pPr>
      <w:r>
        <w:rPr>
          <w:rFonts w:ascii="Arial" w:cs="Arial" w:eastAsia="Arial" w:hAnsi="Arial"/>
          <w:sz w:val="21"/>
          <w:szCs w:val="21"/>
          <w:color w:val="auto"/>
        </w:rPr>
        <w:t xml:space="preserve">sole and complete authority to determine the persons to whom and the time or times at which such Other Stock Awards will be granted, the number of Ordinary Shares (or the cash equivalent thereof) to be granted pursuant to such Other Stock Awards and all other terms and conditions of such Other Stock Awards; </w:t>
      </w:r>
      <w:r>
        <w:rPr>
          <w:rFonts w:ascii="Arial" w:cs="Arial" w:eastAsia="Arial" w:hAnsi="Arial"/>
          <w:sz w:val="21"/>
          <w:szCs w:val="21"/>
          <w:i w:val="1"/>
          <w:iCs w:val="1"/>
          <w:color w:val="auto"/>
        </w:rPr>
        <w:t>provided, however</w:t>
      </w:r>
      <w:r>
        <w:rPr>
          <w:rFonts w:ascii="Arial" w:cs="Arial" w:eastAsia="Arial" w:hAnsi="Arial"/>
          <w:sz w:val="21"/>
          <w:szCs w:val="21"/>
          <w:color w:val="auto"/>
        </w:rPr>
        <w:t>, that where Ordinary Shares are issued pursuant to an Other Stock Award the nominal value of each newly issued Ordinary Share is fully paid up.</w:t>
      </w:r>
    </w:p>
    <w:p>
      <w:pPr>
        <w:spacing w:after="0" w:line="170" w:lineRule="exact"/>
        <w:rPr>
          <w:sz w:val="20"/>
          <w:szCs w:val="20"/>
          <w:color w:val="auto"/>
        </w:rPr>
      </w:pPr>
    </w:p>
    <w:p>
      <w:pPr>
        <w:ind w:left="820" w:hanging="812"/>
        <w:spacing w:after="0"/>
        <w:tabs>
          <w:tab w:leader="none" w:pos="820" w:val="left"/>
        </w:tabs>
        <w:numPr>
          <w:ilvl w:val="0"/>
          <w:numId w:val="405"/>
        </w:numPr>
        <w:rPr>
          <w:rFonts w:ascii="Arial" w:cs="Arial" w:eastAsia="Arial" w:hAnsi="Arial"/>
          <w:sz w:val="22"/>
          <w:szCs w:val="22"/>
          <w:b w:val="1"/>
          <w:bCs w:val="1"/>
          <w:color w:val="auto"/>
        </w:rPr>
      </w:pPr>
      <w:r>
        <w:rPr>
          <w:rFonts w:ascii="Arial" w:cs="Arial" w:eastAsia="Arial" w:hAnsi="Arial"/>
          <w:sz w:val="22"/>
          <w:szCs w:val="22"/>
          <w:b w:val="1"/>
          <w:bCs w:val="1"/>
          <w:color w:val="auto"/>
        </w:rPr>
        <w:t>Covenants of the Company.</w:t>
      </w:r>
    </w:p>
    <w:p>
      <w:pPr>
        <w:spacing w:after="0" w:line="219" w:lineRule="exact"/>
        <w:rPr>
          <w:rFonts w:ascii="Arial" w:cs="Arial" w:eastAsia="Arial" w:hAnsi="Arial"/>
          <w:sz w:val="22"/>
          <w:szCs w:val="22"/>
          <w:b w:val="1"/>
          <w:bCs w:val="1"/>
          <w:color w:val="auto"/>
        </w:rPr>
      </w:pPr>
    </w:p>
    <w:p>
      <w:pPr>
        <w:ind w:firstLine="656"/>
        <w:spacing w:after="0" w:line="269" w:lineRule="auto"/>
        <w:tabs>
          <w:tab w:leader="none" w:pos="1549" w:val="left"/>
        </w:tabs>
        <w:numPr>
          <w:ilvl w:val="1"/>
          <w:numId w:val="40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Availability of Shares. </w:t>
      </w:r>
      <w:r>
        <w:rPr>
          <w:rFonts w:ascii="Arial" w:cs="Arial" w:eastAsia="Arial" w:hAnsi="Arial"/>
          <w:sz w:val="22"/>
          <w:szCs w:val="22"/>
          <w:color w:val="auto"/>
        </w:rPr>
        <w:t>During the terms of the Stock Awards, the Company shall keep available at all times the</w:t>
      </w:r>
      <w:r>
        <w:rPr>
          <w:rFonts w:ascii="Arial" w:cs="Arial" w:eastAsia="Arial" w:hAnsi="Arial"/>
          <w:sz w:val="22"/>
          <w:szCs w:val="22"/>
          <w:b w:val="1"/>
          <w:bCs w:val="1"/>
          <w:color w:val="auto"/>
        </w:rPr>
        <w:t xml:space="preserve"> </w:t>
      </w:r>
      <w:r>
        <w:rPr>
          <w:rFonts w:ascii="Arial" w:cs="Arial" w:eastAsia="Arial" w:hAnsi="Arial"/>
          <w:sz w:val="22"/>
          <w:szCs w:val="22"/>
          <w:color w:val="auto"/>
        </w:rPr>
        <w:t>number of Ordinary Shares reasonably required to satisfy such Stock Awards.</w:t>
      </w:r>
    </w:p>
    <w:p>
      <w:pPr>
        <w:spacing w:after="0" w:line="162" w:lineRule="exact"/>
        <w:rPr>
          <w:rFonts w:ascii="Arial" w:cs="Arial" w:eastAsia="Arial" w:hAnsi="Arial"/>
          <w:sz w:val="22"/>
          <w:szCs w:val="22"/>
          <w:b w:val="1"/>
          <w:bCs w:val="1"/>
          <w:color w:val="auto"/>
        </w:rPr>
      </w:pPr>
    </w:p>
    <w:p>
      <w:pPr>
        <w:jc w:val="both"/>
        <w:ind w:firstLine="656"/>
        <w:spacing w:after="0" w:line="290" w:lineRule="auto"/>
        <w:tabs>
          <w:tab w:leader="none" w:pos="1561" w:val="left"/>
        </w:tabs>
        <w:numPr>
          <w:ilvl w:val="1"/>
          <w:numId w:val="4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Securities Law Compliance. </w:t>
      </w:r>
      <w:r>
        <w:rPr>
          <w:rFonts w:ascii="Arial" w:cs="Arial" w:eastAsia="Arial" w:hAnsi="Arial"/>
          <w:sz w:val="19"/>
          <w:szCs w:val="19"/>
          <w:color w:val="auto"/>
        </w:rPr>
        <w:t>The Company shall seek to obtain from each regulatory commission or agency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having jurisdiction over the Plan such authority as may be required to grant Stock Awards and to issue and sell Ordinary Shares upon exercise of the Stock Awards;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this undertaking shall not require the Company to register under the Securities Act the Plan, any Stock Award or any Ordinary Shares issued or issuable pursuant to any such Stock Award. If, after reasonable efforts, the Company is unable to obtain from any such regulatory commission or agency the authority that counsel for the Company deems necessary for the lawful issuance and sale of Ordinary Shares under the Plan, the Company shall be relieved from any liability for failure to issue and sell Ordinary Shares upon exercise of such Stock Awards unless and until such authority is obtained. A Participant shall not be eligible for the grant of a Stock Award or the subsequent issuance of Ordinary Shares pursuant to the Stock Award if such grant or issuance would be in violation of any applicable securities law.</w:t>
      </w:r>
    </w:p>
    <w:p>
      <w:pPr>
        <w:spacing w:after="0" w:line="149" w:lineRule="exact"/>
        <w:rPr>
          <w:rFonts w:ascii="Arial" w:cs="Arial" w:eastAsia="Arial" w:hAnsi="Arial"/>
          <w:sz w:val="19"/>
          <w:szCs w:val="19"/>
          <w:b w:val="1"/>
          <w:bCs w:val="1"/>
          <w:color w:val="auto"/>
        </w:rPr>
      </w:pPr>
    </w:p>
    <w:p>
      <w:pPr>
        <w:jc w:val="both"/>
        <w:ind w:firstLine="656"/>
        <w:spacing w:after="0" w:line="298" w:lineRule="auto"/>
        <w:tabs>
          <w:tab w:leader="none" w:pos="1536" w:val="left"/>
        </w:tabs>
        <w:numPr>
          <w:ilvl w:val="1"/>
          <w:numId w:val="4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Obligation to Notify or Minimize Taxes. </w:t>
      </w:r>
      <w:r>
        <w:rPr>
          <w:rFonts w:ascii="Arial" w:cs="Arial" w:eastAsia="Arial" w:hAnsi="Arial"/>
          <w:sz w:val="19"/>
          <w:szCs w:val="19"/>
          <w:color w:val="auto"/>
        </w:rPr>
        <w:t>The Company and any Affiliates shall have no duty or obligation</w:t>
      </w:r>
      <w:r>
        <w:rPr>
          <w:rFonts w:ascii="Arial" w:cs="Arial" w:eastAsia="Arial" w:hAnsi="Arial"/>
          <w:sz w:val="19"/>
          <w:szCs w:val="19"/>
          <w:b w:val="1"/>
          <w:bCs w:val="1"/>
          <w:color w:val="auto"/>
        </w:rPr>
        <w:t xml:space="preserve"> </w:t>
      </w:r>
      <w:r>
        <w:rPr>
          <w:rFonts w:ascii="Arial" w:cs="Arial" w:eastAsia="Arial" w:hAnsi="Arial"/>
          <w:sz w:val="19"/>
          <w:szCs w:val="19"/>
          <w:color w:val="auto"/>
        </w:rPr>
        <w:t>to any Participant to advise such holder as to the time or manner of exercising a Stock Award. Furthermore, the Company and any Affiliates shall have no duty or obligation to warn or otherwise advise such holder of a pending termination or expiration of a Stock Award or a possible period in which the Stock Award may not be exercised. The Company and any Affiliates have no duty or obligation to minimize the tax consequences of a Stock Award to the holder of such Stock Award.</w:t>
      </w:r>
    </w:p>
    <w:p>
      <w:pPr>
        <w:spacing w:after="0" w:line="142" w:lineRule="exact"/>
        <w:rPr>
          <w:rFonts w:ascii="Arial" w:cs="Arial" w:eastAsia="Arial" w:hAnsi="Arial"/>
          <w:sz w:val="19"/>
          <w:szCs w:val="19"/>
          <w:b w:val="1"/>
          <w:bCs w:val="1"/>
          <w:color w:val="auto"/>
        </w:rPr>
      </w:pPr>
    </w:p>
    <w:p>
      <w:pPr>
        <w:ind w:left="820" w:hanging="812"/>
        <w:spacing w:after="0"/>
        <w:tabs>
          <w:tab w:leader="none" w:pos="820" w:val="left"/>
        </w:tabs>
        <w:numPr>
          <w:ilvl w:val="0"/>
          <w:numId w:val="405"/>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19" w:lineRule="exact"/>
        <w:rPr>
          <w:rFonts w:ascii="Arial" w:cs="Arial" w:eastAsia="Arial" w:hAnsi="Arial"/>
          <w:sz w:val="22"/>
          <w:szCs w:val="22"/>
          <w:b w:val="1"/>
          <w:bCs w:val="1"/>
          <w:color w:val="auto"/>
        </w:rPr>
      </w:pPr>
    </w:p>
    <w:p>
      <w:pPr>
        <w:ind w:right="20" w:firstLine="656"/>
        <w:spacing w:after="0" w:line="269" w:lineRule="auto"/>
        <w:tabs>
          <w:tab w:leader="none" w:pos="1549" w:val="left"/>
        </w:tabs>
        <w:numPr>
          <w:ilvl w:val="1"/>
          <w:numId w:val="40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Use of Proceeds from Sales of Ordinary Shares. </w:t>
      </w:r>
      <w:r>
        <w:rPr>
          <w:rFonts w:ascii="Arial" w:cs="Arial" w:eastAsia="Arial" w:hAnsi="Arial"/>
          <w:sz w:val="22"/>
          <w:szCs w:val="22"/>
          <w:color w:val="auto"/>
        </w:rPr>
        <w:t>Proceeds from the sale of Ordinary Shares pursuant to Stock</w:t>
      </w:r>
      <w:r>
        <w:rPr>
          <w:rFonts w:ascii="Arial" w:cs="Arial" w:eastAsia="Arial" w:hAnsi="Arial"/>
          <w:sz w:val="22"/>
          <w:szCs w:val="22"/>
          <w:b w:val="1"/>
          <w:bCs w:val="1"/>
          <w:color w:val="auto"/>
        </w:rPr>
        <w:t xml:space="preserve"> </w:t>
      </w:r>
      <w:r>
        <w:rPr>
          <w:rFonts w:ascii="Arial" w:cs="Arial" w:eastAsia="Arial" w:hAnsi="Arial"/>
          <w:sz w:val="22"/>
          <w:szCs w:val="22"/>
          <w:color w:val="auto"/>
        </w:rPr>
        <w:t>Awards shall constitute general funds of the Company.</w:t>
      </w:r>
    </w:p>
    <w:p>
      <w:pPr>
        <w:spacing w:after="0" w:line="162" w:lineRule="exact"/>
        <w:rPr>
          <w:rFonts w:ascii="Arial" w:cs="Arial" w:eastAsia="Arial" w:hAnsi="Arial"/>
          <w:sz w:val="22"/>
          <w:szCs w:val="22"/>
          <w:b w:val="1"/>
          <w:bCs w:val="1"/>
          <w:color w:val="auto"/>
        </w:rPr>
      </w:pPr>
    </w:p>
    <w:p>
      <w:pPr>
        <w:jc w:val="both"/>
        <w:ind w:firstLine="656"/>
        <w:spacing w:after="0" w:line="252" w:lineRule="auto"/>
        <w:tabs>
          <w:tab w:leader="none" w:pos="1561" w:val="left"/>
        </w:tabs>
        <w:numPr>
          <w:ilvl w:val="1"/>
          <w:numId w:val="40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Corporate Action Constituting Grant of Stock Awards. </w:t>
      </w:r>
      <w:r>
        <w:rPr>
          <w:rFonts w:ascii="Arial" w:cs="Arial" w:eastAsia="Arial" w:hAnsi="Arial"/>
          <w:sz w:val="22"/>
          <w:szCs w:val="22"/>
          <w:color w:val="auto"/>
        </w:rPr>
        <w:t>Corporate action constituting a grant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of a Stock Award to any Participant shall be deemed completed as of the date of such corporate action, unless otherwise determined by the Board, regardless of when the instrument, certificate, or letter evidencing the Stock Award is communicated to, or actually received or accepted by, the Participant.</w:t>
      </w:r>
    </w:p>
    <w:p>
      <w:pPr>
        <w:spacing w:after="0" w:line="180" w:lineRule="exact"/>
        <w:rPr>
          <w:rFonts w:ascii="Arial" w:cs="Arial" w:eastAsia="Arial" w:hAnsi="Arial"/>
          <w:sz w:val="22"/>
          <w:szCs w:val="22"/>
          <w:b w:val="1"/>
          <w:bCs w:val="1"/>
          <w:color w:val="auto"/>
        </w:rPr>
      </w:pPr>
    </w:p>
    <w:p>
      <w:pPr>
        <w:jc w:val="both"/>
        <w:ind w:firstLine="656"/>
        <w:spacing w:after="0" w:line="252" w:lineRule="auto"/>
        <w:tabs>
          <w:tab w:leader="none" w:pos="1536" w:val="left"/>
        </w:tabs>
        <w:numPr>
          <w:ilvl w:val="1"/>
          <w:numId w:val="40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Shareholder Rights. </w:t>
      </w:r>
      <w:r>
        <w:rPr>
          <w:rFonts w:ascii="Arial" w:cs="Arial" w:eastAsia="Arial" w:hAnsi="Arial"/>
          <w:sz w:val="22"/>
          <w:szCs w:val="22"/>
          <w:color w:val="auto"/>
        </w:rPr>
        <w:t>No Participant shall be deemed to be the holder of, or to have any of the rights of a holder</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any Ordinary Shares subject to such Stock Award unless and until (i) such Participant has satisfied all requirements for exercise of the Stock Award pursuant to its terms, if applicable, and (ii) the issuance of the Ordinary Shares subject to such Stock Award has been entered into the books and records of the Company.</w:t>
      </w:r>
    </w:p>
    <w:p>
      <w:pPr>
        <w:spacing w:after="0" w:line="180" w:lineRule="exact"/>
        <w:rPr>
          <w:rFonts w:ascii="Arial" w:cs="Arial" w:eastAsia="Arial" w:hAnsi="Arial"/>
          <w:sz w:val="22"/>
          <w:szCs w:val="22"/>
          <w:b w:val="1"/>
          <w:bCs w:val="1"/>
          <w:color w:val="auto"/>
        </w:rPr>
      </w:pPr>
    </w:p>
    <w:p>
      <w:pPr>
        <w:jc w:val="both"/>
        <w:ind w:firstLine="656"/>
        <w:spacing w:after="0" w:line="256" w:lineRule="auto"/>
        <w:tabs>
          <w:tab w:leader="none" w:pos="1561" w:val="left"/>
        </w:tabs>
        <w:numPr>
          <w:ilvl w:val="1"/>
          <w:numId w:val="40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Employment or Other Service Rights. </w:t>
      </w:r>
      <w:r>
        <w:rPr>
          <w:rFonts w:ascii="Arial" w:cs="Arial" w:eastAsia="Arial" w:hAnsi="Arial"/>
          <w:sz w:val="22"/>
          <w:szCs w:val="22"/>
          <w:color w:val="auto"/>
        </w:rPr>
        <w:t>Nothing in the Plan, any Stock Award Agreement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 executed thereunder or in connection with any Award granted pursuant thereto shall confer upon any Participant any right to continue to serve the Company or an Affiliate in the capacity in</w:t>
      </w:r>
    </w:p>
    <w:p>
      <w:pPr>
        <w:spacing w:after="0" w:line="200" w:lineRule="exact"/>
        <w:rPr>
          <w:sz w:val="20"/>
          <w:szCs w:val="20"/>
          <w:color w:val="auto"/>
        </w:rPr>
      </w:pPr>
    </w:p>
    <w:p>
      <w:pPr>
        <w:spacing w:after="0" w:line="225"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847" w:right="239" w:bottom="1440" w:gutter="0" w:footer="0" w:header="0"/>
        </w:sectPr>
      </w:pPr>
    </w:p>
    <w:bookmarkStart w:id="421" w:name="page422"/>
    <w:bookmarkEnd w:id="421"/>
    <w:p>
      <w:pPr>
        <w:spacing w:after="0" w:line="263" w:lineRule="auto"/>
        <w:rPr>
          <w:sz w:val="20"/>
          <w:szCs w:val="20"/>
          <w:color w:val="auto"/>
        </w:rPr>
      </w:pPr>
      <w:r>
        <w:rPr>
          <w:rFonts w:ascii="Arial" w:cs="Arial" w:eastAsia="Arial" w:hAnsi="Arial"/>
          <w:sz w:val="22"/>
          <w:szCs w:val="22"/>
          <w:color w:val="auto"/>
        </w:rPr>
        <w:t>effect at the time the Stock Award was granted or shall affect the right of the Company or an Affiliate to terminate the employment of an Employee with or without notice and with or without cause.</w:t>
      </w:r>
    </w:p>
    <w:p>
      <w:pPr>
        <w:spacing w:after="0" w:line="169" w:lineRule="exact"/>
        <w:rPr>
          <w:sz w:val="20"/>
          <w:szCs w:val="20"/>
          <w:color w:val="auto"/>
        </w:rPr>
      </w:pPr>
    </w:p>
    <w:p>
      <w:pPr>
        <w:jc w:val="both"/>
        <w:ind w:firstLine="656"/>
        <w:spacing w:after="0" w:line="298" w:lineRule="auto"/>
        <w:tabs>
          <w:tab w:leader="none" w:pos="1536" w:val="left"/>
        </w:tabs>
        <w:numPr>
          <w:ilvl w:val="0"/>
          <w:numId w:val="40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Incentive Stock Option $100,000 Limitation. </w:t>
      </w:r>
      <w:r>
        <w:rPr>
          <w:rFonts w:ascii="Arial" w:cs="Arial" w:eastAsia="Arial" w:hAnsi="Arial"/>
          <w:sz w:val="19"/>
          <w:szCs w:val="19"/>
          <w:color w:val="auto"/>
        </w:rPr>
        <w:t>To the extent that the aggregate Fair Market Value (determined at</w:t>
      </w:r>
      <w:r>
        <w:rPr>
          <w:rFonts w:ascii="Arial" w:cs="Arial" w:eastAsia="Arial" w:hAnsi="Arial"/>
          <w:sz w:val="19"/>
          <w:szCs w:val="19"/>
          <w:b w:val="1"/>
          <w:bCs w:val="1"/>
          <w:color w:val="auto"/>
        </w:rPr>
        <w:t xml:space="preserve"> </w:t>
      </w:r>
      <w:r>
        <w:rPr>
          <w:rFonts w:ascii="Arial" w:cs="Arial" w:eastAsia="Arial" w:hAnsi="Arial"/>
          <w:sz w:val="19"/>
          <w:szCs w:val="19"/>
          <w:color w:val="auto"/>
        </w:rPr>
        <w:t>the time of grant) of Ordinary Shares with respect to which Incentive Stock Options are exercisable for the first time by any Optionholder during any calendar year (under all plans of the Company and any Affiliates) exceeds one hundred thousand dollars ($100,000), the Options or portions thereof that exceed such limit (according to the order in which they were granted) shall be treated as Nonstatutory Stock Options, notwithstanding any contrary provision of the applicable Option Agreement(s).</w:t>
      </w:r>
    </w:p>
    <w:p>
      <w:pPr>
        <w:spacing w:after="0" w:line="142" w:lineRule="exact"/>
        <w:rPr>
          <w:rFonts w:ascii="Arial" w:cs="Arial" w:eastAsia="Arial" w:hAnsi="Arial"/>
          <w:sz w:val="19"/>
          <w:szCs w:val="19"/>
          <w:b w:val="1"/>
          <w:bCs w:val="1"/>
          <w:color w:val="auto"/>
        </w:rPr>
      </w:pPr>
    </w:p>
    <w:p>
      <w:pPr>
        <w:jc w:val="both"/>
        <w:ind w:firstLine="656"/>
        <w:spacing w:after="0" w:line="287" w:lineRule="auto"/>
        <w:tabs>
          <w:tab w:leader="none" w:pos="1512" w:val="left"/>
        </w:tabs>
        <w:numPr>
          <w:ilvl w:val="0"/>
          <w:numId w:val="40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Investment Assurances. </w:t>
      </w:r>
      <w:r>
        <w:rPr>
          <w:rFonts w:ascii="Arial" w:cs="Arial" w:eastAsia="Arial" w:hAnsi="Arial"/>
          <w:sz w:val="19"/>
          <w:szCs w:val="19"/>
          <w:color w:val="auto"/>
        </w:rPr>
        <w:t>The Company may require a Participant, as a condition of exercising or acquiring</w:t>
      </w:r>
      <w:r>
        <w:rPr>
          <w:rFonts w:ascii="Arial" w:cs="Arial" w:eastAsia="Arial" w:hAnsi="Arial"/>
          <w:sz w:val="19"/>
          <w:szCs w:val="19"/>
          <w:b w:val="1"/>
          <w:bCs w:val="1"/>
          <w:color w:val="auto"/>
        </w:rPr>
        <w:t xml:space="preserve"> </w:t>
      </w:r>
      <w:r>
        <w:rPr>
          <w:rFonts w:ascii="Arial" w:cs="Arial" w:eastAsia="Arial" w:hAnsi="Arial"/>
          <w:sz w:val="19"/>
          <w:szCs w:val="19"/>
          <w:color w:val="auto"/>
        </w:rPr>
        <w:t>Ordinary Shares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Ordinary Shares subject to the Stock Award for the Participant’s own account and not with any present intention of selling or otherwise distributing the Ordinary Shares. The foregoing requirements, and any assurances given pursuant to such requirements, shall be inoperative if (A) the issuance of the Ordinary Shares upon the exercise or acquisition of Ordinary Shares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share certificates issued under the Plan as such counsel deems necessary or appropriate in order to comply with applicable securities laws, including, but not limited to, legends restricting the transfer of the Ordinary Shares.</w:t>
      </w:r>
    </w:p>
    <w:p>
      <w:pPr>
        <w:spacing w:after="0" w:line="200" w:lineRule="exact"/>
        <w:rPr>
          <w:rFonts w:ascii="Arial" w:cs="Arial" w:eastAsia="Arial" w:hAnsi="Arial"/>
          <w:sz w:val="19"/>
          <w:szCs w:val="19"/>
          <w:b w:val="1"/>
          <w:bCs w:val="1"/>
          <w:color w:val="auto"/>
        </w:rPr>
      </w:pPr>
    </w:p>
    <w:p>
      <w:pPr>
        <w:spacing w:after="0" w:line="211" w:lineRule="exact"/>
        <w:rPr>
          <w:rFonts w:ascii="Arial" w:cs="Arial" w:eastAsia="Arial" w:hAnsi="Arial"/>
          <w:sz w:val="19"/>
          <w:szCs w:val="19"/>
          <w:b w:val="1"/>
          <w:bCs w:val="1"/>
          <w:color w:val="auto"/>
        </w:rPr>
      </w:pPr>
    </w:p>
    <w:p>
      <w:pPr>
        <w:jc w:val="both"/>
        <w:ind w:firstLine="656"/>
        <w:spacing w:after="0" w:line="295" w:lineRule="auto"/>
        <w:tabs>
          <w:tab w:leader="none" w:pos="1549" w:val="left"/>
        </w:tabs>
        <w:numPr>
          <w:ilvl w:val="0"/>
          <w:numId w:val="40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Withholding Obligations. </w:t>
      </w:r>
      <w:r>
        <w:rPr>
          <w:rFonts w:ascii="Arial" w:cs="Arial" w:eastAsia="Arial" w:hAnsi="Arial"/>
          <w:sz w:val="19"/>
          <w:szCs w:val="19"/>
          <w:color w:val="auto"/>
        </w:rPr>
        <w:t>Unless prohibited by the terms of a Stock Award Agreement, the Company or an</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 may, in its sole discretion, satisfy any federal, state, local or foreign tax withholding obligation relating to an Award by</w:t>
      </w:r>
    </w:p>
    <w:p>
      <w:pPr>
        <w:spacing w:after="0"/>
        <w:rPr>
          <w:sz w:val="20"/>
          <w:szCs w:val="20"/>
          <w:color w:val="auto"/>
        </w:rPr>
      </w:pPr>
      <w:r>
        <w:rPr>
          <w:rFonts w:ascii="Arial" w:cs="Arial" w:eastAsia="Arial" w:hAnsi="Arial"/>
          <w:sz w:val="22"/>
          <w:szCs w:val="22"/>
          <w:color w:val="auto"/>
        </w:rPr>
        <w:t>any of the following means or by a combination of such means: (i) causing the Participant to tender a cash payment;</w:t>
      </w:r>
    </w:p>
    <w:p>
      <w:pPr>
        <w:spacing w:after="0" w:line="4" w:lineRule="exact"/>
        <w:rPr>
          <w:sz w:val="20"/>
          <w:szCs w:val="20"/>
          <w:color w:val="auto"/>
        </w:rPr>
      </w:pPr>
    </w:p>
    <w:p>
      <w:pPr>
        <w:jc w:val="both"/>
        <w:ind w:firstLine="8"/>
        <w:spacing w:after="0" w:line="292" w:lineRule="auto"/>
        <w:tabs>
          <w:tab w:leader="none" w:pos="402" w:val="left"/>
        </w:tabs>
        <w:numPr>
          <w:ilvl w:val="0"/>
          <w:numId w:val="407"/>
        </w:numPr>
        <w:rPr>
          <w:rFonts w:ascii="Arial" w:cs="Arial" w:eastAsia="Arial" w:hAnsi="Arial"/>
          <w:sz w:val="19"/>
          <w:szCs w:val="19"/>
          <w:color w:val="auto"/>
        </w:rPr>
      </w:pPr>
      <w:r>
        <w:rPr>
          <w:rFonts w:ascii="Arial" w:cs="Arial" w:eastAsia="Arial" w:hAnsi="Arial"/>
          <w:sz w:val="19"/>
          <w:szCs w:val="19"/>
          <w:color w:val="auto"/>
        </w:rPr>
        <w:t xml:space="preserve">withholding Ordinary Shares from the Ordinary Shares issued or otherwise issuable to the Participant in connection with the Award;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 Ordinary Shares are withheld with a value exceeding the minimum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146" w:lineRule="exact"/>
        <w:rPr>
          <w:rFonts w:ascii="Arial" w:cs="Arial" w:eastAsia="Arial" w:hAnsi="Arial"/>
          <w:sz w:val="19"/>
          <w:szCs w:val="19"/>
          <w:color w:val="auto"/>
        </w:rPr>
      </w:pPr>
    </w:p>
    <w:p>
      <w:pPr>
        <w:jc w:val="both"/>
        <w:ind w:firstLine="656"/>
        <w:spacing w:after="0" w:line="274" w:lineRule="auto"/>
        <w:tabs>
          <w:tab w:leader="none" w:pos="1561" w:val="left"/>
        </w:tabs>
        <w:numPr>
          <w:ilvl w:val="1"/>
          <w:numId w:val="407"/>
        </w:numPr>
        <w:rPr>
          <w:rFonts w:ascii="Arial" w:cs="Arial" w:eastAsia="Arial" w:hAnsi="Arial"/>
          <w:sz w:val="21"/>
          <w:szCs w:val="21"/>
          <w:b w:val="1"/>
          <w:bCs w:val="1"/>
          <w:color w:val="auto"/>
        </w:rPr>
      </w:pPr>
      <w:r>
        <w:rPr>
          <w:rFonts w:ascii="Arial" w:cs="Arial" w:eastAsia="Arial" w:hAnsi="Arial"/>
          <w:sz w:val="21"/>
          <w:szCs w:val="21"/>
          <w:b w:val="1"/>
          <w:bCs w:val="1"/>
          <w:color w:val="auto"/>
        </w:rPr>
        <w:t>Electronic Delivery</w:t>
      </w:r>
      <w:r>
        <w:rPr>
          <w:rFonts w:ascii="Arial" w:cs="Arial" w:eastAsia="Arial" w:hAnsi="Arial"/>
          <w:sz w:val="21"/>
          <w:szCs w:val="21"/>
          <w:color w:val="auto"/>
        </w:rPr>
        <w:t>. Any reference herein to a “written” agreement or document shall include any agreement or</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 delivered electronically or posted on the Company’s (or Affiliate’s, if applicable) intranet (or other shared electronic medium controlled by the Company (or Affiliate, if applicable) to which the Participant has access).</w:t>
      </w:r>
    </w:p>
    <w:p>
      <w:pPr>
        <w:spacing w:after="0" w:line="158" w:lineRule="exact"/>
        <w:rPr>
          <w:rFonts w:ascii="Arial" w:cs="Arial" w:eastAsia="Arial" w:hAnsi="Arial"/>
          <w:sz w:val="21"/>
          <w:szCs w:val="21"/>
          <w:b w:val="1"/>
          <w:bCs w:val="1"/>
          <w:color w:val="auto"/>
        </w:rPr>
      </w:pPr>
    </w:p>
    <w:p>
      <w:pPr>
        <w:jc w:val="both"/>
        <w:ind w:firstLine="656"/>
        <w:spacing w:after="0" w:line="295" w:lineRule="auto"/>
        <w:tabs>
          <w:tab w:leader="none" w:pos="1500" w:val="left"/>
        </w:tabs>
        <w:numPr>
          <w:ilvl w:val="1"/>
          <w:numId w:val="40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Deferrals. </w:t>
      </w:r>
      <w:r>
        <w:rPr>
          <w:rFonts w:ascii="Arial" w:cs="Arial" w:eastAsia="Arial" w:hAnsi="Arial"/>
          <w:sz w:val="19"/>
          <w:szCs w:val="19"/>
          <w:color w:val="auto"/>
        </w:rPr>
        <w:t>To the extent permitted by applicable law, the Board, in its sole discretion, may determine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delivery of Ordinary Shares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or an Affiliate. The Board is authorized to make deferrals of Awards and determine when, and in what annual percentages, Participants</w:t>
      </w:r>
    </w:p>
    <w:p>
      <w:pPr>
        <w:spacing w:after="0" w:line="393"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47" w:right="239" w:bottom="1440" w:gutter="0" w:footer="0" w:header="0"/>
        </w:sectPr>
      </w:pPr>
    </w:p>
    <w:bookmarkStart w:id="422" w:name="page423"/>
    <w:bookmarkEnd w:id="422"/>
    <w:p>
      <w:pPr>
        <w:ind w:right="20"/>
        <w:spacing w:after="0" w:line="343" w:lineRule="auto"/>
        <w:rPr>
          <w:sz w:val="20"/>
          <w:szCs w:val="20"/>
          <w:color w:val="auto"/>
        </w:rPr>
      </w:pPr>
      <w:r>
        <w:rPr>
          <w:rFonts w:ascii="Arial" w:cs="Arial" w:eastAsia="Arial" w:hAnsi="Arial"/>
          <w:sz w:val="19"/>
          <w:szCs w:val="19"/>
          <w:color w:val="auto"/>
        </w:rPr>
        <w:t>may receive payments, including lump sum payments, following the Participant’s termination of Continuous Service, and implement such other terms and conditions consistent with the provisions of the Plan and in accordance with applicable law.</w:t>
      </w:r>
    </w:p>
    <w:p>
      <w:pPr>
        <w:spacing w:after="0" w:line="99" w:lineRule="exact"/>
        <w:rPr>
          <w:sz w:val="20"/>
          <w:szCs w:val="20"/>
          <w:color w:val="auto"/>
        </w:rPr>
      </w:pPr>
    </w:p>
    <w:p>
      <w:pPr>
        <w:jc w:val="both"/>
        <w:ind w:firstLine="656"/>
        <w:spacing w:after="0" w:line="290" w:lineRule="auto"/>
        <w:tabs>
          <w:tab w:leader="none" w:pos="1512" w:val="left"/>
        </w:tabs>
        <w:numPr>
          <w:ilvl w:val="1"/>
          <w:numId w:val="40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Compliance with Section 409A. </w:t>
      </w:r>
      <w:r>
        <w:rPr>
          <w:rFonts w:ascii="Arial" w:cs="Arial" w:eastAsia="Arial" w:hAnsi="Arial"/>
          <w:sz w:val="19"/>
          <w:szCs w:val="19"/>
          <w:color w:val="auto"/>
        </w:rPr>
        <w:t>To the extent that the Board determines that any Award granted hereunder is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Section 409A of the Code, the Award Agreement evidencing such Award shall incorporate the terms and conditions necessary to avoid the consequences specified in Section 409A(a)(1) of the Code. To the extent applicable, the Plan and Award Agreements shall be interpreted in accordance with Section 409A of the Code. Notwithstanding anything to the contrary in this Plan (and unless the Award Agreement specifically provides otherwise), if the Ordinary Shares are publicly traded and a Participant holding an Award that constitutes “deferred compensation” under Section 409A of the Code is a “specified employee” for purposes of Section 409A of the Code, no distribution or payment of any amount shall be made upon a “separation from service” before a date that is six (6) months following the date of such Participant’s “separation from service” (as defined in Section 409A of the Code without regard to alternative definitions thereunder) or, if earlier, the date of the Participant’s death.</w:t>
      </w:r>
    </w:p>
    <w:p>
      <w:pPr>
        <w:spacing w:after="0" w:line="149" w:lineRule="exact"/>
        <w:rPr>
          <w:rFonts w:ascii="Arial" w:cs="Arial" w:eastAsia="Arial" w:hAnsi="Arial"/>
          <w:sz w:val="19"/>
          <w:szCs w:val="19"/>
          <w:b w:val="1"/>
          <w:bCs w:val="1"/>
          <w:color w:val="auto"/>
        </w:rPr>
      </w:pPr>
    </w:p>
    <w:p>
      <w:pPr>
        <w:jc w:val="both"/>
        <w:ind w:firstLine="656"/>
        <w:spacing w:after="0" w:line="252" w:lineRule="auto"/>
        <w:tabs>
          <w:tab w:leader="none" w:pos="1561" w:val="left"/>
        </w:tabs>
        <w:numPr>
          <w:ilvl w:val="1"/>
          <w:numId w:val="408"/>
        </w:numPr>
        <w:rPr>
          <w:rFonts w:ascii="Arial" w:cs="Arial" w:eastAsia="Arial" w:hAnsi="Arial"/>
          <w:sz w:val="22"/>
          <w:szCs w:val="22"/>
          <w:b w:val="1"/>
          <w:bCs w:val="1"/>
          <w:color w:val="auto"/>
        </w:rPr>
      </w:pPr>
      <w:r>
        <w:rPr>
          <w:rFonts w:ascii="Arial" w:cs="Arial" w:eastAsia="Arial" w:hAnsi="Arial"/>
          <w:sz w:val="22"/>
          <w:szCs w:val="22"/>
          <w:b w:val="1"/>
          <w:bCs w:val="1"/>
          <w:color w:val="auto"/>
        </w:rPr>
        <w:t>Clawback Policy</w:t>
      </w:r>
      <w:r>
        <w:rPr>
          <w:rFonts w:ascii="Arial" w:cs="Arial" w:eastAsia="Arial" w:hAnsi="Arial"/>
          <w:sz w:val="22"/>
          <w:szCs w:val="22"/>
          <w:color w:val="auto"/>
        </w:rPr>
        <w:t>. Any amounts paid hereunder shall be subject to recoupment in accordance with any clawback</w:t>
      </w:r>
      <w:r>
        <w:rPr>
          <w:rFonts w:ascii="Arial" w:cs="Arial" w:eastAsia="Arial" w:hAnsi="Arial"/>
          <w:sz w:val="22"/>
          <w:szCs w:val="22"/>
          <w:b w:val="1"/>
          <w:bCs w:val="1"/>
          <w:color w:val="auto"/>
        </w:rPr>
        <w:t xml:space="preserve"> </w:t>
      </w:r>
      <w:r>
        <w:rPr>
          <w:rFonts w:ascii="Arial" w:cs="Arial" w:eastAsia="Arial" w:hAnsi="Arial"/>
          <w:sz w:val="22"/>
          <w:szCs w:val="22"/>
          <w:color w:val="auto"/>
        </w:rPr>
        <w:t>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180" w:lineRule="exact"/>
        <w:rPr>
          <w:rFonts w:ascii="Arial" w:cs="Arial" w:eastAsia="Arial" w:hAnsi="Arial"/>
          <w:sz w:val="22"/>
          <w:szCs w:val="22"/>
          <w:b w:val="1"/>
          <w:bCs w:val="1"/>
          <w:color w:val="auto"/>
        </w:rPr>
      </w:pPr>
    </w:p>
    <w:p>
      <w:pPr>
        <w:ind w:left="820" w:hanging="812"/>
        <w:spacing w:after="0"/>
        <w:tabs>
          <w:tab w:leader="none" w:pos="820" w:val="left"/>
        </w:tabs>
        <w:numPr>
          <w:ilvl w:val="0"/>
          <w:numId w:val="409"/>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Adjustments upon Changes in Ordinary Shares; Other Corporate Events.</w:t>
      </w:r>
    </w:p>
    <w:p>
      <w:pPr>
        <w:spacing w:after="0" w:line="219" w:lineRule="exact"/>
        <w:rPr>
          <w:rFonts w:ascii="Arial" w:cs="Arial" w:eastAsia="Arial" w:hAnsi="Arial"/>
          <w:sz w:val="22"/>
          <w:szCs w:val="22"/>
          <w:b w:val="1"/>
          <w:bCs w:val="1"/>
          <w:color w:val="auto"/>
        </w:rPr>
      </w:pPr>
    </w:p>
    <w:p>
      <w:pPr>
        <w:jc w:val="both"/>
        <w:ind w:firstLine="656"/>
        <w:spacing w:after="0" w:line="293" w:lineRule="auto"/>
        <w:tabs>
          <w:tab w:leader="none" w:pos="1549" w:val="left"/>
        </w:tabs>
        <w:numPr>
          <w:ilvl w:val="1"/>
          <w:numId w:val="409"/>
        </w:numPr>
        <w:rPr>
          <w:rFonts w:ascii="Arial" w:cs="Arial" w:eastAsia="Arial" w:hAnsi="Arial"/>
          <w:sz w:val="19"/>
          <w:szCs w:val="19"/>
          <w:b w:val="1"/>
          <w:bCs w:val="1"/>
          <w:color w:val="auto"/>
        </w:rPr>
      </w:pPr>
      <w:r>
        <w:rPr>
          <w:rFonts w:ascii="Arial" w:cs="Arial" w:eastAsia="Arial" w:hAnsi="Arial"/>
          <w:sz w:val="19"/>
          <w:szCs w:val="19"/>
          <w:b w:val="1"/>
          <w:bCs w:val="1"/>
          <w:color w:val="auto"/>
        </w:rPr>
        <w:t>Capitalization Adjustments</w:t>
      </w:r>
      <w:r>
        <w:rPr>
          <w:rFonts w:ascii="Arial" w:cs="Arial" w:eastAsia="Arial" w:hAnsi="Arial"/>
          <w:sz w:val="19"/>
          <w:szCs w:val="19"/>
          <w:color w:val="auto"/>
        </w:rPr>
        <w:t>. In the event of a Capitalization Adjustment, the Board shall appropriately and</w:t>
      </w:r>
      <w:r>
        <w:rPr>
          <w:rFonts w:ascii="Arial" w:cs="Arial" w:eastAsia="Arial" w:hAnsi="Arial"/>
          <w:sz w:val="19"/>
          <w:szCs w:val="19"/>
          <w:b w:val="1"/>
          <w:bCs w:val="1"/>
          <w:color w:val="auto"/>
        </w:rPr>
        <w:t xml:space="preserve"> </w:t>
      </w:r>
      <w:r>
        <w:rPr>
          <w:rFonts w:ascii="Arial" w:cs="Arial" w:eastAsia="Arial" w:hAnsi="Arial"/>
          <w:sz w:val="19"/>
          <w:szCs w:val="19"/>
          <w:color w:val="auto"/>
        </w:rPr>
        <w:t>proportionately adjust: (i) the class(es) and maximum number of securities subject to the Plan pursuant to Section 3(a); (ii) the class(es) and maximum number of securities by which the Share Reserve is to increase automatically each year pursuant to Section 3(a); (iii) the class(es) and maximum number of securities that may be issued pursuant to the exercise of Incentive Stock Options pursuant to Section 3(c); (iv) the class(es) and maximum number of securities that may be awarded to any person pursuant to Sections 3(d) and 6(c)(i); and (v) the class(es) and number of securities and price per Ordinary Share subject to outstanding Stock Awards. The Board shall make such adjustments, and its determination shall be final, binding and conclusive.</w:t>
      </w:r>
    </w:p>
    <w:p>
      <w:pPr>
        <w:spacing w:after="0" w:line="145" w:lineRule="exact"/>
        <w:rPr>
          <w:rFonts w:ascii="Arial" w:cs="Arial" w:eastAsia="Arial" w:hAnsi="Arial"/>
          <w:sz w:val="19"/>
          <w:szCs w:val="19"/>
          <w:b w:val="1"/>
          <w:bCs w:val="1"/>
          <w:color w:val="auto"/>
        </w:rPr>
      </w:pPr>
    </w:p>
    <w:p>
      <w:pPr>
        <w:jc w:val="both"/>
        <w:ind w:firstLine="656"/>
        <w:spacing w:after="0" w:line="259" w:lineRule="auto"/>
        <w:tabs>
          <w:tab w:leader="none" w:pos="1561" w:val="left"/>
        </w:tabs>
        <w:numPr>
          <w:ilvl w:val="1"/>
          <w:numId w:val="409"/>
        </w:numPr>
        <w:rPr>
          <w:rFonts w:ascii="Arial" w:cs="Arial" w:eastAsia="Arial" w:hAnsi="Arial"/>
          <w:sz w:val="21"/>
          <w:szCs w:val="21"/>
          <w:b w:val="1"/>
          <w:bCs w:val="1"/>
          <w:color w:val="auto"/>
        </w:rPr>
      </w:pPr>
      <w:r>
        <w:rPr>
          <w:rFonts w:ascii="Arial" w:cs="Arial" w:eastAsia="Arial" w:hAnsi="Arial"/>
          <w:sz w:val="21"/>
          <w:szCs w:val="21"/>
          <w:b w:val="1"/>
          <w:bCs w:val="1"/>
          <w:color w:val="auto"/>
        </w:rPr>
        <w:t>Dissolution or Liquidation</w:t>
      </w:r>
      <w:r>
        <w:rPr>
          <w:rFonts w:ascii="Arial" w:cs="Arial" w:eastAsia="Arial" w:hAnsi="Arial"/>
          <w:sz w:val="21"/>
          <w:szCs w:val="21"/>
          <w:color w:val="auto"/>
        </w:rPr>
        <w:t>. Except as otherwise provided in a Stock Award Agreement, in the event of a</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dissolution or liquidation of the Company, all outstanding Stock Awards (other than Stock Awards consisting of vested and outstanding Ordinary Shares not subject to a forfeiture condition or the Company’s or any Affiliate’s right of repurchase) shall terminate immediately prior to the completion of such dissolution or liquidation, and any Ordinary Shares subject to the Company’s or any Affiliate’s repurchase rights or subject to a forfeiture condition may be repurchased or reacquired by the Company or Affiliate notwithstanding the fact that the holder of such Stock Award is providing Continuous Service;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80" w:lineRule="exact"/>
        <w:rPr>
          <w:rFonts w:ascii="Arial" w:cs="Arial" w:eastAsia="Arial" w:hAnsi="Arial"/>
          <w:sz w:val="21"/>
          <w:szCs w:val="21"/>
          <w:b w:val="1"/>
          <w:bCs w:val="1"/>
          <w:color w:val="auto"/>
        </w:rPr>
      </w:pPr>
    </w:p>
    <w:p>
      <w:pPr>
        <w:jc w:val="both"/>
        <w:ind w:firstLine="656"/>
        <w:spacing w:after="0" w:line="252" w:lineRule="auto"/>
        <w:tabs>
          <w:tab w:leader="none" w:pos="1536" w:val="left"/>
        </w:tabs>
        <w:numPr>
          <w:ilvl w:val="1"/>
          <w:numId w:val="40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Corporate Transaction. </w:t>
      </w:r>
      <w:r>
        <w:rPr>
          <w:rFonts w:ascii="Arial" w:cs="Arial" w:eastAsia="Arial" w:hAnsi="Arial"/>
          <w:sz w:val="22"/>
          <w:szCs w:val="22"/>
          <w:color w:val="auto"/>
        </w:rPr>
        <w:t>Notwithstanding any other provision of the Plan, the Board may take one or more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actions in the event of a Corporate Transaction with respect to Stock Awards, contingent upon the closing or completion of the Corporate Transaction, unless otherwise provided in the instrument evidencing the Stock Award or any other written agreement between the Company or any</w:t>
      </w:r>
    </w:p>
    <w:p>
      <w:pPr>
        <w:spacing w:after="0" w:line="200" w:lineRule="exact"/>
        <w:rPr>
          <w:sz w:val="20"/>
          <w:szCs w:val="20"/>
          <w:color w:val="auto"/>
        </w:rPr>
      </w:pPr>
    </w:p>
    <w:p>
      <w:pPr>
        <w:spacing w:after="0" w:line="229"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847" w:right="239" w:bottom="1440" w:gutter="0" w:footer="0" w:header="0"/>
        </w:sectPr>
      </w:pPr>
    </w:p>
    <w:bookmarkStart w:id="423" w:name="page424"/>
    <w:bookmarkEnd w:id="423"/>
    <w:p>
      <w:pPr>
        <w:spacing w:after="0"/>
        <w:rPr>
          <w:sz w:val="20"/>
          <w:szCs w:val="20"/>
          <w:color w:val="auto"/>
        </w:rPr>
      </w:pPr>
      <w:r>
        <w:rPr>
          <w:rFonts w:ascii="Arial" w:cs="Arial" w:eastAsia="Arial" w:hAnsi="Arial"/>
          <w:sz w:val="21"/>
          <w:szCs w:val="21"/>
          <w:color w:val="auto"/>
        </w:rPr>
        <w:t>Affiliate and the Participant or unless otherwise expressly provided by the Board at the time of grant of a Stock Award:</w:t>
      </w:r>
    </w:p>
    <w:p>
      <w:pPr>
        <w:spacing w:after="0" w:line="231" w:lineRule="exact"/>
        <w:rPr>
          <w:sz w:val="20"/>
          <w:szCs w:val="20"/>
          <w:color w:val="auto"/>
        </w:rPr>
      </w:pPr>
    </w:p>
    <w:p>
      <w:pPr>
        <w:jc w:val="both"/>
        <w:ind w:firstLine="1305"/>
        <w:spacing w:after="0" w:line="250" w:lineRule="auto"/>
        <w:tabs>
          <w:tab w:leader="none" w:pos="2149" w:val="left"/>
        </w:tabs>
        <w:numPr>
          <w:ilvl w:val="0"/>
          <w:numId w:val="410"/>
        </w:numPr>
        <w:rPr>
          <w:rFonts w:ascii="Arial" w:cs="Arial" w:eastAsia="Arial" w:hAnsi="Arial"/>
          <w:sz w:val="22"/>
          <w:szCs w:val="22"/>
          <w:b w:val="1"/>
          <w:bCs w:val="1"/>
          <w:color w:val="auto"/>
        </w:rPr>
      </w:pPr>
      <w:r>
        <w:rPr>
          <w:rFonts w:ascii="Arial" w:cs="Arial" w:eastAsia="Arial" w:hAnsi="Arial"/>
          <w:sz w:val="22"/>
          <w:szCs w:val="22"/>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shareholders of the Company pursuant to the Corporate Transaction);</w:t>
      </w:r>
    </w:p>
    <w:p>
      <w:pPr>
        <w:spacing w:after="0" w:line="188" w:lineRule="exact"/>
        <w:rPr>
          <w:rFonts w:ascii="Arial" w:cs="Arial" w:eastAsia="Arial" w:hAnsi="Arial"/>
          <w:sz w:val="22"/>
          <w:szCs w:val="22"/>
          <w:b w:val="1"/>
          <w:bCs w:val="1"/>
          <w:color w:val="auto"/>
        </w:rPr>
      </w:pPr>
    </w:p>
    <w:p>
      <w:pPr>
        <w:jc w:val="both"/>
        <w:ind w:firstLine="1305"/>
        <w:spacing w:after="0" w:line="253" w:lineRule="auto"/>
        <w:tabs>
          <w:tab w:leader="none" w:pos="2209" w:val="left"/>
        </w:tabs>
        <w:numPr>
          <w:ilvl w:val="0"/>
          <w:numId w:val="410"/>
        </w:numPr>
        <w:rPr>
          <w:rFonts w:ascii="Arial" w:cs="Arial" w:eastAsia="Arial" w:hAnsi="Arial"/>
          <w:sz w:val="22"/>
          <w:szCs w:val="22"/>
          <w:b w:val="1"/>
          <w:bCs w:val="1"/>
          <w:color w:val="auto"/>
        </w:rPr>
      </w:pPr>
      <w:r>
        <w:rPr>
          <w:rFonts w:ascii="Arial" w:cs="Arial" w:eastAsia="Arial" w:hAnsi="Arial"/>
          <w:sz w:val="22"/>
          <w:szCs w:val="22"/>
          <w:color w:val="auto"/>
        </w:rPr>
        <w:t>arrange for the assignment of any reacquisition or repurchase rights held by the Company or any Affiliate in respect of Ordinary Shares issued pursuant to the Stock Award to the surviving corporation or acquiring corporation (or the surviving or acquiring corporation’s parent company);</w:t>
      </w:r>
    </w:p>
    <w:p>
      <w:pPr>
        <w:spacing w:after="0" w:line="185" w:lineRule="exact"/>
        <w:rPr>
          <w:rFonts w:ascii="Arial" w:cs="Arial" w:eastAsia="Arial" w:hAnsi="Arial"/>
          <w:sz w:val="22"/>
          <w:szCs w:val="22"/>
          <w:b w:val="1"/>
          <w:bCs w:val="1"/>
          <w:color w:val="auto"/>
        </w:rPr>
      </w:pPr>
    </w:p>
    <w:p>
      <w:pPr>
        <w:jc w:val="both"/>
        <w:ind w:firstLine="1305"/>
        <w:spacing w:after="0" w:line="302" w:lineRule="auto"/>
        <w:tabs>
          <w:tab w:leader="none" w:pos="2269" w:val="left"/>
        </w:tabs>
        <w:numPr>
          <w:ilvl w:val="0"/>
          <w:numId w:val="410"/>
        </w:numPr>
        <w:rPr>
          <w:rFonts w:ascii="Arial" w:cs="Arial" w:eastAsia="Arial" w:hAnsi="Arial"/>
          <w:sz w:val="19"/>
          <w:szCs w:val="19"/>
          <w:b w:val="1"/>
          <w:bCs w:val="1"/>
          <w:color w:val="auto"/>
        </w:rPr>
      </w:pPr>
      <w:r>
        <w:rPr>
          <w:rFonts w:ascii="Arial" w:cs="Arial" w:eastAsia="Arial" w:hAnsi="Arial"/>
          <w:sz w:val="19"/>
          <w:szCs w:val="19"/>
          <w:color w:val="auto"/>
        </w:rPr>
        <w:t>accelerate the vesting, in whole or in part, of the Stock Award (and, if applicable, the time at which the Stock Award may be exercised) to a date prior to the effective time of such Corporate Transaction as the Board shall determine (or, if the Board shall not determine such a date, to the date that is five (5) days prior to the effective date of the Corporate Transaction), with such Stock Award terminating if not exercised (if applicable) at or prior to the effective time of the Corporate Transaction;</w:t>
      </w:r>
    </w:p>
    <w:p>
      <w:pPr>
        <w:spacing w:after="0" w:line="142" w:lineRule="exact"/>
        <w:rPr>
          <w:rFonts w:ascii="Arial" w:cs="Arial" w:eastAsia="Arial" w:hAnsi="Arial"/>
          <w:sz w:val="19"/>
          <w:szCs w:val="19"/>
          <w:b w:val="1"/>
          <w:bCs w:val="1"/>
          <w:color w:val="auto"/>
        </w:rPr>
      </w:pPr>
    </w:p>
    <w:p>
      <w:pPr>
        <w:ind w:firstLine="1305"/>
        <w:spacing w:after="0" w:line="263" w:lineRule="auto"/>
        <w:tabs>
          <w:tab w:leader="none" w:pos="2257" w:val="left"/>
        </w:tabs>
        <w:numPr>
          <w:ilvl w:val="0"/>
          <w:numId w:val="410"/>
        </w:numPr>
        <w:rPr>
          <w:rFonts w:ascii="Arial" w:cs="Arial" w:eastAsia="Arial" w:hAnsi="Arial"/>
          <w:sz w:val="22"/>
          <w:szCs w:val="22"/>
          <w:b w:val="1"/>
          <w:bCs w:val="1"/>
          <w:color w:val="auto"/>
        </w:rPr>
      </w:pPr>
      <w:r>
        <w:rPr>
          <w:rFonts w:ascii="Arial" w:cs="Arial" w:eastAsia="Arial" w:hAnsi="Arial"/>
          <w:sz w:val="22"/>
          <w:szCs w:val="22"/>
          <w:color w:val="auto"/>
        </w:rPr>
        <w:t>arrange for the lapse of any reacquisition or repurchase rights held by the Company or any Affiliate with respect to the Stock Award;</w:t>
      </w:r>
    </w:p>
    <w:p>
      <w:pPr>
        <w:spacing w:after="0" w:line="174" w:lineRule="exact"/>
        <w:rPr>
          <w:rFonts w:ascii="Arial" w:cs="Arial" w:eastAsia="Arial" w:hAnsi="Arial"/>
          <w:sz w:val="22"/>
          <w:szCs w:val="22"/>
          <w:b w:val="1"/>
          <w:bCs w:val="1"/>
          <w:color w:val="auto"/>
        </w:rPr>
      </w:pPr>
    </w:p>
    <w:p>
      <w:pPr>
        <w:jc w:val="both"/>
        <w:ind w:firstLine="1305"/>
        <w:spacing w:after="0" w:line="253" w:lineRule="auto"/>
        <w:tabs>
          <w:tab w:leader="none" w:pos="2197" w:val="left"/>
        </w:tabs>
        <w:numPr>
          <w:ilvl w:val="0"/>
          <w:numId w:val="410"/>
        </w:numPr>
        <w:rPr>
          <w:rFonts w:ascii="Arial" w:cs="Arial" w:eastAsia="Arial" w:hAnsi="Arial"/>
          <w:sz w:val="22"/>
          <w:szCs w:val="22"/>
          <w:b w:val="1"/>
          <w:bCs w:val="1"/>
          <w:color w:val="auto"/>
        </w:rPr>
      </w:pPr>
      <w:r>
        <w:rPr>
          <w:rFonts w:ascii="Arial" w:cs="Arial" w:eastAsia="Arial" w:hAnsi="Arial"/>
          <w:sz w:val="22"/>
          <w:szCs w:val="22"/>
          <w:color w:val="auto"/>
        </w:rPr>
        <w:t>cancel or arrange for the cancellation of the Stock Award, to the extent not vested or not exercised prior to the effective time of the Corporate Transaction, in exchange for such cash consideration, if any, as the Board, in its sole discretion, may consider appropriate; or</w:t>
      </w:r>
    </w:p>
    <w:p>
      <w:pPr>
        <w:spacing w:after="0" w:line="185" w:lineRule="exact"/>
        <w:rPr>
          <w:rFonts w:ascii="Arial" w:cs="Arial" w:eastAsia="Arial" w:hAnsi="Arial"/>
          <w:sz w:val="22"/>
          <w:szCs w:val="22"/>
          <w:b w:val="1"/>
          <w:bCs w:val="1"/>
          <w:color w:val="auto"/>
        </w:rPr>
      </w:pPr>
    </w:p>
    <w:p>
      <w:pPr>
        <w:jc w:val="both"/>
        <w:ind w:firstLine="1305"/>
        <w:spacing w:after="0" w:line="253" w:lineRule="auto"/>
        <w:tabs>
          <w:tab w:leader="none" w:pos="2257" w:val="left"/>
        </w:tabs>
        <w:numPr>
          <w:ilvl w:val="0"/>
          <w:numId w:val="410"/>
        </w:numPr>
        <w:rPr>
          <w:rFonts w:ascii="Arial" w:cs="Arial" w:eastAsia="Arial" w:hAnsi="Arial"/>
          <w:sz w:val="22"/>
          <w:szCs w:val="22"/>
          <w:b w:val="1"/>
          <w:bCs w:val="1"/>
          <w:color w:val="auto"/>
        </w:rPr>
      </w:pPr>
      <w:r>
        <w:rPr>
          <w:rFonts w:ascii="Arial" w:cs="Arial" w:eastAsia="Arial" w:hAnsi="Arial"/>
          <w:sz w:val="22"/>
          <w:szCs w:val="22"/>
          <w:color w:val="auto"/>
        </w:rPr>
        <w:t>make a payment, in such form as may be determined by the Board equal to the excess, if any, of (A) the value of the property the Participant would have received upon the exercise of the Stock Award, over (B) any exercise price payable by such holder in connection with such exercise.</w:t>
      </w:r>
    </w:p>
    <w:p>
      <w:pPr>
        <w:spacing w:after="0" w:line="1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Board need not take the same action or actions with respect to all Stock Awards or portions thereof or with respect to all Participants.</w:t>
      </w:r>
    </w:p>
    <w:p>
      <w:pPr>
        <w:spacing w:after="0" w:line="169" w:lineRule="exact"/>
        <w:rPr>
          <w:sz w:val="20"/>
          <w:szCs w:val="20"/>
          <w:color w:val="auto"/>
        </w:rPr>
      </w:pPr>
    </w:p>
    <w:p>
      <w:pPr>
        <w:jc w:val="both"/>
        <w:ind w:firstLine="656"/>
        <w:spacing w:after="0" w:line="252" w:lineRule="auto"/>
        <w:tabs>
          <w:tab w:leader="none" w:pos="1561" w:val="left"/>
        </w:tabs>
        <w:numPr>
          <w:ilvl w:val="1"/>
          <w:numId w:val="4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A Stock Award may be subject to additional acceleration of vesting and exercisability upon</w:t>
      </w:r>
      <w:r>
        <w:rPr>
          <w:rFonts w:ascii="Arial" w:cs="Arial" w:eastAsia="Arial" w:hAnsi="Arial"/>
          <w:sz w:val="22"/>
          <w:szCs w:val="22"/>
          <w:b w:val="1"/>
          <w:bCs w:val="1"/>
          <w:color w:val="auto"/>
        </w:rPr>
        <w:t xml:space="preserve"> </w:t>
      </w:r>
      <w:r>
        <w:rPr>
          <w:rFonts w:ascii="Arial" w:cs="Arial" w:eastAsia="Arial" w:hAnsi="Arial"/>
          <w:sz w:val="22"/>
          <w:szCs w:val="22"/>
          <w:color w:val="auto"/>
        </w:rPr>
        <w:t>or after a Change in Control as may be provided in the Stock Award Agreement for such Stock Award or as may be provided in any other written agreement between the Company or any Affiliate and the Participant, but in the absence of such provision, no such acceleration shall occur.</w:t>
      </w:r>
    </w:p>
    <w:p>
      <w:pPr>
        <w:spacing w:after="0" w:line="180" w:lineRule="exact"/>
        <w:rPr>
          <w:rFonts w:ascii="Arial" w:cs="Arial" w:eastAsia="Arial" w:hAnsi="Arial"/>
          <w:sz w:val="22"/>
          <w:szCs w:val="22"/>
          <w:b w:val="1"/>
          <w:bCs w:val="1"/>
          <w:color w:val="auto"/>
        </w:rPr>
      </w:pPr>
    </w:p>
    <w:p>
      <w:pPr>
        <w:ind w:left="920" w:hanging="912"/>
        <w:spacing w:after="0"/>
        <w:tabs>
          <w:tab w:leader="none" w:pos="920" w:val="left"/>
        </w:tabs>
        <w:numPr>
          <w:ilvl w:val="0"/>
          <w:numId w:val="412"/>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or Suspension of the Plan.</w:t>
      </w:r>
    </w:p>
    <w:p>
      <w:pPr>
        <w:spacing w:after="0" w:line="219" w:lineRule="exact"/>
        <w:rPr>
          <w:rFonts w:ascii="Arial" w:cs="Arial" w:eastAsia="Arial" w:hAnsi="Arial"/>
          <w:sz w:val="22"/>
          <w:szCs w:val="22"/>
          <w:b w:val="1"/>
          <w:bCs w:val="1"/>
          <w:color w:val="auto"/>
        </w:rPr>
      </w:pPr>
    </w:p>
    <w:p>
      <w:pPr>
        <w:ind w:firstLine="656"/>
        <w:spacing w:after="0" w:line="350" w:lineRule="auto"/>
        <w:tabs>
          <w:tab w:leader="none" w:pos="1549" w:val="left"/>
        </w:tabs>
        <w:numPr>
          <w:ilvl w:val="1"/>
          <w:numId w:val="41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Plan Term. </w:t>
      </w:r>
      <w:r>
        <w:rPr>
          <w:rFonts w:ascii="Arial" w:cs="Arial" w:eastAsia="Arial" w:hAnsi="Arial"/>
          <w:sz w:val="19"/>
          <w:szCs w:val="19"/>
          <w:color w:val="auto"/>
        </w:rPr>
        <w:t>The Board may suspend or terminate the Plan at any time. No Incentive Stock Option will be granted</w:t>
      </w:r>
      <w:r>
        <w:rPr>
          <w:rFonts w:ascii="Arial" w:cs="Arial" w:eastAsia="Arial" w:hAnsi="Arial"/>
          <w:sz w:val="19"/>
          <w:szCs w:val="19"/>
          <w:b w:val="1"/>
          <w:bCs w:val="1"/>
          <w:color w:val="auto"/>
        </w:rPr>
        <w:t xml:space="preserve"> </w:t>
      </w:r>
      <w:r>
        <w:rPr>
          <w:rFonts w:ascii="Arial" w:cs="Arial" w:eastAsia="Arial" w:hAnsi="Arial"/>
          <w:sz w:val="19"/>
          <w:szCs w:val="19"/>
          <w:color w:val="auto"/>
        </w:rPr>
        <w:t>after October 24, 2021. No Awards may be granted under the Plan while the Plan is suspended or after it is terminated.</w:t>
      </w:r>
    </w:p>
    <w:p>
      <w:pPr>
        <w:spacing w:after="0" w:line="92" w:lineRule="exact"/>
        <w:rPr>
          <w:rFonts w:ascii="Arial" w:cs="Arial" w:eastAsia="Arial" w:hAnsi="Arial"/>
          <w:sz w:val="19"/>
          <w:szCs w:val="19"/>
          <w:b w:val="1"/>
          <w:bCs w:val="1"/>
          <w:color w:val="auto"/>
        </w:rPr>
      </w:pPr>
    </w:p>
    <w:p>
      <w:pPr>
        <w:ind w:firstLine="656"/>
        <w:spacing w:after="0" w:line="293" w:lineRule="auto"/>
        <w:tabs>
          <w:tab w:leader="none" w:pos="1561" w:val="left"/>
        </w:tabs>
        <w:numPr>
          <w:ilvl w:val="1"/>
          <w:numId w:val="41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Impairment of Rights. </w:t>
      </w:r>
      <w:r>
        <w:rPr>
          <w:rFonts w:ascii="Arial" w:cs="Arial" w:eastAsia="Arial" w:hAnsi="Arial"/>
          <w:sz w:val="21"/>
          <w:szCs w:val="21"/>
          <w:color w:val="auto"/>
        </w:rPr>
        <w:t>Suspension or termination of the Plan shall not impair rights and obligations under</w:t>
      </w:r>
      <w:r>
        <w:rPr>
          <w:rFonts w:ascii="Arial" w:cs="Arial" w:eastAsia="Arial" w:hAnsi="Arial"/>
          <w:sz w:val="21"/>
          <w:szCs w:val="21"/>
          <w:b w:val="1"/>
          <w:bCs w:val="1"/>
          <w:color w:val="auto"/>
        </w:rPr>
        <w:t xml:space="preserve"> </w:t>
      </w:r>
      <w:r>
        <w:rPr>
          <w:rFonts w:ascii="Arial" w:cs="Arial" w:eastAsia="Arial" w:hAnsi="Arial"/>
          <w:sz w:val="21"/>
          <w:szCs w:val="21"/>
          <w:color w:val="auto"/>
        </w:rPr>
        <w:t>any Award granted while the Plan is in effect except with the written consent of the affected Participant.</w:t>
      </w:r>
    </w:p>
    <w:p>
      <w:pPr>
        <w:spacing w:after="0" w:line="139" w:lineRule="exact"/>
        <w:rPr>
          <w:rFonts w:ascii="Arial" w:cs="Arial" w:eastAsia="Arial" w:hAnsi="Arial"/>
          <w:sz w:val="21"/>
          <w:szCs w:val="21"/>
          <w:b w:val="1"/>
          <w:bCs w:val="1"/>
          <w:color w:val="auto"/>
        </w:rPr>
      </w:pPr>
    </w:p>
    <w:p>
      <w:pPr>
        <w:ind w:left="920" w:hanging="912"/>
        <w:spacing w:after="0"/>
        <w:tabs>
          <w:tab w:leader="none" w:pos="920" w:val="left"/>
        </w:tabs>
        <w:numPr>
          <w:ilvl w:val="0"/>
          <w:numId w:val="412"/>
        </w:numPr>
        <w:rPr>
          <w:rFonts w:ascii="Arial" w:cs="Arial" w:eastAsia="Arial" w:hAnsi="Arial"/>
          <w:sz w:val="22"/>
          <w:szCs w:val="22"/>
          <w:b w:val="1"/>
          <w:bCs w:val="1"/>
          <w:color w:val="auto"/>
        </w:rPr>
      </w:pPr>
      <w:r>
        <w:rPr>
          <w:rFonts w:ascii="Arial" w:cs="Arial" w:eastAsia="Arial" w:hAnsi="Arial"/>
          <w:sz w:val="22"/>
          <w:szCs w:val="22"/>
          <w:b w:val="1"/>
          <w:bCs w:val="1"/>
          <w:color w:val="auto"/>
        </w:rPr>
        <w:t>Effective Date of Plan.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Plan shall become effective on the Effective Date.</w:t>
      </w:r>
    </w:p>
    <w:p>
      <w:pPr>
        <w:spacing w:after="0" w:line="200" w:lineRule="exact"/>
        <w:rPr>
          <w:sz w:val="20"/>
          <w:szCs w:val="20"/>
          <w:color w:val="auto"/>
        </w:rPr>
      </w:pPr>
    </w:p>
    <w:p>
      <w:pPr>
        <w:spacing w:after="0" w:line="263"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847" w:right="239" w:bottom="1440" w:gutter="0" w:footer="0" w:header="0"/>
        </w:sectPr>
      </w:pPr>
    </w:p>
    <w:bookmarkStart w:id="424" w:name="page425"/>
    <w:bookmarkEnd w:id="424"/>
    <w:p>
      <w:pPr>
        <w:ind w:left="920" w:hanging="912"/>
        <w:spacing w:after="0"/>
        <w:tabs>
          <w:tab w:leader="none" w:pos="920" w:val="left"/>
        </w:tabs>
        <w:numPr>
          <w:ilvl w:val="0"/>
          <w:numId w:val="413"/>
        </w:numPr>
        <w:rPr>
          <w:rFonts w:ascii="Arial" w:cs="Arial" w:eastAsia="Arial" w:hAnsi="Arial"/>
          <w:sz w:val="22"/>
          <w:szCs w:val="22"/>
          <w:b w:val="1"/>
          <w:bCs w:val="1"/>
          <w:color w:val="auto"/>
        </w:rPr>
      </w:pPr>
      <w:r>
        <w:rPr>
          <w:rFonts w:ascii="Arial" w:cs="Arial" w:eastAsia="Arial" w:hAnsi="Arial"/>
          <w:sz w:val="22"/>
          <w:szCs w:val="22"/>
          <w:b w:val="1"/>
          <w:bCs w:val="1"/>
          <w:color w:val="auto"/>
        </w:rPr>
        <w:t>Choice of Law.</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laws of the State of Delaware shall govern all questions concerning the construction, validity and interpretation of this Plan, without regard to that state’s conflict of laws rules.</w:t>
      </w:r>
    </w:p>
    <w:p>
      <w:pPr>
        <w:spacing w:after="0" w:line="169" w:lineRule="exact"/>
        <w:rPr>
          <w:sz w:val="20"/>
          <w:szCs w:val="20"/>
          <w:color w:val="auto"/>
        </w:rPr>
      </w:pPr>
    </w:p>
    <w:p>
      <w:pPr>
        <w:ind w:left="920" w:hanging="912"/>
        <w:spacing w:after="0"/>
        <w:tabs>
          <w:tab w:leader="none" w:pos="920" w:val="left"/>
        </w:tabs>
        <w:numPr>
          <w:ilvl w:val="0"/>
          <w:numId w:val="41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Definitions. </w:t>
      </w:r>
      <w:r>
        <w:rPr>
          <w:rFonts w:ascii="Arial" w:cs="Arial" w:eastAsia="Arial" w:hAnsi="Arial"/>
          <w:sz w:val="21"/>
          <w:szCs w:val="21"/>
          <w:color w:val="auto"/>
        </w:rPr>
        <w:t>As used in the Plan, the following definitions shall apply to the capitalized terms indicated below:</w:t>
      </w:r>
    </w:p>
    <w:p>
      <w:pPr>
        <w:spacing w:after="0" w:line="237" w:lineRule="exact"/>
        <w:rPr>
          <w:rFonts w:ascii="Arial" w:cs="Arial" w:eastAsia="Arial" w:hAnsi="Arial"/>
          <w:sz w:val="21"/>
          <w:szCs w:val="21"/>
          <w:b w:val="1"/>
          <w:bCs w:val="1"/>
          <w:color w:val="auto"/>
        </w:rPr>
      </w:pPr>
    </w:p>
    <w:p>
      <w:pPr>
        <w:jc w:val="both"/>
        <w:ind w:firstLine="656"/>
        <w:spacing w:after="0" w:line="253" w:lineRule="auto"/>
        <w:tabs>
          <w:tab w:leader="none" w:pos="1549" w:val="left"/>
        </w:tabs>
        <w:numPr>
          <w:ilvl w:val="1"/>
          <w:numId w:val="41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means, at the time of determination, any “parent” or “subsidiary” of the Company as such terms are defined in Rule 405 promulgated under the Securities Act. The Board shall have the authority to determine the time or times at which “parent” or “subsidiary” status is determined within the foregoing definition.</w:t>
      </w:r>
    </w:p>
    <w:p>
      <w:pPr>
        <w:spacing w:after="0" w:line="185" w:lineRule="exact"/>
        <w:rPr>
          <w:rFonts w:ascii="Arial" w:cs="Arial" w:eastAsia="Arial" w:hAnsi="Arial"/>
          <w:sz w:val="22"/>
          <w:szCs w:val="22"/>
          <w:b w:val="1"/>
          <w:bCs w:val="1"/>
          <w:color w:val="auto"/>
        </w:rPr>
      </w:pPr>
    </w:p>
    <w:p>
      <w:pPr>
        <w:ind w:left="1560" w:hanging="904"/>
        <w:spacing w:after="0"/>
        <w:tabs>
          <w:tab w:leader="none" w:pos="1560" w:val="left"/>
        </w:tabs>
        <w:numPr>
          <w:ilvl w:val="1"/>
          <w:numId w:val="41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means a Stock Award or a Performance Cash Award.</w:t>
      </w:r>
    </w:p>
    <w:p>
      <w:pPr>
        <w:spacing w:after="0" w:line="219" w:lineRule="exact"/>
        <w:rPr>
          <w:rFonts w:ascii="Arial" w:cs="Arial" w:eastAsia="Arial" w:hAnsi="Arial"/>
          <w:sz w:val="22"/>
          <w:szCs w:val="22"/>
          <w:b w:val="1"/>
          <w:bCs w:val="1"/>
          <w:color w:val="auto"/>
        </w:rPr>
      </w:pPr>
    </w:p>
    <w:p>
      <w:pPr>
        <w:ind w:right="20" w:firstLine="656"/>
        <w:spacing w:after="0" w:line="263" w:lineRule="auto"/>
        <w:tabs>
          <w:tab w:leader="none" w:pos="1536" w:val="left"/>
        </w:tabs>
        <w:numPr>
          <w:ilvl w:val="1"/>
          <w:numId w:val="41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 means a written agreement between the Company and a Participant evidencing the terms and conditions of an Award.</w:t>
      </w:r>
    </w:p>
    <w:p>
      <w:pPr>
        <w:spacing w:after="0" w:line="174" w:lineRule="exact"/>
        <w:rPr>
          <w:rFonts w:ascii="Arial" w:cs="Arial" w:eastAsia="Arial" w:hAnsi="Arial"/>
          <w:sz w:val="22"/>
          <w:szCs w:val="22"/>
          <w:b w:val="1"/>
          <w:bCs w:val="1"/>
          <w:color w:val="auto"/>
        </w:rPr>
      </w:pPr>
    </w:p>
    <w:p>
      <w:pPr>
        <w:ind w:left="1560" w:hanging="904"/>
        <w:spacing w:after="0"/>
        <w:tabs>
          <w:tab w:leader="none" w:pos="1560" w:val="left"/>
        </w:tabs>
        <w:numPr>
          <w:ilvl w:val="1"/>
          <w:numId w:val="41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19" w:lineRule="exact"/>
        <w:rPr>
          <w:rFonts w:ascii="Arial" w:cs="Arial" w:eastAsia="Arial" w:hAnsi="Arial"/>
          <w:sz w:val="22"/>
          <w:szCs w:val="22"/>
          <w:b w:val="1"/>
          <w:bCs w:val="1"/>
          <w:color w:val="auto"/>
        </w:rPr>
      </w:pPr>
    </w:p>
    <w:p>
      <w:pPr>
        <w:jc w:val="both"/>
        <w:ind w:firstLine="656"/>
        <w:spacing w:after="0" w:line="259" w:lineRule="auto"/>
        <w:tabs>
          <w:tab w:leader="none" w:pos="1536" w:val="left"/>
        </w:tabs>
        <w:numPr>
          <w:ilvl w:val="1"/>
          <w:numId w:val="414"/>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Capitalization Adjustment</w:t>
      </w:r>
      <w:r>
        <w:rPr>
          <w:rFonts w:ascii="Arial" w:cs="Arial" w:eastAsia="Arial" w:hAnsi="Arial"/>
          <w:sz w:val="21"/>
          <w:szCs w:val="21"/>
          <w:color w:val="auto"/>
        </w:rPr>
        <w:t>” means any change that is made in, or other events that occur with respect to, the Ordinary Shares subject to the Plan or subject to any Stock Award after the Effective Date without the receipt of consideration by the Company through merger, consolidation, reorganization, recapitalization, reincorporation, share dividend, dividend in property other than cash, large nonrecurring cash dividend, share split, liquidating dividend, combination of shares, exchange of shares, change in corporate structure or any similar equity restructuring transaction, as that term is used in Financial Accounting Standards Board Accounting Standards Codification Topic 718 (or any successor thereto), including, for the avoidance of doubt, capitalization of profits or reserves, capital distribution, rights issue, the conversion of one class of share to another or reduction of capital or otherwise. Notwithstanding the foregoing, the conversion of any convertible securities of the Company shall not be treated as a Capitalization Adjustment.</w:t>
      </w:r>
    </w:p>
    <w:p>
      <w:pPr>
        <w:spacing w:after="0" w:line="180" w:lineRule="exact"/>
        <w:rPr>
          <w:rFonts w:ascii="Arial" w:cs="Arial" w:eastAsia="Arial" w:hAnsi="Arial"/>
          <w:sz w:val="21"/>
          <w:szCs w:val="21"/>
          <w:b w:val="1"/>
          <w:bCs w:val="1"/>
          <w:color w:val="auto"/>
        </w:rPr>
      </w:pPr>
    </w:p>
    <w:p>
      <w:pPr>
        <w:jc w:val="both"/>
        <w:ind w:firstLine="656"/>
        <w:spacing w:after="0" w:line="286" w:lineRule="auto"/>
        <w:tabs>
          <w:tab w:leader="none" w:pos="1512" w:val="left"/>
        </w:tabs>
        <w:numPr>
          <w:ilvl w:val="1"/>
          <w:numId w:val="41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shall have the meaning ascribed to such term in any written agreement between the Participant and the Company or an Affiliate defining such term and, in the absence of such agreement, such term shall mean, with respect to a Participant, the occurrence of any of the following events that has a material negative impact on the business or reputation of the Company or an Affiliate: (i) such Participant’s commission of any felony or any crime involving fraud, dishonesty or moral turpitude under the laws of the United States or any state thereof; (ii) such Participant’s attempted commission of, or participation in, a fraud or act of dishonesty against the Company or an Affiliate; (iii) such Participant’s intentional, material violation of any contract or agreement between the Participant and the Company or an Affiliate or of any statutory duty owed to the Company or an Affiliate; (iv) such Participant’s unauthorized use or disclosure of the Company’s or an Affiliate’s confidential information or trade secrets; or (v) such Participant’s gross misconduct. The determination that a termination of the Participant’s Continuous Service is either for Cause or without Cause shall be made by the Company (or an Affiliate, if applicable) in its sole discretion. Any determination by the Company (or an Affiliate, if applicable) that the Continuous Service of a Participant was terminated with or without Cause for the purposes of outstanding Awards held by such Participant shall have no effect upon any determination of the rights or obligations of the Company or Affiliate or such Participant for any other purpose.</w:t>
      </w:r>
    </w:p>
    <w:p>
      <w:pPr>
        <w:spacing w:after="0" w:line="167" w:lineRule="exact"/>
        <w:rPr>
          <w:rFonts w:ascii="Arial" w:cs="Arial" w:eastAsia="Arial" w:hAnsi="Arial"/>
          <w:sz w:val="19"/>
          <w:szCs w:val="19"/>
          <w:b w:val="1"/>
          <w:bCs w:val="1"/>
          <w:color w:val="auto"/>
        </w:rPr>
      </w:pPr>
    </w:p>
    <w:p>
      <w:pPr>
        <w:ind w:firstLine="656"/>
        <w:spacing w:after="0" w:line="263" w:lineRule="auto"/>
        <w:tabs>
          <w:tab w:leader="none" w:pos="1549" w:val="left"/>
        </w:tabs>
        <w:numPr>
          <w:ilvl w:val="1"/>
          <w:numId w:val="41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 the occurrence, in a single transaction or in a series of related transactions, of any one or more of the following events:</w:t>
      </w:r>
    </w:p>
    <w:p>
      <w:pPr>
        <w:spacing w:after="0" w:line="200" w:lineRule="exact"/>
        <w:rPr>
          <w:sz w:val="20"/>
          <w:szCs w:val="20"/>
          <w:color w:val="auto"/>
        </w:rPr>
      </w:pPr>
    </w:p>
    <w:p>
      <w:pPr>
        <w:spacing w:after="0" w:line="218"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842" w:right="239" w:bottom="1440" w:gutter="0" w:footer="0" w:header="0"/>
        </w:sectPr>
      </w:pPr>
    </w:p>
    <w:bookmarkStart w:id="425" w:name="page426"/>
    <w:bookmarkEnd w:id="425"/>
    <w:p>
      <w:pPr>
        <w:jc w:val="both"/>
        <w:ind w:firstLine="1305"/>
        <w:spacing w:after="0" w:line="287" w:lineRule="auto"/>
        <w:tabs>
          <w:tab w:leader="none" w:pos="2149" w:val="left"/>
        </w:tabs>
        <w:numPr>
          <w:ilvl w:val="0"/>
          <w:numId w:val="415"/>
        </w:numPr>
        <w:rPr>
          <w:rFonts w:ascii="Arial" w:cs="Arial" w:eastAsia="Arial" w:hAnsi="Arial"/>
          <w:sz w:val="19"/>
          <w:szCs w:val="19"/>
          <w:b w:val="1"/>
          <w:bCs w:val="1"/>
          <w:color w:val="auto"/>
        </w:rPr>
      </w:pPr>
      <w:r>
        <w:rPr>
          <w:rFonts w:ascii="Arial" w:cs="Arial" w:eastAsia="Arial" w:hAnsi="Arial"/>
          <w:sz w:val="19"/>
          <w:szCs w:val="19"/>
          <w:color w:val="auto"/>
        </w:rPr>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(B) solely because the level of Ownership held by any Exchange Act Person (the “</w:t>
      </w:r>
      <w:r>
        <w:rPr>
          <w:rFonts w:ascii="Arial" w:cs="Arial" w:eastAsia="Arial" w:hAnsi="Arial"/>
          <w:sz w:val="19"/>
          <w:szCs w:val="19"/>
          <w:b w:val="1"/>
          <w:bCs w:val="1"/>
          <w:i w:val="1"/>
          <w:iCs w:val="1"/>
          <w:color w:val="auto"/>
        </w:rPr>
        <w:t>Subject Person</w:t>
      </w:r>
      <w:r>
        <w:rPr>
          <w:rFonts w:ascii="Arial" w:cs="Arial" w:eastAsia="Arial" w:hAnsi="Arial"/>
          <w:sz w:val="19"/>
          <w:szCs w:val="19"/>
          <w:color w:val="auto"/>
        </w:rPr>
        <w:t>”) exceeds the designated percentage threshold of the outstanding voting securities as a result of a repurchase or other acquisition of voting securities by the Company or any Affiliate reducing the number of shares outstanding, provided that if a Change in Control would occur (but for the operation of this sentence) as a result of the acquisition of voting securities by the Company or any Affiliate,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200" w:lineRule="exact"/>
        <w:rPr>
          <w:rFonts w:ascii="Arial" w:cs="Arial" w:eastAsia="Arial" w:hAnsi="Arial"/>
          <w:sz w:val="19"/>
          <w:szCs w:val="19"/>
          <w:b w:val="1"/>
          <w:bCs w:val="1"/>
          <w:color w:val="auto"/>
        </w:rPr>
      </w:pPr>
    </w:p>
    <w:p>
      <w:pPr>
        <w:spacing w:after="0" w:line="216" w:lineRule="exact"/>
        <w:rPr>
          <w:rFonts w:ascii="Arial" w:cs="Arial" w:eastAsia="Arial" w:hAnsi="Arial"/>
          <w:sz w:val="19"/>
          <w:szCs w:val="19"/>
          <w:b w:val="1"/>
          <w:bCs w:val="1"/>
          <w:color w:val="auto"/>
        </w:rPr>
      </w:pPr>
    </w:p>
    <w:p>
      <w:pPr>
        <w:jc w:val="both"/>
        <w:ind w:firstLine="1305"/>
        <w:spacing w:after="0" w:line="292" w:lineRule="auto"/>
        <w:tabs>
          <w:tab w:leader="none" w:pos="2209" w:val="left"/>
        </w:tabs>
        <w:numPr>
          <w:ilvl w:val="0"/>
          <w:numId w:val="415"/>
        </w:numPr>
        <w:rPr>
          <w:rFonts w:ascii="Arial" w:cs="Arial" w:eastAsia="Arial" w:hAnsi="Arial"/>
          <w:sz w:val="19"/>
          <w:szCs w:val="19"/>
          <w:b w:val="1"/>
          <w:bCs w:val="1"/>
          <w:color w:val="auto"/>
        </w:rPr>
      </w:pPr>
      <w:r>
        <w:rPr>
          <w:rFonts w:ascii="Arial" w:cs="Arial" w:eastAsia="Arial" w:hAnsi="Arial"/>
          <w:sz w:val="19"/>
          <w:szCs w:val="19"/>
          <w:color w:val="auto"/>
        </w:rPr>
        <w:t>there is consummated a merger, consolidation or similar transaction involving (directly or indirectly) the Company and, immediately after the consummation of such merger, consolidation or similar transaction, the shareholders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51" w:lineRule="exact"/>
        <w:rPr>
          <w:rFonts w:ascii="Arial" w:cs="Arial" w:eastAsia="Arial" w:hAnsi="Arial"/>
          <w:sz w:val="19"/>
          <w:szCs w:val="19"/>
          <w:b w:val="1"/>
          <w:bCs w:val="1"/>
          <w:color w:val="auto"/>
        </w:rPr>
      </w:pPr>
    </w:p>
    <w:p>
      <w:pPr>
        <w:jc w:val="both"/>
        <w:ind w:firstLine="1305"/>
        <w:spacing w:after="0" w:line="253" w:lineRule="auto"/>
        <w:tabs>
          <w:tab w:leader="none" w:pos="2269" w:val="left"/>
        </w:tabs>
        <w:numPr>
          <w:ilvl w:val="0"/>
          <w:numId w:val="415"/>
        </w:numPr>
        <w:rPr>
          <w:rFonts w:ascii="Arial" w:cs="Arial" w:eastAsia="Arial" w:hAnsi="Arial"/>
          <w:sz w:val="22"/>
          <w:szCs w:val="22"/>
          <w:b w:val="1"/>
          <w:bCs w:val="1"/>
          <w:color w:val="auto"/>
        </w:rPr>
      </w:pPr>
      <w:r>
        <w:rPr>
          <w:rFonts w:ascii="Arial" w:cs="Arial" w:eastAsia="Arial" w:hAnsi="Arial"/>
          <w:sz w:val="22"/>
          <w:szCs w:val="22"/>
          <w:color w:val="auto"/>
        </w:rPr>
        <w:t>the shareholders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85" w:lineRule="exact"/>
        <w:rPr>
          <w:rFonts w:ascii="Arial" w:cs="Arial" w:eastAsia="Arial" w:hAnsi="Arial"/>
          <w:sz w:val="22"/>
          <w:szCs w:val="22"/>
          <w:b w:val="1"/>
          <w:bCs w:val="1"/>
          <w:color w:val="auto"/>
        </w:rPr>
      </w:pPr>
    </w:p>
    <w:p>
      <w:pPr>
        <w:jc w:val="both"/>
        <w:ind w:firstLine="1305"/>
        <w:spacing w:after="0" w:line="247" w:lineRule="auto"/>
        <w:tabs>
          <w:tab w:leader="none" w:pos="2257" w:val="left"/>
        </w:tabs>
        <w:numPr>
          <w:ilvl w:val="0"/>
          <w:numId w:val="415"/>
        </w:numPr>
        <w:rPr>
          <w:rFonts w:ascii="Arial" w:cs="Arial" w:eastAsia="Arial" w:hAnsi="Arial"/>
          <w:sz w:val="22"/>
          <w:szCs w:val="22"/>
          <w:b w:val="1"/>
          <w:bCs w:val="1"/>
          <w:color w:val="auto"/>
        </w:rPr>
      </w:pPr>
      <w:r>
        <w:rPr>
          <w:rFonts w:ascii="Arial" w:cs="Arial" w:eastAsia="Arial" w:hAnsi="Arial"/>
          <w:sz w:val="22"/>
          <w:szCs w:val="22"/>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 outstanding voting securities of the Company immediately prior to such sale, lease, license or other disposition; or</w:t>
      </w:r>
    </w:p>
    <w:p>
      <w:pPr>
        <w:spacing w:after="0" w:line="193" w:lineRule="exact"/>
        <w:rPr>
          <w:rFonts w:ascii="Arial" w:cs="Arial" w:eastAsia="Arial" w:hAnsi="Arial"/>
          <w:sz w:val="22"/>
          <w:szCs w:val="22"/>
          <w:b w:val="1"/>
          <w:bCs w:val="1"/>
          <w:color w:val="auto"/>
        </w:rPr>
      </w:pPr>
    </w:p>
    <w:p>
      <w:pPr>
        <w:jc w:val="both"/>
        <w:ind w:firstLine="1305"/>
        <w:spacing w:after="0" w:line="248" w:lineRule="auto"/>
        <w:tabs>
          <w:tab w:leader="none" w:pos="2197" w:val="left"/>
        </w:tabs>
        <w:numPr>
          <w:ilvl w:val="0"/>
          <w:numId w:val="415"/>
        </w:numPr>
        <w:rPr>
          <w:rFonts w:ascii="Arial" w:cs="Arial" w:eastAsia="Arial" w:hAnsi="Arial"/>
          <w:sz w:val="22"/>
          <w:szCs w:val="22"/>
          <w:b w:val="1"/>
          <w:bCs w:val="1"/>
          <w:color w:val="auto"/>
        </w:rPr>
      </w:pPr>
      <w:r>
        <w:rPr>
          <w:rFonts w:ascii="Arial" w:cs="Arial" w:eastAsia="Arial" w:hAnsi="Arial"/>
          <w:sz w:val="22"/>
          <w:szCs w:val="22"/>
          <w:color w:val="auto"/>
        </w:rPr>
        <w:t>individuals who, on the date the Plan is adopted by the Board, are members of the Board (the “</w:t>
      </w:r>
      <w:r>
        <w:rPr>
          <w:rFonts w:ascii="Arial" w:cs="Arial" w:eastAsia="Arial" w:hAnsi="Arial"/>
          <w:sz w:val="22"/>
          <w:szCs w:val="22"/>
          <w:b w:val="1"/>
          <w:bCs w:val="1"/>
          <w:i w:val="1"/>
          <w:iCs w:val="1"/>
          <w:color w:val="auto"/>
        </w:rPr>
        <w:t>Incumbent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cease for any reason to constitute at least a majority of the members of the Board;</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appointment or election (or nomination for election) of any new Board member was approved or recommended by a majority vote of the members of the Incumbent Board then still in office, such new member shall, for purposes of the Plan, be considered as a member of the Incumbent Board.</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the avoidance of doubt, any one or more of the above events may be effected pursuant to (A) a compromise or arrangement sanctioned by the court under section 201 of the Companies Act 1963 of the Republic of Ireland or (B) section 204 of the Companies Act 1963 of the Republic of Ireland.</w:t>
      </w:r>
    </w:p>
    <w:p>
      <w:pPr>
        <w:spacing w:after="0" w:line="200" w:lineRule="exact"/>
        <w:rPr>
          <w:sz w:val="20"/>
          <w:szCs w:val="20"/>
          <w:color w:val="auto"/>
        </w:rPr>
      </w:pPr>
    </w:p>
    <w:p>
      <w:pPr>
        <w:spacing w:after="0" w:line="229"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847" w:right="239" w:bottom="1440" w:gutter="0" w:footer="0" w:header="0"/>
        </w:sectPr>
      </w:pPr>
    </w:p>
    <w:bookmarkStart w:id="426" w:name="page427"/>
    <w:bookmarkEnd w:id="426"/>
    <w:p>
      <w:pPr>
        <w:jc w:val="both"/>
        <w:ind w:firstLine="648"/>
        <w:spacing w:after="0" w:line="286" w:lineRule="auto"/>
        <w:rPr>
          <w:sz w:val="20"/>
          <w:szCs w:val="20"/>
          <w:color w:val="auto"/>
        </w:rPr>
      </w:pPr>
      <w:r>
        <w:rPr>
          <w:rFonts w:ascii="Arial" w:cs="Arial" w:eastAsia="Arial" w:hAnsi="Arial"/>
          <w:sz w:val="19"/>
          <w:szCs w:val="19"/>
          <w:color w:val="auto"/>
        </w:rPr>
        <w:t xml:space="preserve">Notwithstanding the foregoing or any other provision of this Plan, (A) the term Change in Control shall not include (1) a sale of assets, merger or other transaction effected exclusively for the purpose of changing the domicile of the Company or (2) unless the Board determines otherwise, the creation of a new holding company where the Company becomes a wholly-owned subsidiary of that holding company and the holding company will be owned in substantially the same proportions by the persons who held the Company’s issued shares immediately before such transaction, in which case Stock Awards granted hereunder will be treated as if they were in all respects awards over shares in the holding company but so that (i) the new award shall vest in the same manner as the Stock Award, (ii) the total market value of the new shares subject to the new award shall, immediately after such reorganization, be equal to the total market value of the Ordinary Shares comprised in the Stock Award immediately prior to such reorganization, (iii) the new award shall be subject to performance conditions that shall be at least equivalent (as determined by the Board) to the Performance Goals, if any, attaching to the Stock Award, (iv) the new shares shall have the same rights attaching thereto as the Ordinary Shares, and (v) the new award shall be deemed to have been granted as at the date of grant of the Stock Award, and (B) the definition of Change in Control (or any analogous term) in an individual written agreement between the Company or any Affiliate and the Participant shall supersede the foregoing definition with respect to Awards subject to such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no definition of Change in Control or any analogous term is set forth in such an individual written agreement, the foregoing definition shall apply.</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Board may, in its sole discretion and without a Participant’s consent, amend the definition of “Change in Control” to conform to the definition of “Change in Control” under Section 409A of the Code, and the regulations thereunder.</w:t>
      </w:r>
    </w:p>
    <w:p>
      <w:pPr>
        <w:spacing w:after="0" w:line="105" w:lineRule="exact"/>
        <w:rPr>
          <w:sz w:val="20"/>
          <w:szCs w:val="20"/>
          <w:color w:val="auto"/>
        </w:rPr>
      </w:pPr>
    </w:p>
    <w:p>
      <w:pPr>
        <w:ind w:firstLine="656"/>
        <w:spacing w:after="0" w:line="263" w:lineRule="auto"/>
        <w:tabs>
          <w:tab w:leader="none" w:pos="1561" w:val="left"/>
        </w:tabs>
        <w:numPr>
          <w:ilvl w:val="0"/>
          <w:numId w:val="41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 including any applicable regulations and guidance thereunder.</w:t>
      </w:r>
    </w:p>
    <w:p>
      <w:pPr>
        <w:spacing w:after="0" w:line="174" w:lineRule="exact"/>
        <w:rPr>
          <w:rFonts w:ascii="Arial" w:cs="Arial" w:eastAsia="Arial" w:hAnsi="Arial"/>
          <w:sz w:val="22"/>
          <w:szCs w:val="22"/>
          <w:b w:val="1"/>
          <w:bCs w:val="1"/>
          <w:color w:val="auto"/>
        </w:rPr>
      </w:pPr>
    </w:p>
    <w:p>
      <w:pPr>
        <w:ind w:firstLine="656"/>
        <w:spacing w:after="0" w:line="263" w:lineRule="auto"/>
        <w:tabs>
          <w:tab w:leader="none" w:pos="1500" w:val="left"/>
        </w:tabs>
        <w:numPr>
          <w:ilvl w:val="0"/>
          <w:numId w:val="41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means a committee of one (1) or more Directors to whom authority has been delegated by the Board in accordance with Section 2(c).</w:t>
      </w:r>
    </w:p>
    <w:p>
      <w:pPr>
        <w:spacing w:after="0" w:line="174" w:lineRule="exact"/>
        <w:rPr>
          <w:rFonts w:ascii="Arial" w:cs="Arial" w:eastAsia="Arial" w:hAnsi="Arial"/>
          <w:sz w:val="22"/>
          <w:szCs w:val="22"/>
          <w:b w:val="1"/>
          <w:bCs w:val="1"/>
          <w:color w:val="auto"/>
        </w:rPr>
      </w:pPr>
    </w:p>
    <w:p>
      <w:pPr>
        <w:ind w:left="1520" w:hanging="864"/>
        <w:spacing w:after="0"/>
        <w:tabs>
          <w:tab w:leader="none" w:pos="1520" w:val="left"/>
        </w:tabs>
        <w:numPr>
          <w:ilvl w:val="0"/>
          <w:numId w:val="41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Jazz Pharmaceuticals plc, a company formed under the laws of Ireland.</w:t>
      </w:r>
    </w:p>
    <w:p>
      <w:pPr>
        <w:spacing w:after="0" w:line="219" w:lineRule="exact"/>
        <w:rPr>
          <w:rFonts w:ascii="Arial" w:cs="Arial" w:eastAsia="Arial" w:hAnsi="Arial"/>
          <w:sz w:val="22"/>
          <w:szCs w:val="22"/>
          <w:b w:val="1"/>
          <w:bCs w:val="1"/>
          <w:color w:val="auto"/>
        </w:rPr>
      </w:pPr>
    </w:p>
    <w:p>
      <w:pPr>
        <w:jc w:val="both"/>
        <w:ind w:firstLine="656"/>
        <w:spacing w:after="0" w:line="261" w:lineRule="auto"/>
        <w:tabs>
          <w:tab w:leader="none" w:pos="1561" w:val="left"/>
        </w:tabs>
        <w:numPr>
          <w:ilvl w:val="0"/>
          <w:numId w:val="416"/>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Consultant</w:t>
      </w:r>
      <w:r>
        <w:rPr>
          <w:rFonts w:ascii="Arial" w:cs="Arial" w:eastAsia="Arial" w:hAnsi="Arial"/>
          <w:sz w:val="21"/>
          <w:szCs w:val="21"/>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80" w:lineRule="exact"/>
        <w:rPr>
          <w:rFonts w:ascii="Arial" w:cs="Arial" w:eastAsia="Arial" w:hAnsi="Arial"/>
          <w:sz w:val="21"/>
          <w:szCs w:val="21"/>
          <w:b w:val="1"/>
          <w:bCs w:val="1"/>
          <w:color w:val="auto"/>
        </w:rPr>
      </w:pPr>
    </w:p>
    <w:p>
      <w:pPr>
        <w:jc w:val="both"/>
        <w:ind w:firstLine="656"/>
        <w:spacing w:after="0" w:line="258" w:lineRule="auto"/>
        <w:tabs>
          <w:tab w:leader="none" w:pos="1500" w:val="left"/>
        </w:tabs>
        <w:numPr>
          <w:ilvl w:val="0"/>
          <w:numId w:val="416"/>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Continuous Service</w:t>
      </w:r>
      <w:r>
        <w:rPr>
          <w:rFonts w:ascii="Arial" w:cs="Arial" w:eastAsia="Arial" w:hAnsi="Arial"/>
          <w:sz w:val="21"/>
          <w:szCs w:val="21"/>
          <w:color w:val="auto"/>
        </w:rPr>
        <w:t xml:space="preserve">” means that the Participant’s service with the Company or an Affiliate, whether as an Employee, Director or Consultant, is not interrupted or terminated. Except as provided in the following sentence,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shall not terminate a Participant’s Continuous Service; </w:t>
      </w:r>
      <w:r>
        <w:rPr>
          <w:rFonts w:ascii="Arial" w:cs="Arial" w:eastAsia="Arial" w:hAnsi="Arial"/>
          <w:sz w:val="21"/>
          <w:szCs w:val="21"/>
          <w:i w:val="1"/>
          <w:iCs w:val="1"/>
          <w:color w:val="auto"/>
        </w:rPr>
        <w:t>provided, however</w:t>
      </w:r>
      <w:r>
        <w:rPr>
          <w:rFonts w:ascii="Arial" w:cs="Arial" w:eastAsia="Arial" w:hAnsi="Arial"/>
          <w:sz w:val="21"/>
          <w:szCs w:val="21"/>
          <w:color w:val="auto"/>
        </w:rPr>
        <w:t>, if the Entity for which a Participant is rendering services ceases to qualify as an Affiliate, as determined by the Board in its sole discretion, such Participant’s Continuous Service shall be considered to have terminated on the date such Entity ceases to qualify as an Affiliate. Notwithstanding the foregoing, unless the Board or the Compensation Committee of the Board agrees otherwise in writing, in the event a Participant’s service as an Employee or Consultant terminates and upon such termination, the only capacity in which the Participant</w:t>
      </w:r>
    </w:p>
    <w:p>
      <w:pPr>
        <w:spacing w:after="0" w:line="200" w:lineRule="exact"/>
        <w:rPr>
          <w:sz w:val="20"/>
          <w:szCs w:val="20"/>
          <w:color w:val="auto"/>
        </w:rPr>
      </w:pPr>
    </w:p>
    <w:p>
      <w:pPr>
        <w:spacing w:after="0" w:line="229"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847" w:right="239" w:bottom="1440" w:gutter="0" w:footer="0" w:header="0"/>
        </w:sectPr>
      </w:pPr>
    </w:p>
    <w:bookmarkStart w:id="427" w:name="page428"/>
    <w:bookmarkEnd w:id="427"/>
    <w:p>
      <w:pPr>
        <w:jc w:val="both"/>
        <w:spacing w:after="0" w:line="288" w:lineRule="auto"/>
        <w:rPr>
          <w:sz w:val="20"/>
          <w:szCs w:val="20"/>
          <w:color w:val="auto"/>
        </w:rPr>
      </w:pPr>
      <w:r>
        <w:rPr>
          <w:rFonts w:ascii="Arial" w:cs="Arial" w:eastAsia="Arial" w:hAnsi="Arial"/>
          <w:sz w:val="19"/>
          <w:szCs w:val="19"/>
          <w:color w:val="auto"/>
        </w:rPr>
        <w:t>continues to render service to the Company is as a Director, then such Participant’s Continuous Service shall be considered to have terminated on the date of such termination of employment or termination of service as a Consultant, as the case may be, and regardless of whether such Participant continues to render service to the Company as a Director following such termination. To the extent permitted by law, the Board or the chief executive officer of the Company (or an Affiliate, if applicable), in that party’s sole discretion, may determine whether Continuous Service shall be considered interrupted in the case of: (i) any leave of absence approved by the Board or the chief executive officer of the Company (or an Affiliate, if applicable), including sick leave, military leave or any other personal leave; or (ii) transfers between the Company, an Affiliate, or their successors. Notwithstanding the foregoing, a leave of absence shall be treated as Continuous Service for purposes of vesting in a Stock Award only to such extent as may be provided in the Company’s (or Affiliate’s, if applicable) leave of absence policy, in the written terms of any leave of absence agreement or policy applicable to the Participant, or as otherwise required by law.</w:t>
      </w:r>
    </w:p>
    <w:p>
      <w:pPr>
        <w:spacing w:after="0" w:line="160" w:lineRule="exact"/>
        <w:rPr>
          <w:sz w:val="20"/>
          <w:szCs w:val="20"/>
          <w:color w:val="auto"/>
        </w:rPr>
      </w:pPr>
    </w:p>
    <w:p>
      <w:pPr>
        <w:ind w:firstLine="656"/>
        <w:spacing w:after="0" w:line="263" w:lineRule="auto"/>
        <w:tabs>
          <w:tab w:leader="none" w:pos="1620" w:val="left"/>
        </w:tabs>
        <w:numPr>
          <w:ilvl w:val="0"/>
          <w:numId w:val="417"/>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Corporate Transaction</w:t>
      </w:r>
      <w:r>
        <w:rPr>
          <w:rFonts w:ascii="Arial" w:cs="Arial" w:eastAsia="Arial" w:hAnsi="Arial"/>
          <w:sz w:val="22"/>
          <w:szCs w:val="22"/>
          <w:color w:val="auto"/>
        </w:rPr>
        <w:t>” means the consummation, in a single transaction or in a series of related transactions, of any one or more of the following events:</w:t>
      </w:r>
    </w:p>
    <w:p>
      <w:pPr>
        <w:spacing w:after="0" w:line="174" w:lineRule="exact"/>
        <w:rPr>
          <w:rFonts w:ascii="Arial" w:cs="Arial" w:eastAsia="Arial" w:hAnsi="Arial"/>
          <w:sz w:val="22"/>
          <w:szCs w:val="22"/>
          <w:b w:val="1"/>
          <w:bCs w:val="1"/>
          <w:color w:val="auto"/>
        </w:rPr>
      </w:pPr>
    </w:p>
    <w:p>
      <w:pPr>
        <w:ind w:firstLine="1305"/>
        <w:spacing w:after="0" w:line="263" w:lineRule="auto"/>
        <w:tabs>
          <w:tab w:leader="none" w:pos="2149" w:val="left"/>
        </w:tabs>
        <w:numPr>
          <w:ilvl w:val="1"/>
          <w:numId w:val="417"/>
        </w:numPr>
        <w:rPr>
          <w:rFonts w:ascii="Arial" w:cs="Arial" w:eastAsia="Arial" w:hAnsi="Arial"/>
          <w:sz w:val="22"/>
          <w:szCs w:val="22"/>
          <w:b w:val="1"/>
          <w:bCs w:val="1"/>
          <w:color w:val="auto"/>
        </w:rPr>
      </w:pPr>
      <w:r>
        <w:rPr>
          <w:rFonts w:ascii="Arial" w:cs="Arial" w:eastAsia="Arial" w:hAnsi="Arial"/>
          <w:sz w:val="22"/>
          <w:szCs w:val="22"/>
          <w:color w:val="auto"/>
        </w:rPr>
        <w:t>a sale or other disposition of all or substantially all, as determined by the Board, in its sole discretion, of the consolidated assets of the Company and its Subsidiaries;</w:t>
      </w:r>
    </w:p>
    <w:p>
      <w:pPr>
        <w:spacing w:after="0" w:line="174" w:lineRule="exact"/>
        <w:rPr>
          <w:rFonts w:ascii="Arial" w:cs="Arial" w:eastAsia="Arial" w:hAnsi="Arial"/>
          <w:sz w:val="22"/>
          <w:szCs w:val="22"/>
          <w:b w:val="1"/>
          <w:bCs w:val="1"/>
          <w:color w:val="auto"/>
        </w:rPr>
      </w:pPr>
    </w:p>
    <w:p>
      <w:pPr>
        <w:ind w:left="2220" w:hanging="915"/>
        <w:spacing w:after="0"/>
        <w:tabs>
          <w:tab w:leader="none" w:pos="2220" w:val="left"/>
        </w:tabs>
        <w:numPr>
          <w:ilvl w:val="1"/>
          <w:numId w:val="417"/>
        </w:numPr>
        <w:rPr>
          <w:rFonts w:ascii="Arial" w:cs="Arial" w:eastAsia="Arial" w:hAnsi="Arial"/>
          <w:sz w:val="19"/>
          <w:szCs w:val="19"/>
          <w:b w:val="1"/>
          <w:bCs w:val="1"/>
          <w:color w:val="auto"/>
        </w:rPr>
      </w:pPr>
      <w:r>
        <w:rPr>
          <w:rFonts w:ascii="Arial" w:cs="Arial" w:eastAsia="Arial" w:hAnsi="Arial"/>
          <w:sz w:val="19"/>
          <w:szCs w:val="19"/>
          <w:color w:val="auto"/>
        </w:rPr>
        <w:t>a sale or other disposition of at least ninety percent (90%) of the outstanding securities of the Company;</w:t>
      </w:r>
    </w:p>
    <w:p>
      <w:pPr>
        <w:spacing w:after="0" w:line="254" w:lineRule="exact"/>
        <w:rPr>
          <w:rFonts w:ascii="Arial" w:cs="Arial" w:eastAsia="Arial" w:hAnsi="Arial"/>
          <w:sz w:val="19"/>
          <w:szCs w:val="19"/>
          <w:b w:val="1"/>
          <w:bCs w:val="1"/>
          <w:color w:val="auto"/>
        </w:rPr>
      </w:pPr>
    </w:p>
    <w:p>
      <w:pPr>
        <w:ind w:left="2280" w:hanging="975"/>
        <w:spacing w:after="0"/>
        <w:tabs>
          <w:tab w:leader="none" w:pos="2280" w:val="left"/>
        </w:tabs>
        <w:numPr>
          <w:ilvl w:val="1"/>
          <w:numId w:val="417"/>
        </w:numPr>
        <w:rPr>
          <w:rFonts w:ascii="Arial" w:cs="Arial" w:eastAsia="Arial" w:hAnsi="Arial"/>
          <w:sz w:val="21"/>
          <w:szCs w:val="21"/>
          <w:b w:val="1"/>
          <w:bCs w:val="1"/>
          <w:color w:val="auto"/>
        </w:rPr>
      </w:pPr>
      <w:r>
        <w:rPr>
          <w:rFonts w:ascii="Arial" w:cs="Arial" w:eastAsia="Arial" w:hAnsi="Arial"/>
          <w:sz w:val="21"/>
          <w:szCs w:val="21"/>
          <w:color w:val="auto"/>
        </w:rPr>
        <w:t>a merger, consolidation or similar transaction following which the Company is not the surviving</w:t>
      </w:r>
    </w:p>
    <w:p>
      <w:pPr>
        <w:spacing w:after="0" w:line="33"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corporation; or</w:t>
      </w:r>
    </w:p>
    <w:p>
      <w:pPr>
        <w:spacing w:after="0" w:line="201" w:lineRule="exact"/>
        <w:rPr>
          <w:rFonts w:ascii="Arial" w:cs="Arial" w:eastAsia="Arial" w:hAnsi="Arial"/>
          <w:sz w:val="21"/>
          <w:szCs w:val="21"/>
          <w:b w:val="1"/>
          <w:bCs w:val="1"/>
          <w:color w:val="auto"/>
        </w:rPr>
      </w:pPr>
    </w:p>
    <w:p>
      <w:pPr>
        <w:jc w:val="both"/>
        <w:ind w:firstLine="1305"/>
        <w:spacing w:after="0" w:line="250" w:lineRule="auto"/>
        <w:tabs>
          <w:tab w:leader="none" w:pos="2257" w:val="left"/>
        </w:tabs>
        <w:numPr>
          <w:ilvl w:val="1"/>
          <w:numId w:val="417"/>
        </w:numPr>
        <w:rPr>
          <w:rFonts w:ascii="Arial" w:cs="Arial" w:eastAsia="Arial" w:hAnsi="Arial"/>
          <w:sz w:val="22"/>
          <w:szCs w:val="22"/>
          <w:b w:val="1"/>
          <w:bCs w:val="1"/>
          <w:color w:val="auto"/>
        </w:rPr>
      </w:pPr>
      <w:r>
        <w:rPr>
          <w:rFonts w:ascii="Arial" w:cs="Arial" w:eastAsia="Arial" w:hAnsi="Arial"/>
          <w:sz w:val="22"/>
          <w:szCs w:val="22"/>
          <w:color w:val="auto"/>
        </w:rPr>
        <w:t>a merger, consolidation or similar transaction following which the Company is the surviving corporation but the Ordinary Shares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the avoidance of doubt, any one or more of the above events may be effected pursuant to (A) a compromise or arrangement sanctioned by the court under section 201 of the Companies Act 1963 of the Republic of Ireland or (B) section 204 of the Companies Act 1963 of the Republic of Ireland.</w:t>
      </w:r>
    </w:p>
    <w:p>
      <w:pPr>
        <w:spacing w:after="0" w:line="18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Notwithstanding the foregoing or any other provision of this Plan, unless the Board determines otherwise, the term Corporate Transaction shall not include the creation of a new holding company where the Company becomes a wholly-owned subsidiary of that holding company and the holding company will be owned in substantially the same proportions by the persons who held the Company’s issued shares immediately before such transaction (in which case Stock Awards granted hereunder will be treated as set out in the second paragraph after part (v) of the definition of Change in Control above).</w:t>
      </w:r>
    </w:p>
    <w:p>
      <w:pPr>
        <w:spacing w:after="0" w:line="147" w:lineRule="exact"/>
        <w:rPr>
          <w:sz w:val="20"/>
          <w:szCs w:val="20"/>
          <w:color w:val="auto"/>
        </w:rPr>
      </w:pPr>
    </w:p>
    <w:p>
      <w:pPr>
        <w:ind w:left="1560" w:hanging="904"/>
        <w:spacing w:after="0"/>
        <w:tabs>
          <w:tab w:leader="none" w:pos="1560" w:val="left"/>
        </w:tabs>
        <w:numPr>
          <w:ilvl w:val="0"/>
          <w:numId w:val="41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Covered Employee</w:t>
      </w:r>
      <w:r>
        <w:rPr>
          <w:rFonts w:ascii="Arial" w:cs="Arial" w:eastAsia="Arial" w:hAnsi="Arial"/>
          <w:sz w:val="22"/>
          <w:szCs w:val="22"/>
          <w:color w:val="auto"/>
        </w:rPr>
        <w:t>” shall have the meaning provided in Section 162(m)(3) of the Code.</w:t>
      </w:r>
    </w:p>
    <w:p>
      <w:pPr>
        <w:spacing w:after="0" w:line="219" w:lineRule="exact"/>
        <w:rPr>
          <w:rFonts w:ascii="Arial" w:cs="Arial" w:eastAsia="Arial" w:hAnsi="Arial"/>
          <w:sz w:val="22"/>
          <w:szCs w:val="22"/>
          <w:b w:val="1"/>
          <w:bCs w:val="1"/>
          <w:color w:val="auto"/>
        </w:rPr>
      </w:pPr>
    </w:p>
    <w:p>
      <w:pPr>
        <w:ind w:left="1560" w:hanging="904"/>
        <w:spacing w:after="0"/>
        <w:tabs>
          <w:tab w:leader="none" w:pos="1560" w:val="left"/>
        </w:tabs>
        <w:numPr>
          <w:ilvl w:val="0"/>
          <w:numId w:val="41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19" w:lineRule="exact"/>
        <w:rPr>
          <w:rFonts w:ascii="Arial" w:cs="Arial" w:eastAsia="Arial" w:hAnsi="Arial"/>
          <w:sz w:val="22"/>
          <w:szCs w:val="22"/>
          <w:b w:val="1"/>
          <w:bCs w:val="1"/>
          <w:color w:val="auto"/>
        </w:rPr>
      </w:pPr>
    </w:p>
    <w:p>
      <w:pPr>
        <w:jc w:val="both"/>
        <w:ind w:firstLine="656"/>
        <w:spacing w:after="0" w:line="248" w:lineRule="auto"/>
        <w:tabs>
          <w:tab w:leader="none" w:pos="1561" w:val="left"/>
        </w:tabs>
        <w:numPr>
          <w:ilvl w:val="0"/>
          <w:numId w:val="41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with respect to a Participant, the inability of such Participant to engage in any substantial gainful activity by reason of any medically determinable physical or mental impairment which can be expected to result in death or which has lasted or can be expected to last for a continuous period of not less than twelve (12) months, as provided in Sections 22(e)(3) and 409A(a)(2)(c)(i) of the Code, and shall be determined by the Board on the basis of such medical evidence as the Board deems warranted under the circumstances.</w:t>
      </w:r>
    </w:p>
    <w:p>
      <w:pPr>
        <w:spacing w:after="0" w:line="200" w:lineRule="exact"/>
        <w:rPr>
          <w:sz w:val="20"/>
          <w:szCs w:val="20"/>
          <w:color w:val="auto"/>
        </w:rPr>
      </w:pPr>
    </w:p>
    <w:p>
      <w:pPr>
        <w:spacing w:after="0" w:line="235"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847" w:right="239" w:bottom="1440" w:gutter="0" w:footer="0" w:header="0"/>
        </w:sectPr>
      </w:pPr>
    </w:p>
    <w:bookmarkStart w:id="428" w:name="page429"/>
    <w:bookmarkEnd w:id="428"/>
    <w:p>
      <w:pPr>
        <w:jc w:val="both"/>
        <w:ind w:left="-656" w:firstLine="656"/>
        <w:spacing w:after="0" w:line="265" w:lineRule="auto"/>
        <w:tabs>
          <w:tab w:leader="none" w:pos="904" w:val="left"/>
        </w:tabs>
        <w:numPr>
          <w:ilvl w:val="0"/>
          <w:numId w:val="419"/>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means the effective date of this Plan document, which is January 18, 2012, which is immediately prior to the effective time of the merger between Jazz Pharmaceuticals, Inc. and Azur Pharma Public Limited Company pursuant to the Agreement and Plan of Merger and Reorganization dated September 19, 2011, provided that the Plan is approved by the stockholders of the Company prior to such merger and such merger is consummated.</w:t>
      </w:r>
    </w:p>
    <w:p>
      <w:pPr>
        <w:spacing w:after="0" w:line="175" w:lineRule="exact"/>
        <w:rPr>
          <w:rFonts w:ascii="Arial" w:cs="Arial" w:eastAsia="Arial" w:hAnsi="Arial"/>
          <w:sz w:val="21"/>
          <w:szCs w:val="21"/>
          <w:b w:val="1"/>
          <w:bCs w:val="1"/>
          <w:color w:val="auto"/>
        </w:rPr>
      </w:pPr>
    </w:p>
    <w:p>
      <w:pPr>
        <w:ind w:left="-656" w:right="20" w:firstLine="656"/>
        <w:spacing w:after="0" w:line="343" w:lineRule="auto"/>
        <w:tabs>
          <w:tab w:leader="none" w:pos="880" w:val="left"/>
        </w:tabs>
        <w:numPr>
          <w:ilvl w:val="0"/>
          <w:numId w:val="419"/>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employed by the Company or an Affiliate. However, service solely as a Director, or payment of a fee for such services, shall not cause a Director to be considered an “Employee” for purposes of the Plan.</w:t>
      </w:r>
    </w:p>
    <w:p>
      <w:pPr>
        <w:spacing w:after="0" w:line="104" w:lineRule="exact"/>
        <w:rPr>
          <w:rFonts w:ascii="Arial" w:cs="Arial" w:eastAsia="Arial" w:hAnsi="Arial"/>
          <w:sz w:val="19"/>
          <w:szCs w:val="19"/>
          <w:b w:val="1"/>
          <w:bCs w:val="1"/>
          <w:color w:val="auto"/>
        </w:rPr>
      </w:pPr>
    </w:p>
    <w:p>
      <w:pPr>
        <w:ind w:left="884" w:hanging="884"/>
        <w:spacing w:after="0"/>
        <w:tabs>
          <w:tab w:leader="none" w:pos="884" w:val="left"/>
        </w:tabs>
        <w:numPr>
          <w:ilvl w:val="0"/>
          <w:numId w:val="41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19" w:lineRule="exact"/>
        <w:rPr>
          <w:rFonts w:ascii="Arial" w:cs="Arial" w:eastAsia="Arial" w:hAnsi="Arial"/>
          <w:sz w:val="22"/>
          <w:szCs w:val="22"/>
          <w:b w:val="1"/>
          <w:bCs w:val="1"/>
          <w:color w:val="auto"/>
        </w:rPr>
      </w:pPr>
    </w:p>
    <w:p>
      <w:pPr>
        <w:ind w:left="-656" w:right="20" w:firstLine="656"/>
        <w:spacing w:after="0" w:line="263" w:lineRule="auto"/>
        <w:tabs>
          <w:tab w:leader="none" w:pos="856" w:val="left"/>
        </w:tabs>
        <w:numPr>
          <w:ilvl w:val="0"/>
          <w:numId w:val="41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74" w:lineRule="exact"/>
        <w:rPr>
          <w:rFonts w:ascii="Arial" w:cs="Arial" w:eastAsia="Arial" w:hAnsi="Arial"/>
          <w:sz w:val="22"/>
          <w:szCs w:val="22"/>
          <w:b w:val="1"/>
          <w:bCs w:val="1"/>
          <w:color w:val="auto"/>
        </w:rPr>
      </w:pPr>
    </w:p>
    <w:p>
      <w:pPr>
        <w:jc w:val="both"/>
        <w:ind w:left="-656" w:firstLine="656"/>
        <w:spacing w:after="0" w:line="259" w:lineRule="auto"/>
        <w:tabs>
          <w:tab w:leader="none" w:pos="904" w:val="left"/>
        </w:tabs>
        <w:numPr>
          <w:ilvl w:val="0"/>
          <w:numId w:val="419"/>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Exchange Act Person</w:t>
      </w:r>
      <w:r>
        <w:rPr>
          <w:rFonts w:ascii="Arial" w:cs="Arial" w:eastAsia="Arial" w:hAnsi="Arial"/>
          <w:sz w:val="21"/>
          <w:szCs w:val="21"/>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shareholders of the Company in substantially the same proportions as their Ownership of shares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80" w:lineRule="exact"/>
        <w:rPr>
          <w:rFonts w:ascii="Arial" w:cs="Arial" w:eastAsia="Arial" w:hAnsi="Arial"/>
          <w:sz w:val="21"/>
          <w:szCs w:val="21"/>
          <w:b w:val="1"/>
          <w:bCs w:val="1"/>
          <w:color w:val="auto"/>
        </w:rPr>
      </w:pPr>
    </w:p>
    <w:p>
      <w:pPr>
        <w:ind w:left="904" w:hanging="904"/>
        <w:spacing w:after="0"/>
        <w:tabs>
          <w:tab w:leader="none" w:pos="904" w:val="left"/>
        </w:tabs>
        <w:numPr>
          <w:ilvl w:val="0"/>
          <w:numId w:val="41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means, as of any date, the value of the Ordinary Shares determined as follows:</w:t>
      </w:r>
    </w:p>
    <w:p>
      <w:pPr>
        <w:spacing w:after="0" w:line="219" w:lineRule="exact"/>
        <w:rPr>
          <w:rFonts w:ascii="Arial" w:cs="Arial" w:eastAsia="Arial" w:hAnsi="Arial"/>
          <w:sz w:val="22"/>
          <w:szCs w:val="22"/>
          <w:b w:val="1"/>
          <w:bCs w:val="1"/>
          <w:color w:val="auto"/>
        </w:rPr>
      </w:pPr>
    </w:p>
    <w:p>
      <w:pPr>
        <w:jc w:val="both"/>
        <w:ind w:left="-656" w:firstLine="1305"/>
        <w:spacing w:after="0" w:line="250" w:lineRule="auto"/>
        <w:tabs>
          <w:tab w:leader="none" w:pos="1492" w:val="left"/>
        </w:tabs>
        <w:numPr>
          <w:ilvl w:val="2"/>
          <w:numId w:val="419"/>
        </w:numPr>
        <w:rPr>
          <w:rFonts w:ascii="Arial" w:cs="Arial" w:eastAsia="Arial" w:hAnsi="Arial"/>
          <w:sz w:val="22"/>
          <w:szCs w:val="22"/>
          <w:b w:val="1"/>
          <w:bCs w:val="1"/>
          <w:color w:val="auto"/>
        </w:rPr>
      </w:pPr>
      <w:r>
        <w:rPr>
          <w:rFonts w:ascii="Arial" w:cs="Arial" w:eastAsia="Arial" w:hAnsi="Arial"/>
          <w:sz w:val="22"/>
          <w:szCs w:val="22"/>
          <w:color w:val="auto"/>
        </w:rPr>
        <w:t>If the Ordinary Shares are listed on any established stock exchange or traded on any established market, the Fair Market Value of an Ordinary Share shall be the closing sales price for such Ordinary Share as quoted on such exchange or market (or the exchange or market with the greatest volume of trading in the Ordinary Shares) on the date of determination, as reported in a source the Board deems reliable.</w:t>
      </w:r>
    </w:p>
    <w:p>
      <w:pPr>
        <w:spacing w:after="0" w:line="188" w:lineRule="exact"/>
        <w:rPr>
          <w:rFonts w:ascii="Arial" w:cs="Arial" w:eastAsia="Arial" w:hAnsi="Arial"/>
          <w:sz w:val="22"/>
          <w:szCs w:val="22"/>
          <w:b w:val="1"/>
          <w:bCs w:val="1"/>
          <w:color w:val="auto"/>
        </w:rPr>
      </w:pPr>
    </w:p>
    <w:p>
      <w:pPr>
        <w:jc w:val="both"/>
        <w:ind w:left="-656" w:firstLine="1305"/>
        <w:spacing w:after="0" w:line="253" w:lineRule="auto"/>
        <w:tabs>
          <w:tab w:leader="none" w:pos="1553" w:val="left"/>
        </w:tabs>
        <w:numPr>
          <w:ilvl w:val="2"/>
          <w:numId w:val="419"/>
        </w:numPr>
        <w:rPr>
          <w:rFonts w:ascii="Arial" w:cs="Arial" w:eastAsia="Arial" w:hAnsi="Arial"/>
          <w:sz w:val="22"/>
          <w:szCs w:val="22"/>
          <w:b w:val="1"/>
          <w:bCs w:val="1"/>
          <w:color w:val="auto"/>
        </w:rPr>
      </w:pPr>
      <w:r>
        <w:rPr>
          <w:rFonts w:ascii="Arial" w:cs="Arial" w:eastAsia="Arial" w:hAnsi="Arial"/>
          <w:sz w:val="22"/>
          <w:szCs w:val="22"/>
          <w:color w:val="auto"/>
        </w:rPr>
        <w:t>Unless otherwise provided by the Board, if there is no closing sales price for the Ordinary Shares on the date of determination, then the Fair Market Value shall be the closing selling price on the last preceding date for which such quotation exists.</w:t>
      </w:r>
    </w:p>
    <w:p>
      <w:pPr>
        <w:spacing w:after="0" w:line="185" w:lineRule="exact"/>
        <w:rPr>
          <w:rFonts w:ascii="Arial" w:cs="Arial" w:eastAsia="Arial" w:hAnsi="Arial"/>
          <w:sz w:val="22"/>
          <w:szCs w:val="22"/>
          <w:b w:val="1"/>
          <w:bCs w:val="1"/>
          <w:color w:val="auto"/>
        </w:rPr>
      </w:pPr>
    </w:p>
    <w:p>
      <w:pPr>
        <w:ind w:left="-656" w:right="20" w:firstLine="1305"/>
        <w:spacing w:after="0" w:line="263" w:lineRule="auto"/>
        <w:tabs>
          <w:tab w:leader="none" w:pos="1613" w:val="left"/>
        </w:tabs>
        <w:numPr>
          <w:ilvl w:val="2"/>
          <w:numId w:val="419"/>
        </w:numPr>
        <w:rPr>
          <w:rFonts w:ascii="Arial" w:cs="Arial" w:eastAsia="Arial" w:hAnsi="Arial"/>
          <w:sz w:val="22"/>
          <w:szCs w:val="22"/>
          <w:b w:val="1"/>
          <w:bCs w:val="1"/>
          <w:color w:val="auto"/>
        </w:rPr>
      </w:pPr>
      <w:r>
        <w:rPr>
          <w:rFonts w:ascii="Arial" w:cs="Arial" w:eastAsia="Arial" w:hAnsi="Arial"/>
          <w:sz w:val="22"/>
          <w:szCs w:val="22"/>
          <w:color w:val="auto"/>
        </w:rPr>
        <w:t>In the absence of such markets for the Ordinary Shares, the Fair Market Value shall be determined by the Board in good faith and in a manner that complies with Sections 409A and 422 of the Code.</w:t>
      </w:r>
    </w:p>
    <w:p>
      <w:pPr>
        <w:spacing w:after="0" w:line="174" w:lineRule="exact"/>
        <w:rPr>
          <w:rFonts w:ascii="Arial" w:cs="Arial" w:eastAsia="Arial" w:hAnsi="Arial"/>
          <w:sz w:val="22"/>
          <w:szCs w:val="22"/>
          <w:b w:val="1"/>
          <w:bCs w:val="1"/>
          <w:color w:val="auto"/>
        </w:rPr>
      </w:pPr>
    </w:p>
    <w:p>
      <w:pPr>
        <w:ind w:left="-656" w:firstLine="818"/>
        <w:spacing w:after="0" w:line="263" w:lineRule="auto"/>
        <w:tabs>
          <w:tab w:leader="none" w:pos="940" w:val="left"/>
        </w:tabs>
        <w:numPr>
          <w:ilvl w:val="1"/>
          <w:numId w:val="41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Incentive Stock Option</w:t>
      </w:r>
      <w:r>
        <w:rPr>
          <w:rFonts w:ascii="Arial" w:cs="Arial" w:eastAsia="Arial" w:hAnsi="Arial"/>
          <w:sz w:val="22"/>
          <w:szCs w:val="22"/>
          <w:color w:val="auto"/>
        </w:rPr>
        <w:t>” means an option granted pursuant to Section 5 of the Plan that is intended to be, and qualifies as, an “incentive stock option” within the meaning of Section 422 of the Code.</w:t>
      </w:r>
    </w:p>
    <w:p>
      <w:pPr>
        <w:spacing w:after="0" w:line="174" w:lineRule="exact"/>
        <w:rPr>
          <w:rFonts w:ascii="Arial" w:cs="Arial" w:eastAsia="Arial" w:hAnsi="Arial"/>
          <w:sz w:val="22"/>
          <w:szCs w:val="22"/>
          <w:b w:val="1"/>
          <w:bCs w:val="1"/>
          <w:color w:val="auto"/>
        </w:rPr>
      </w:pPr>
    </w:p>
    <w:p>
      <w:pPr>
        <w:jc w:val="both"/>
        <w:ind w:left="-656" w:firstLine="818"/>
        <w:spacing w:after="0" w:line="248" w:lineRule="auto"/>
        <w:tabs>
          <w:tab w:leader="none" w:pos="892" w:val="left"/>
        </w:tabs>
        <w:numPr>
          <w:ilvl w:val="1"/>
          <w:numId w:val="41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Non-Employee Director</w:t>
      </w:r>
      <w:r>
        <w:rPr>
          <w:rFonts w:ascii="Arial" w:cs="Arial" w:eastAsia="Arial" w:hAnsi="Arial"/>
          <w:sz w:val="22"/>
          <w:szCs w:val="22"/>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22"/>
          <w:szCs w:val="22"/>
          <w:b w:val="1"/>
          <w:bCs w:val="1"/>
          <w:i w:val="1"/>
          <w:iCs w:val="1"/>
          <w:color w:val="auto"/>
        </w:rPr>
        <w:t>Regulation S-K</w:t>
      </w:r>
      <w:r>
        <w:rPr>
          <w:rFonts w:ascii="Arial" w:cs="Arial" w:eastAsia="Arial" w:hAnsi="Arial"/>
          <w:sz w:val="22"/>
          <w:szCs w:val="22"/>
          <w:color w:val="auto"/>
        </w:rPr>
        <w:t>”)), does not possess an interest in any other transaction for</w:t>
      </w:r>
    </w:p>
    <w:p>
      <w:pPr>
        <w:spacing w:after="0" w:line="200" w:lineRule="exact"/>
        <w:rPr>
          <w:sz w:val="20"/>
          <w:szCs w:val="20"/>
          <w:color w:val="auto"/>
        </w:rPr>
      </w:pPr>
    </w:p>
    <w:p>
      <w:pPr>
        <w:spacing w:after="0" w:line="235" w:lineRule="exact"/>
        <w:rPr>
          <w:sz w:val="20"/>
          <w:szCs w:val="20"/>
          <w:color w:val="auto"/>
        </w:rPr>
      </w:pPr>
    </w:p>
    <w:p>
      <w:pPr>
        <w:ind w:left="5244"/>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764"/>
          </w:cols>
          <w:pgMar w:left="896" w:top="847" w:right="239" w:bottom="1440" w:gutter="0" w:footer="0" w:header="0"/>
        </w:sectPr>
      </w:pPr>
    </w:p>
    <w:bookmarkStart w:id="429" w:name="page430"/>
    <w:bookmarkEnd w:id="429"/>
    <w:p>
      <w:pPr>
        <w:jc w:val="both"/>
        <w:spacing w:after="0" w:line="253" w:lineRule="auto"/>
        <w:rPr>
          <w:sz w:val="20"/>
          <w:szCs w:val="20"/>
          <w:color w:val="auto"/>
        </w:rPr>
      </w:pPr>
      <w:r>
        <w:rPr>
          <w:rFonts w:ascii="Arial" w:cs="Arial" w:eastAsia="Arial" w:hAnsi="Arial"/>
          <w:sz w:val="22"/>
          <w:szCs w:val="22"/>
          <w:color w:val="auto"/>
        </w:rPr>
        <w:t>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86" w:lineRule="exact"/>
        <w:rPr>
          <w:sz w:val="20"/>
          <w:szCs w:val="20"/>
          <w:color w:val="auto"/>
        </w:rPr>
      </w:pPr>
    </w:p>
    <w:p>
      <w:pPr>
        <w:ind w:firstLine="656"/>
        <w:spacing w:after="0" w:line="263" w:lineRule="auto"/>
        <w:tabs>
          <w:tab w:leader="none" w:pos="1549" w:val="left"/>
        </w:tabs>
        <w:numPr>
          <w:ilvl w:val="0"/>
          <w:numId w:val="42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Stock Option</w:t>
      </w:r>
      <w:r>
        <w:rPr>
          <w:rFonts w:ascii="Arial" w:cs="Arial" w:eastAsia="Arial" w:hAnsi="Arial"/>
          <w:sz w:val="22"/>
          <w:szCs w:val="22"/>
          <w:color w:val="auto"/>
        </w:rPr>
        <w:t>” means any option granted pursuant to Section 5 of the Plan that does not qualify as an Incentive Stock Option.</w:t>
      </w:r>
    </w:p>
    <w:p>
      <w:pPr>
        <w:spacing w:after="0" w:line="174" w:lineRule="exact"/>
        <w:rPr>
          <w:rFonts w:ascii="Arial" w:cs="Arial" w:eastAsia="Arial" w:hAnsi="Arial"/>
          <w:sz w:val="22"/>
          <w:szCs w:val="22"/>
          <w:b w:val="1"/>
          <w:bCs w:val="1"/>
          <w:color w:val="auto"/>
        </w:rPr>
      </w:pPr>
    </w:p>
    <w:p>
      <w:pPr>
        <w:ind w:left="1540" w:hanging="884"/>
        <w:spacing w:after="0"/>
        <w:tabs>
          <w:tab w:leader="none" w:pos="1540" w:val="left"/>
        </w:tabs>
        <w:numPr>
          <w:ilvl w:val="0"/>
          <w:numId w:val="420"/>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w:t>
      </w:r>
    </w:p>
    <w:p>
      <w:pPr>
        <w:spacing w:after="0" w:line="56"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Act.</w:t>
      </w:r>
    </w:p>
    <w:p>
      <w:pPr>
        <w:spacing w:after="0" w:line="202" w:lineRule="exact"/>
        <w:rPr>
          <w:sz w:val="20"/>
          <w:szCs w:val="20"/>
          <w:color w:val="auto"/>
        </w:rPr>
      </w:pPr>
    </w:p>
    <w:p>
      <w:pPr>
        <w:ind w:right="20" w:firstLine="656"/>
        <w:spacing w:after="0" w:line="263" w:lineRule="auto"/>
        <w:tabs>
          <w:tab w:leader="none" w:pos="1319" w:val="left"/>
        </w:tabs>
        <w:numPr>
          <w:ilvl w:val="0"/>
          <w:numId w:val="42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means an Incentive Stock Option or a Nonstatutory Stock Option to purchase Ordinary Shares granted pursuant to the Plan.</w:t>
      </w:r>
    </w:p>
    <w:p>
      <w:pPr>
        <w:spacing w:after="0" w:line="174" w:lineRule="exact"/>
        <w:rPr>
          <w:rFonts w:ascii="Arial" w:cs="Arial" w:eastAsia="Arial" w:hAnsi="Arial"/>
          <w:sz w:val="22"/>
          <w:szCs w:val="22"/>
          <w:b w:val="1"/>
          <w:bCs w:val="1"/>
          <w:color w:val="auto"/>
        </w:rPr>
      </w:pPr>
    </w:p>
    <w:p>
      <w:pPr>
        <w:ind w:firstLine="656"/>
        <w:spacing w:after="0" w:line="287" w:lineRule="auto"/>
        <w:tabs>
          <w:tab w:leader="none" w:pos="1303" w:val="left"/>
        </w:tabs>
        <w:numPr>
          <w:ilvl w:val="0"/>
          <w:numId w:val="421"/>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Option Agreement</w:t>
      </w:r>
      <w:r>
        <w:rPr>
          <w:rFonts w:ascii="Arial" w:cs="Arial" w:eastAsia="Arial" w:hAnsi="Arial"/>
          <w:sz w:val="21"/>
          <w:szCs w:val="21"/>
          <w:color w:val="auto"/>
        </w:rPr>
        <w:t>” means a written agreement between the Company and an Optionholder evidencing the terms and conditions of an Option grant. Each Option Agreement shall be subject to the terms and conditions of the Plan.</w:t>
      </w:r>
    </w:p>
    <w:p>
      <w:pPr>
        <w:spacing w:after="0" w:line="151" w:lineRule="exact"/>
        <w:rPr>
          <w:rFonts w:ascii="Arial" w:cs="Arial" w:eastAsia="Arial" w:hAnsi="Arial"/>
          <w:sz w:val="21"/>
          <w:szCs w:val="21"/>
          <w:b w:val="1"/>
          <w:bCs w:val="1"/>
          <w:color w:val="auto"/>
        </w:rPr>
      </w:pPr>
    </w:p>
    <w:p>
      <w:pPr>
        <w:ind w:firstLine="656"/>
        <w:spacing w:after="0" w:line="263" w:lineRule="auto"/>
        <w:tabs>
          <w:tab w:leader="none" w:pos="1200" w:val="left"/>
        </w:tabs>
        <w:numPr>
          <w:ilvl w:val="0"/>
          <w:numId w:val="42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Optionholder</w:t>
      </w:r>
      <w:r>
        <w:rPr>
          <w:rFonts w:ascii="Arial" w:cs="Arial" w:eastAsia="Arial" w:hAnsi="Arial"/>
          <w:sz w:val="22"/>
          <w:szCs w:val="22"/>
          <w:color w:val="auto"/>
        </w:rPr>
        <w:t>” means a person to whom an Option is granted pursuant to the Plan or, if applicable, such other person who holds an outstanding Option.</w:t>
      </w:r>
    </w:p>
    <w:p>
      <w:pPr>
        <w:spacing w:after="0" w:line="174" w:lineRule="exact"/>
        <w:rPr>
          <w:rFonts w:ascii="Arial" w:cs="Arial" w:eastAsia="Arial" w:hAnsi="Arial"/>
          <w:sz w:val="22"/>
          <w:szCs w:val="22"/>
          <w:b w:val="1"/>
          <w:bCs w:val="1"/>
          <w:color w:val="auto"/>
        </w:rPr>
      </w:pPr>
    </w:p>
    <w:p>
      <w:pPr>
        <w:ind w:left="1260" w:hanging="604"/>
        <w:spacing w:after="0"/>
        <w:tabs>
          <w:tab w:leader="none" w:pos="1260" w:val="left"/>
        </w:tabs>
        <w:numPr>
          <w:ilvl w:val="0"/>
          <w:numId w:val="421"/>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Ordinary Share</w:t>
      </w:r>
      <w:r>
        <w:rPr>
          <w:rFonts w:ascii="Arial" w:cs="Arial" w:eastAsia="Arial" w:hAnsi="Arial"/>
          <w:sz w:val="19"/>
          <w:szCs w:val="19"/>
          <w:color w:val="auto"/>
        </w:rPr>
        <w:t>” or “Ordinary Shares” means the ordinary shares of the Company of nominal value US$0.0001 per</w:t>
      </w:r>
    </w:p>
    <w:p>
      <w:pPr>
        <w:spacing w:after="0" w:line="56"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share.</w:t>
      </w:r>
    </w:p>
    <w:p>
      <w:pPr>
        <w:spacing w:after="0" w:line="201" w:lineRule="exact"/>
        <w:rPr>
          <w:rFonts w:ascii="Arial" w:cs="Arial" w:eastAsia="Arial" w:hAnsi="Arial"/>
          <w:sz w:val="19"/>
          <w:szCs w:val="19"/>
          <w:b w:val="1"/>
          <w:bCs w:val="1"/>
          <w:color w:val="auto"/>
        </w:rPr>
      </w:pPr>
    </w:p>
    <w:p>
      <w:pPr>
        <w:ind w:firstLine="656"/>
        <w:spacing w:after="0" w:line="263" w:lineRule="auto"/>
        <w:tabs>
          <w:tab w:leader="none" w:pos="1200" w:val="left"/>
        </w:tabs>
        <w:numPr>
          <w:ilvl w:val="0"/>
          <w:numId w:val="42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Stock Award</w:t>
      </w:r>
      <w:r>
        <w:rPr>
          <w:rFonts w:ascii="Arial" w:cs="Arial" w:eastAsia="Arial" w:hAnsi="Arial"/>
          <w:sz w:val="22"/>
          <w:szCs w:val="22"/>
          <w:color w:val="auto"/>
        </w:rPr>
        <w:t>” means an award based in whole or in part by reference to the Ordinary Shares which is granted pursuant to the terms and conditions of Section 6(d).</w:t>
      </w:r>
    </w:p>
    <w:p>
      <w:pPr>
        <w:spacing w:after="0" w:line="174" w:lineRule="exact"/>
        <w:rPr>
          <w:rFonts w:ascii="Arial" w:cs="Arial" w:eastAsia="Arial" w:hAnsi="Arial"/>
          <w:sz w:val="22"/>
          <w:szCs w:val="22"/>
          <w:b w:val="1"/>
          <w:bCs w:val="1"/>
          <w:color w:val="auto"/>
        </w:rPr>
      </w:pPr>
    </w:p>
    <w:p>
      <w:pPr>
        <w:jc w:val="both"/>
        <w:ind w:firstLine="656"/>
        <w:spacing w:after="0" w:line="253" w:lineRule="auto"/>
        <w:tabs>
          <w:tab w:leader="none" w:pos="1206" w:val="left"/>
        </w:tabs>
        <w:numPr>
          <w:ilvl w:val="0"/>
          <w:numId w:val="42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Stock Award Agreement</w:t>
      </w:r>
      <w:r>
        <w:rPr>
          <w:rFonts w:ascii="Arial" w:cs="Arial" w:eastAsia="Arial" w:hAnsi="Arial"/>
          <w:sz w:val="22"/>
          <w:szCs w:val="22"/>
          <w:color w:val="auto"/>
        </w:rPr>
        <w:t>” means a written agreement between the Company and a holder of an Other Stock Award evidencing the terms and conditions of an Other Stock Award grant. Each Other Stock Award Agreement shall be subject to the terms and conditions of the Plan.</w:t>
      </w:r>
    </w:p>
    <w:p>
      <w:pPr>
        <w:spacing w:after="0" w:line="185" w:lineRule="exact"/>
        <w:rPr>
          <w:rFonts w:ascii="Arial" w:cs="Arial" w:eastAsia="Arial" w:hAnsi="Arial"/>
          <w:sz w:val="22"/>
          <w:szCs w:val="22"/>
          <w:b w:val="1"/>
          <w:bCs w:val="1"/>
          <w:color w:val="auto"/>
        </w:rPr>
      </w:pPr>
    </w:p>
    <w:p>
      <w:pPr>
        <w:jc w:val="both"/>
        <w:ind w:firstLine="656"/>
        <w:spacing w:after="0" w:line="294" w:lineRule="auto"/>
        <w:tabs>
          <w:tab w:leader="none" w:pos="1332" w:val="left"/>
        </w:tabs>
        <w:numPr>
          <w:ilvl w:val="0"/>
          <w:numId w:val="421"/>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Outside Director</w:t>
      </w:r>
      <w:r>
        <w:rPr>
          <w:rFonts w:ascii="Arial" w:cs="Arial" w:eastAsia="Arial" w:hAnsi="Arial"/>
          <w:sz w:val="19"/>
          <w:szCs w:val="19"/>
          <w:color w:val="auto"/>
        </w:rPr>
        <w:t>” means a Director who either (i) is not a current employee of the Company or an “affiliated corporation” (within the meaning of Treasury Regulations promulgated under Section 162(m) of the Code), is not a former employee of the Company or an “affiliated corporation” who receives compensation for prior services (other than benefits under a tax-qualified retirement plan) during the taxable year, has not been an officer of the Company or an “affiliated corporation,” and does not receive remuneration from the Company or an “affiliated corporation,” either directly or indirectly, in any capacity other than as a Director, or (ii) is otherwise considered an “outside director” for purposes of Section 162(m) of the Code.</w:t>
      </w:r>
    </w:p>
    <w:p>
      <w:pPr>
        <w:spacing w:after="0" w:line="143" w:lineRule="exact"/>
        <w:rPr>
          <w:rFonts w:ascii="Arial" w:cs="Arial" w:eastAsia="Arial" w:hAnsi="Arial"/>
          <w:sz w:val="19"/>
          <w:szCs w:val="19"/>
          <w:b w:val="1"/>
          <w:bCs w:val="1"/>
          <w:color w:val="auto"/>
        </w:rPr>
      </w:pPr>
    </w:p>
    <w:p>
      <w:pPr>
        <w:jc w:val="both"/>
        <w:ind w:firstLine="656"/>
        <w:spacing w:after="0" w:line="252" w:lineRule="auto"/>
        <w:tabs>
          <w:tab w:leader="none" w:pos="1249" w:val="left"/>
        </w:tabs>
        <w:numPr>
          <w:ilvl w:val="0"/>
          <w:numId w:val="42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Own,</w:t>
      </w:r>
      <w:r>
        <w:rPr>
          <w:rFonts w:ascii="Arial" w:cs="Arial" w:eastAsia="Arial" w:hAnsi="Arial"/>
          <w:sz w:val="22"/>
          <w:szCs w:val="22"/>
          <w:color w:val="auto"/>
        </w:rPr>
        <w:t>” “</w:t>
      </w:r>
      <w:r>
        <w:rPr>
          <w:rFonts w:ascii="Arial" w:cs="Arial" w:eastAsia="Arial" w:hAnsi="Arial"/>
          <w:sz w:val="22"/>
          <w:szCs w:val="22"/>
          <w:b w:val="1"/>
          <w:bCs w:val="1"/>
          <w:i w:val="1"/>
          <w:iCs w:val="1"/>
          <w:color w:val="auto"/>
        </w:rPr>
        <w:t>Owned</w:t>
      </w:r>
      <w:r>
        <w:rPr>
          <w:rFonts w:ascii="Arial" w:cs="Arial" w:eastAsia="Arial" w:hAnsi="Arial"/>
          <w:sz w:val="22"/>
          <w:szCs w:val="22"/>
          <w:b w:val="1"/>
          <w:bCs w:val="1"/>
          <w:color w:val="auto"/>
        </w:rPr>
        <w:t>,</w:t>
      </w:r>
      <w:r>
        <w:rPr>
          <w:rFonts w:ascii="Arial" w:cs="Arial" w:eastAsia="Arial" w:hAnsi="Arial"/>
          <w:sz w:val="22"/>
          <w:szCs w:val="22"/>
          <w:color w:val="auto"/>
        </w:rPr>
        <w:t>” “</w:t>
      </w:r>
      <w:r>
        <w:rPr>
          <w:rFonts w:ascii="Arial" w:cs="Arial" w:eastAsia="Arial" w:hAnsi="Arial"/>
          <w:sz w:val="22"/>
          <w:szCs w:val="22"/>
          <w:b w:val="1"/>
          <w:bCs w:val="1"/>
          <w:i w:val="1"/>
          <w:iCs w:val="1"/>
          <w:color w:val="auto"/>
        </w:rPr>
        <w:t>Owner</w:t>
      </w:r>
      <w:r>
        <w:rPr>
          <w:rFonts w:ascii="Arial" w:cs="Arial" w:eastAsia="Arial" w:hAnsi="Arial"/>
          <w:sz w:val="22"/>
          <w:szCs w:val="22"/>
          <w:b w:val="1"/>
          <w:bCs w:val="1"/>
          <w:color w:val="auto"/>
        </w:rPr>
        <w:t>,</w:t>
      </w:r>
      <w:r>
        <w:rPr>
          <w:rFonts w:ascii="Arial" w:cs="Arial" w:eastAsia="Arial" w:hAnsi="Arial"/>
          <w:sz w:val="22"/>
          <w:szCs w:val="22"/>
          <w:color w:val="auto"/>
        </w:rPr>
        <w:t>” “</w:t>
      </w:r>
      <w:r>
        <w:rPr>
          <w:rFonts w:ascii="Arial" w:cs="Arial" w:eastAsia="Arial" w:hAnsi="Arial"/>
          <w:sz w:val="22"/>
          <w:szCs w:val="22"/>
          <w:b w:val="1"/>
          <w:bCs w:val="1"/>
          <w:i w:val="1"/>
          <w:iCs w:val="1"/>
          <w:color w:val="auto"/>
        </w:rPr>
        <w:t>Ownership</w:t>
      </w:r>
      <w:r>
        <w:rPr>
          <w:rFonts w:ascii="Arial" w:cs="Arial" w:eastAsia="Arial" w:hAnsi="Arial"/>
          <w:sz w:val="22"/>
          <w:szCs w:val="22"/>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86" w:lineRule="exact"/>
        <w:rPr>
          <w:rFonts w:ascii="Arial" w:cs="Arial" w:eastAsia="Arial" w:hAnsi="Arial"/>
          <w:sz w:val="22"/>
          <w:szCs w:val="22"/>
          <w:b w:val="1"/>
          <w:bCs w:val="1"/>
          <w:color w:val="auto"/>
        </w:rPr>
      </w:pPr>
    </w:p>
    <w:p>
      <w:pPr>
        <w:ind w:right="20" w:firstLine="656"/>
        <w:spacing w:after="0" w:line="263" w:lineRule="auto"/>
        <w:tabs>
          <w:tab w:leader="none" w:pos="1169" w:val="left"/>
        </w:tabs>
        <w:numPr>
          <w:ilvl w:val="0"/>
          <w:numId w:val="42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 person to whom an Award is granted pursuant to the Plan or, if applicable, such other person who holds an outstanding Stock Award.</w:t>
      </w:r>
    </w:p>
    <w:p>
      <w:pPr>
        <w:spacing w:after="0" w:line="174" w:lineRule="exact"/>
        <w:rPr>
          <w:rFonts w:ascii="Arial" w:cs="Arial" w:eastAsia="Arial" w:hAnsi="Arial"/>
          <w:sz w:val="22"/>
          <w:szCs w:val="22"/>
          <w:b w:val="1"/>
          <w:bCs w:val="1"/>
          <w:color w:val="auto"/>
        </w:rPr>
      </w:pPr>
    </w:p>
    <w:p>
      <w:pPr>
        <w:ind w:left="1160" w:hanging="504"/>
        <w:spacing w:after="0"/>
        <w:tabs>
          <w:tab w:leader="none" w:pos="1160" w:val="left"/>
        </w:tabs>
        <w:numPr>
          <w:ilvl w:val="0"/>
          <w:numId w:val="421"/>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Cash Award</w:t>
      </w:r>
      <w:r>
        <w:rPr>
          <w:rFonts w:ascii="Arial" w:cs="Arial" w:eastAsia="Arial" w:hAnsi="Arial"/>
          <w:sz w:val="19"/>
          <w:szCs w:val="19"/>
          <w:color w:val="auto"/>
        </w:rPr>
        <w:t>” means an award of cash granted pursuant to the terms and conditions of Section 6(c)(ii).</w:t>
      </w:r>
    </w:p>
    <w:p>
      <w:pPr>
        <w:spacing w:after="0" w:line="254" w:lineRule="exact"/>
        <w:rPr>
          <w:rFonts w:ascii="Arial" w:cs="Arial" w:eastAsia="Arial" w:hAnsi="Arial"/>
          <w:sz w:val="19"/>
          <w:szCs w:val="19"/>
          <w:b w:val="1"/>
          <w:bCs w:val="1"/>
          <w:color w:val="auto"/>
        </w:rPr>
      </w:pPr>
    </w:p>
    <w:p>
      <w:pPr>
        <w:ind w:firstLine="656"/>
        <w:spacing w:after="0" w:line="263" w:lineRule="auto"/>
        <w:tabs>
          <w:tab w:leader="none" w:pos="1262" w:val="left"/>
        </w:tabs>
        <w:numPr>
          <w:ilvl w:val="0"/>
          <w:numId w:val="42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Performance Criteria</w:t>
      </w:r>
      <w:r>
        <w:rPr>
          <w:rFonts w:ascii="Arial" w:cs="Arial" w:eastAsia="Arial" w:hAnsi="Arial"/>
          <w:sz w:val="22"/>
          <w:szCs w:val="22"/>
          <w:color w:val="auto"/>
        </w:rPr>
        <w:t>” means, with respect to a Performance Stock Award or Performance Cash Award, the one or more criteria that the Committee shall select for purposes of establishing the</w:t>
      </w:r>
    </w:p>
    <w:p>
      <w:pPr>
        <w:spacing w:after="0" w:line="200" w:lineRule="exact"/>
        <w:rPr>
          <w:sz w:val="20"/>
          <w:szCs w:val="20"/>
          <w:color w:val="auto"/>
        </w:rPr>
      </w:pPr>
    </w:p>
    <w:p>
      <w:pPr>
        <w:spacing w:after="0" w:line="218"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848" w:right="239" w:bottom="1440" w:gutter="0" w:footer="0" w:header="0"/>
        </w:sectPr>
      </w:pPr>
    </w:p>
    <w:bookmarkStart w:id="430" w:name="page431"/>
    <w:bookmarkEnd w:id="430"/>
    <w:p>
      <w:pPr>
        <w:jc w:val="both"/>
        <w:spacing w:after="0" w:line="286" w:lineRule="auto"/>
        <w:rPr>
          <w:sz w:val="20"/>
          <w:szCs w:val="20"/>
          <w:color w:val="auto"/>
        </w:rPr>
      </w:pPr>
      <w:r>
        <w:rPr>
          <w:rFonts w:ascii="Arial" w:cs="Arial" w:eastAsia="Arial" w:hAnsi="Arial"/>
          <w:sz w:val="19"/>
          <w:szCs w:val="19"/>
          <w:color w:val="auto"/>
        </w:rPr>
        <w:t>Performance Goals for a Performance Period; provided, however, that the Board also may select any such criteria to the extent that the Performance Stock Award or Performance Cash Award is not intended to comply with Section 162(m) of the Code. The Performance Criteria that shall be used to establish such Performance Goals may be based on any one of, or combination of, the following as determined by the Committee (or Board, if applicable): (i) earnings (including earnings per share and net earnings);</w:t>
      </w:r>
    </w:p>
    <w:p>
      <w:pPr>
        <w:spacing w:after="0" w:line="3" w:lineRule="exact"/>
        <w:rPr>
          <w:sz w:val="20"/>
          <w:szCs w:val="20"/>
          <w:color w:val="auto"/>
        </w:rPr>
      </w:pPr>
    </w:p>
    <w:p>
      <w:pPr>
        <w:jc w:val="both"/>
        <w:ind w:firstLine="8"/>
        <w:spacing w:after="0" w:line="281" w:lineRule="auto"/>
        <w:tabs>
          <w:tab w:leader="none" w:pos="343" w:val="left"/>
        </w:tabs>
        <w:numPr>
          <w:ilvl w:val="0"/>
          <w:numId w:val="422"/>
        </w:numPr>
        <w:rPr>
          <w:rFonts w:ascii="Arial" w:cs="Arial" w:eastAsia="Arial" w:hAnsi="Arial"/>
          <w:sz w:val="19"/>
          <w:szCs w:val="19"/>
          <w:color w:val="auto"/>
        </w:rPr>
      </w:pPr>
      <w:r>
        <w:rPr>
          <w:rFonts w:ascii="Arial" w:cs="Arial" w:eastAsia="Arial" w:hAnsi="Arial"/>
          <w:sz w:val="19"/>
          <w:szCs w:val="19"/>
          <w:color w:val="auto"/>
        </w:rPr>
        <w:t>earnings before interest, taxes and depreciation; (iii) earnings before interest, taxes, depreciation and amortization; (iv) total shareholder return; (v) return on equity or average shareholder’s equity; (vi) return on assets, investment, or capital employed; (vii) share price; (viii) margin (including gross margin); (ix) income (before or after taxes); (x) operating income; (xi) operating income after taxes; (xii) pre-tax profit; (xiii) operating cash flow; (xiv) sales or revenue targets (including volume-based measures); (xv) increases in revenue or product revenue; (xvi) expenses and cost reduction goals; (xvii) improvement in or attainment of working capital levels; (xiii) economic value added (or an equivalent metric); (xix) market share; (xx) cash flow; (xxi) cash flow per share;</w:t>
      </w:r>
    </w:p>
    <w:p>
      <w:pPr>
        <w:spacing w:after="0" w:line="4" w:lineRule="exact"/>
        <w:rPr>
          <w:rFonts w:ascii="Arial" w:cs="Arial" w:eastAsia="Arial" w:hAnsi="Arial"/>
          <w:sz w:val="19"/>
          <w:szCs w:val="19"/>
          <w:color w:val="auto"/>
        </w:rPr>
      </w:pPr>
    </w:p>
    <w:p>
      <w:pPr>
        <w:jc w:val="both"/>
        <w:ind w:firstLine="8"/>
        <w:spacing w:after="0" w:line="244" w:lineRule="auto"/>
        <w:tabs>
          <w:tab w:leader="none" w:pos="534" w:val="left"/>
        </w:tabs>
        <w:numPr>
          <w:ilvl w:val="0"/>
          <w:numId w:val="423"/>
        </w:numPr>
        <w:rPr>
          <w:rFonts w:ascii="Arial" w:cs="Arial" w:eastAsia="Arial" w:hAnsi="Arial"/>
          <w:sz w:val="22"/>
          <w:szCs w:val="22"/>
          <w:color w:val="auto"/>
        </w:rPr>
      </w:pPr>
      <w:r>
        <w:rPr>
          <w:rFonts w:ascii="Arial" w:cs="Arial" w:eastAsia="Arial" w:hAnsi="Arial"/>
          <w:sz w:val="22"/>
          <w:szCs w:val="22"/>
          <w:color w:val="auto"/>
        </w:rPr>
        <w:t>share price performance; (xxiii) debt reduction; (xxiv) implementation or completion of projects or processes; (xxv) customer satisfaction; (xxvi) shareholders’ equity; (xxvii) capital expenditures; (xxiii) debt levels; (xxix) operating profit or net operating profit; (xxx) workforce diversity; (xxxi) growth of net income or operating income; (xxxii) billings; and (xxxiii) to the extent that an Award is not intended to comply with Section 162(m) of the Code, other measures of performance selected by the Committee or Board.</w:t>
      </w:r>
    </w:p>
    <w:p>
      <w:pPr>
        <w:spacing w:after="0" w:line="195" w:lineRule="exact"/>
        <w:rPr>
          <w:rFonts w:ascii="Arial" w:cs="Arial" w:eastAsia="Arial" w:hAnsi="Arial"/>
          <w:sz w:val="22"/>
          <w:szCs w:val="22"/>
          <w:color w:val="auto"/>
        </w:rPr>
      </w:pPr>
    </w:p>
    <w:p>
      <w:pPr>
        <w:jc w:val="both"/>
        <w:ind w:firstLine="656"/>
        <w:spacing w:after="0" w:line="286" w:lineRule="auto"/>
        <w:tabs>
          <w:tab w:leader="none" w:pos="1304" w:val="left"/>
        </w:tabs>
        <w:numPr>
          <w:ilvl w:val="1"/>
          <w:numId w:val="42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Goals</w:t>
      </w:r>
      <w:r>
        <w:rPr>
          <w:rFonts w:ascii="Arial" w:cs="Arial" w:eastAsia="Arial" w:hAnsi="Arial"/>
          <w:sz w:val="19"/>
          <w:szCs w:val="19"/>
          <w:color w:val="auto"/>
        </w:rPr>
        <w:t>” means, with respect to a Performance Stock Award or Performance Cash Award, for a Performance Period, the one or more goals established by the Committee for the Performance Period based upon the Performance Criteria; provided, however, that the Board also may establish any such goals to the extent that the Performance Stock Award or Performance Cash Award is not intended to comply with Section 162(m) of the Code.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Committee (or the Board to the extent that an Award is not intended to comply with Section 162(m) of the Code), (i) in the Award Agreement at the time the Award is granted or (ii) in such other document setting forth the Performance Goals at the time the Performance Goals are established, the Committee (or Board, if applicable) shall appropriately make adjustments in the method of calculating the attainment of Performance Goals for a Performance Period as follows: (1) to exclude restructuring and/or other nonrecurring charges; (2) to exclude exchange rate effects, as applicable, for non-U.S. dollar denominated Performance Goals; (3) to exclude the effects of changes to generally accepted accounting principles; (4) to exclude the effects of any statutory adjustments to corporate tax rates; and (5) to exclude the effects of items that are “unusual” in nature or occur “infrequently” as determined under generally accepted accounting principles.</w:t>
      </w:r>
    </w:p>
    <w:p>
      <w:pPr>
        <w:spacing w:after="0" w:line="163" w:lineRule="exact"/>
        <w:rPr>
          <w:rFonts w:ascii="Arial" w:cs="Arial" w:eastAsia="Arial" w:hAnsi="Arial"/>
          <w:sz w:val="19"/>
          <w:szCs w:val="19"/>
          <w:b w:val="1"/>
          <w:bCs w:val="1"/>
          <w:color w:val="auto"/>
        </w:rPr>
      </w:pPr>
    </w:p>
    <w:p>
      <w:pPr>
        <w:jc w:val="both"/>
        <w:ind w:firstLine="656"/>
        <w:spacing w:after="0" w:line="294" w:lineRule="auto"/>
        <w:tabs>
          <w:tab w:leader="none" w:pos="1382" w:val="left"/>
        </w:tabs>
        <w:numPr>
          <w:ilvl w:val="1"/>
          <w:numId w:val="423"/>
        </w:numPr>
        <w:rPr>
          <w:rFonts w:ascii="Arial" w:cs="Arial" w:eastAsia="Arial" w:hAnsi="Arial"/>
          <w:sz w:val="19"/>
          <w:szCs w:val="19"/>
          <w:b w:val="1"/>
          <w:bCs w:val="1"/>
          <w:color w:val="auto"/>
        </w:rPr>
      </w:pPr>
      <w:r>
        <w:rPr>
          <w:rFonts w:ascii="Arial" w:cs="Arial" w:eastAsia="Arial" w:hAnsi="Arial"/>
          <w:sz w:val="19"/>
          <w:szCs w:val="19"/>
          <w:color w:val="auto"/>
        </w:rPr>
        <w:t>“P</w:t>
      </w:r>
      <w:r>
        <w:rPr>
          <w:rFonts w:ascii="Arial" w:cs="Arial" w:eastAsia="Arial" w:hAnsi="Arial"/>
          <w:sz w:val="19"/>
          <w:szCs w:val="19"/>
          <w:b w:val="1"/>
          <w:bCs w:val="1"/>
          <w:i w:val="1"/>
          <w:iCs w:val="1"/>
          <w:color w:val="auto"/>
        </w:rPr>
        <w:t>erformance Period</w:t>
      </w:r>
      <w:r>
        <w:rPr>
          <w:rFonts w:ascii="Arial" w:cs="Arial" w:eastAsia="Arial" w:hAnsi="Arial"/>
          <w:sz w:val="19"/>
          <w:szCs w:val="19"/>
          <w:color w:val="auto"/>
        </w:rPr>
        <w:t>” means, with respect to a Performance Stock Award or Performance Cash Award, the period of time selected by the Committee over which the attainment of one or more Performance Goals will be measured for the purpose of determining a Participant’s right to and the payment of the Performance Stock Award or Performance Cash Award; provided, however, that the Board also may select any such period to the extent that the Performance Stock Award or Performance Cash Award is not intended to comply with Section 162(m) of the Code. Performance Periods may be of varying and overlapping duration, at the sole discretion of the Committee (or the Board, if applicable).</w:t>
      </w:r>
    </w:p>
    <w:p>
      <w:pPr>
        <w:spacing w:after="0" w:line="149" w:lineRule="exact"/>
        <w:rPr>
          <w:rFonts w:ascii="Arial" w:cs="Arial" w:eastAsia="Arial" w:hAnsi="Arial"/>
          <w:sz w:val="19"/>
          <w:szCs w:val="19"/>
          <w:b w:val="1"/>
          <w:bCs w:val="1"/>
          <w:color w:val="auto"/>
        </w:rPr>
      </w:pPr>
    </w:p>
    <w:p>
      <w:pPr>
        <w:ind w:left="1260" w:hanging="604"/>
        <w:spacing w:after="0"/>
        <w:tabs>
          <w:tab w:leader="none" w:pos="1260" w:val="left"/>
        </w:tabs>
        <w:numPr>
          <w:ilvl w:val="1"/>
          <w:numId w:val="42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Stock Award</w:t>
      </w:r>
      <w:r>
        <w:rPr>
          <w:rFonts w:ascii="Arial" w:cs="Arial" w:eastAsia="Arial" w:hAnsi="Arial"/>
          <w:sz w:val="19"/>
          <w:szCs w:val="19"/>
          <w:color w:val="auto"/>
        </w:rPr>
        <w:t>” means a Stock Award granted under the terms and conditions of Section 6(c)(i).</w:t>
      </w:r>
    </w:p>
    <w:p>
      <w:pPr>
        <w:spacing w:after="0" w:line="254" w:lineRule="exact"/>
        <w:rPr>
          <w:rFonts w:ascii="Arial" w:cs="Arial" w:eastAsia="Arial" w:hAnsi="Arial"/>
          <w:sz w:val="19"/>
          <w:szCs w:val="19"/>
          <w:b w:val="1"/>
          <w:bCs w:val="1"/>
          <w:color w:val="auto"/>
        </w:rPr>
      </w:pPr>
    </w:p>
    <w:p>
      <w:pPr>
        <w:ind w:left="1240" w:hanging="584"/>
        <w:spacing w:after="0"/>
        <w:tabs>
          <w:tab w:leader="none" w:pos="1240" w:val="left"/>
        </w:tabs>
        <w:numPr>
          <w:ilvl w:val="1"/>
          <w:numId w:val="42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this Jazz Pharmaceuticals plc 2011 Equity Incentive Plan.</w:t>
      </w:r>
    </w:p>
    <w:p>
      <w:pPr>
        <w:spacing w:after="0" w:line="200" w:lineRule="exact"/>
        <w:rPr>
          <w:sz w:val="20"/>
          <w:szCs w:val="20"/>
          <w:color w:val="auto"/>
        </w:rPr>
      </w:pPr>
    </w:p>
    <w:p>
      <w:pPr>
        <w:spacing w:after="0" w:line="263"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847" w:right="239" w:bottom="1440" w:gutter="0" w:footer="0" w:header="0"/>
        </w:sectPr>
      </w:pPr>
    </w:p>
    <w:bookmarkStart w:id="431" w:name="page432"/>
    <w:bookmarkEnd w:id="431"/>
    <w:p>
      <w:pPr>
        <w:ind w:right="20" w:firstLine="656"/>
        <w:spacing w:after="0" w:line="263" w:lineRule="auto"/>
        <w:tabs>
          <w:tab w:leader="none" w:pos="1262" w:val="left"/>
        </w:tabs>
        <w:numPr>
          <w:ilvl w:val="0"/>
          <w:numId w:val="42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Award</w:t>
      </w:r>
      <w:r>
        <w:rPr>
          <w:rFonts w:ascii="Arial" w:cs="Arial" w:eastAsia="Arial" w:hAnsi="Arial"/>
          <w:sz w:val="22"/>
          <w:szCs w:val="22"/>
          <w:color w:val="auto"/>
        </w:rPr>
        <w:t>” means an award of Ordinary Shares which is granted pursuant to the terms and conditions of Section 6(a).</w:t>
      </w:r>
    </w:p>
    <w:p>
      <w:pPr>
        <w:spacing w:after="0" w:line="174" w:lineRule="exact"/>
        <w:rPr>
          <w:rFonts w:ascii="Arial" w:cs="Arial" w:eastAsia="Arial" w:hAnsi="Arial"/>
          <w:sz w:val="22"/>
          <w:szCs w:val="22"/>
          <w:b w:val="1"/>
          <w:bCs w:val="1"/>
          <w:color w:val="auto"/>
        </w:rPr>
      </w:pPr>
    </w:p>
    <w:p>
      <w:pPr>
        <w:jc w:val="both"/>
        <w:ind w:firstLine="656"/>
        <w:spacing w:after="0" w:line="253" w:lineRule="auto"/>
        <w:tabs>
          <w:tab w:leader="none" w:pos="1262" w:val="left"/>
        </w:tabs>
        <w:numPr>
          <w:ilvl w:val="0"/>
          <w:numId w:val="42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Award Agreement</w:t>
      </w:r>
      <w:r>
        <w:rPr>
          <w:rFonts w:ascii="Arial" w:cs="Arial" w:eastAsia="Arial" w:hAnsi="Arial"/>
          <w:sz w:val="22"/>
          <w:szCs w:val="22"/>
          <w:color w:val="auto"/>
        </w:rPr>
        <w:t>” means a written agreement between the Company and a holder of a Restricted Stock Award evidencing the terms and conditions of a Restricted Stock Award grant. Each Restricted Stock Award Agreement shall be subject to the terms and conditions of the Plan.</w:t>
      </w:r>
    </w:p>
    <w:p>
      <w:pPr>
        <w:spacing w:after="0" w:line="185" w:lineRule="exact"/>
        <w:rPr>
          <w:rFonts w:ascii="Arial" w:cs="Arial" w:eastAsia="Arial" w:hAnsi="Arial"/>
          <w:sz w:val="22"/>
          <w:szCs w:val="22"/>
          <w:b w:val="1"/>
          <w:bCs w:val="1"/>
          <w:color w:val="auto"/>
        </w:rPr>
      </w:pPr>
    </w:p>
    <w:p>
      <w:pPr>
        <w:ind w:firstLine="656"/>
        <w:spacing w:after="0" w:line="263" w:lineRule="auto"/>
        <w:tabs>
          <w:tab w:leader="none" w:pos="1227" w:val="left"/>
        </w:tabs>
        <w:numPr>
          <w:ilvl w:val="0"/>
          <w:numId w:val="42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Unit Award</w:t>
      </w:r>
      <w:r>
        <w:rPr>
          <w:rFonts w:ascii="Arial" w:cs="Arial" w:eastAsia="Arial" w:hAnsi="Arial"/>
          <w:sz w:val="22"/>
          <w:szCs w:val="22"/>
          <w:color w:val="auto"/>
        </w:rPr>
        <w:t>” means a right to receive Ordinary Shares which is granted pursuant to the terms and conditions of Section 6(b).</w:t>
      </w:r>
    </w:p>
    <w:p>
      <w:pPr>
        <w:spacing w:after="0" w:line="174" w:lineRule="exact"/>
        <w:rPr>
          <w:rFonts w:ascii="Arial" w:cs="Arial" w:eastAsia="Arial" w:hAnsi="Arial"/>
          <w:sz w:val="22"/>
          <w:szCs w:val="22"/>
          <w:b w:val="1"/>
          <w:bCs w:val="1"/>
          <w:color w:val="auto"/>
        </w:rPr>
      </w:pPr>
    </w:p>
    <w:p>
      <w:pPr>
        <w:jc w:val="both"/>
        <w:ind w:firstLine="656"/>
        <w:spacing w:after="0" w:line="253" w:lineRule="auto"/>
        <w:tabs>
          <w:tab w:leader="none" w:pos="1298" w:val="left"/>
        </w:tabs>
        <w:numPr>
          <w:ilvl w:val="0"/>
          <w:numId w:val="42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Unit Award Agreement</w:t>
      </w:r>
      <w:r>
        <w:rPr>
          <w:rFonts w:ascii="Arial" w:cs="Arial" w:eastAsia="Arial" w:hAnsi="Arial"/>
          <w:sz w:val="22"/>
          <w:szCs w:val="22"/>
          <w:color w:val="auto"/>
        </w:rPr>
        <w:t>” means a written agreement between the Company and a holder of a Restricted Stock Unit Award evidencing the terms and conditions of a Restricted Stock Unit Award grant. Each Restricted Stock Unit Award Agreement shall be subject to the terms and conditions of the Plan.</w:t>
      </w:r>
    </w:p>
    <w:p>
      <w:pPr>
        <w:spacing w:after="0" w:line="185" w:lineRule="exact"/>
        <w:rPr>
          <w:rFonts w:ascii="Arial" w:cs="Arial" w:eastAsia="Arial" w:hAnsi="Arial"/>
          <w:sz w:val="22"/>
          <w:szCs w:val="22"/>
          <w:b w:val="1"/>
          <w:bCs w:val="1"/>
          <w:color w:val="auto"/>
        </w:rPr>
      </w:pPr>
    </w:p>
    <w:p>
      <w:pPr>
        <w:ind w:right="20" w:firstLine="656"/>
        <w:spacing w:after="0" w:line="263" w:lineRule="auto"/>
        <w:tabs>
          <w:tab w:leader="none" w:pos="1220" w:val="left"/>
        </w:tabs>
        <w:numPr>
          <w:ilvl w:val="0"/>
          <w:numId w:val="42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 16b-3</w:t>
      </w:r>
      <w:r>
        <w:rPr>
          <w:rFonts w:ascii="Arial" w:cs="Arial" w:eastAsia="Arial" w:hAnsi="Arial"/>
          <w:sz w:val="22"/>
          <w:szCs w:val="22"/>
          <w:color w:val="auto"/>
        </w:rPr>
        <w:t>” means Rule 16b-3 promulgated under the Exchange Act or any successor to Rule 16b-3, as in effect from time to time.</w:t>
      </w:r>
    </w:p>
    <w:p>
      <w:pPr>
        <w:spacing w:after="0" w:line="174" w:lineRule="exact"/>
        <w:rPr>
          <w:rFonts w:ascii="Arial" w:cs="Arial" w:eastAsia="Arial" w:hAnsi="Arial"/>
          <w:sz w:val="22"/>
          <w:szCs w:val="22"/>
          <w:b w:val="1"/>
          <w:bCs w:val="1"/>
          <w:color w:val="auto"/>
        </w:rPr>
      </w:pPr>
    </w:p>
    <w:p>
      <w:pPr>
        <w:ind w:left="1260" w:hanging="604"/>
        <w:spacing w:after="0"/>
        <w:tabs>
          <w:tab w:leader="none" w:pos="1260" w:val="left"/>
        </w:tabs>
        <w:numPr>
          <w:ilvl w:val="0"/>
          <w:numId w:val="42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means the Securities Act of 1933, as amended.</w:t>
      </w:r>
    </w:p>
    <w:p>
      <w:pPr>
        <w:spacing w:after="0" w:line="219" w:lineRule="exact"/>
        <w:rPr>
          <w:rFonts w:ascii="Arial" w:cs="Arial" w:eastAsia="Arial" w:hAnsi="Arial"/>
          <w:sz w:val="22"/>
          <w:szCs w:val="22"/>
          <w:b w:val="1"/>
          <w:bCs w:val="1"/>
          <w:color w:val="auto"/>
        </w:rPr>
      </w:pPr>
    </w:p>
    <w:p>
      <w:pPr>
        <w:ind w:firstLine="656"/>
        <w:spacing w:after="0" w:line="263" w:lineRule="auto"/>
        <w:tabs>
          <w:tab w:leader="none" w:pos="1278" w:val="left"/>
        </w:tabs>
        <w:numPr>
          <w:ilvl w:val="0"/>
          <w:numId w:val="42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 Appreciation Right</w:t>
      </w:r>
      <w:r>
        <w:rPr>
          <w:rFonts w:ascii="Arial" w:cs="Arial" w:eastAsia="Arial" w:hAnsi="Arial"/>
          <w:sz w:val="22"/>
          <w:szCs w:val="22"/>
          <w:color w:val="auto"/>
        </w:rPr>
        <w:t>” or “</w:t>
      </w:r>
      <w:r>
        <w:rPr>
          <w:rFonts w:ascii="Arial" w:cs="Arial" w:eastAsia="Arial" w:hAnsi="Arial"/>
          <w:sz w:val="22"/>
          <w:szCs w:val="22"/>
          <w:b w:val="1"/>
          <w:bCs w:val="1"/>
          <w:i w:val="1"/>
          <w:iCs w:val="1"/>
          <w:color w:val="auto"/>
        </w:rPr>
        <w:t>SAR</w:t>
      </w:r>
      <w:r>
        <w:rPr>
          <w:rFonts w:ascii="Arial" w:cs="Arial" w:eastAsia="Arial" w:hAnsi="Arial"/>
          <w:sz w:val="22"/>
          <w:szCs w:val="22"/>
          <w:color w:val="auto"/>
        </w:rPr>
        <w:t>” means a right to receive the appreciation on Ordinary Shares that is granted pursuant to the terms and conditions of Section 5.</w:t>
      </w:r>
    </w:p>
    <w:p>
      <w:pPr>
        <w:spacing w:after="0" w:line="174" w:lineRule="exact"/>
        <w:rPr>
          <w:rFonts w:ascii="Arial" w:cs="Arial" w:eastAsia="Arial" w:hAnsi="Arial"/>
          <w:sz w:val="22"/>
          <w:szCs w:val="22"/>
          <w:b w:val="1"/>
          <w:bCs w:val="1"/>
          <w:color w:val="auto"/>
        </w:rPr>
      </w:pPr>
    </w:p>
    <w:p>
      <w:pPr>
        <w:jc w:val="both"/>
        <w:ind w:firstLine="656"/>
        <w:spacing w:after="0" w:line="253" w:lineRule="auto"/>
        <w:tabs>
          <w:tab w:leader="none" w:pos="1361" w:val="left"/>
        </w:tabs>
        <w:numPr>
          <w:ilvl w:val="0"/>
          <w:numId w:val="42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 Appreciation Right Agreement</w:t>
      </w:r>
      <w:r>
        <w:rPr>
          <w:rFonts w:ascii="Arial" w:cs="Arial" w:eastAsia="Arial" w:hAnsi="Arial"/>
          <w:sz w:val="22"/>
          <w:szCs w:val="22"/>
          <w:color w:val="auto"/>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185" w:lineRule="exact"/>
        <w:rPr>
          <w:rFonts w:ascii="Arial" w:cs="Arial" w:eastAsia="Arial" w:hAnsi="Arial"/>
          <w:sz w:val="22"/>
          <w:szCs w:val="22"/>
          <w:b w:val="1"/>
          <w:bCs w:val="1"/>
          <w:color w:val="auto"/>
        </w:rPr>
      </w:pPr>
    </w:p>
    <w:p>
      <w:pPr>
        <w:jc w:val="both"/>
        <w:ind w:firstLine="656"/>
        <w:spacing w:after="0" w:line="253" w:lineRule="auto"/>
        <w:tabs>
          <w:tab w:leader="none" w:pos="1319" w:val="left"/>
        </w:tabs>
        <w:numPr>
          <w:ilvl w:val="0"/>
          <w:numId w:val="42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 Award</w:t>
      </w:r>
      <w:r>
        <w:rPr>
          <w:rFonts w:ascii="Arial" w:cs="Arial" w:eastAsia="Arial" w:hAnsi="Arial"/>
          <w:sz w:val="22"/>
          <w:szCs w:val="22"/>
          <w:color w:val="auto"/>
        </w:rPr>
        <w:t>” means any right to receive Ordinary Shares granted under the Plan, including an Incentive Stock Option, a Nonstatutory Stock Option, a Restricted Stock Award, a Restricted Stock Unit Award, a Stock Appreciation Right, a Performance Stock Award or any Other Stock Award.</w:t>
      </w:r>
    </w:p>
    <w:p>
      <w:pPr>
        <w:spacing w:after="0" w:line="185" w:lineRule="exact"/>
        <w:rPr>
          <w:rFonts w:ascii="Arial" w:cs="Arial" w:eastAsia="Arial" w:hAnsi="Arial"/>
          <w:sz w:val="22"/>
          <w:szCs w:val="22"/>
          <w:b w:val="1"/>
          <w:bCs w:val="1"/>
          <w:color w:val="auto"/>
        </w:rPr>
      </w:pPr>
    </w:p>
    <w:p>
      <w:pPr>
        <w:ind w:firstLine="656"/>
        <w:spacing w:after="0" w:line="343" w:lineRule="auto"/>
        <w:tabs>
          <w:tab w:leader="none" w:pos="1251" w:val="left"/>
        </w:tabs>
        <w:numPr>
          <w:ilvl w:val="0"/>
          <w:numId w:val="42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Stock Award Agreement</w:t>
      </w:r>
      <w:r>
        <w:rPr>
          <w:rFonts w:ascii="Arial" w:cs="Arial" w:eastAsia="Arial" w:hAnsi="Arial"/>
          <w:sz w:val="19"/>
          <w:szCs w:val="19"/>
          <w:color w:val="auto"/>
        </w:rPr>
        <w:t>” means a written agreement between the Company and a Participant evidencing the terms and conditions of a Stock Award grant. Each Stock Award Agreement shall be subject to the terms and conditions of the Plan.</w:t>
      </w:r>
    </w:p>
    <w:p>
      <w:pPr>
        <w:spacing w:after="0" w:line="104" w:lineRule="exact"/>
        <w:rPr>
          <w:rFonts w:ascii="Arial" w:cs="Arial" w:eastAsia="Arial" w:hAnsi="Arial"/>
          <w:sz w:val="19"/>
          <w:szCs w:val="19"/>
          <w:b w:val="1"/>
          <w:bCs w:val="1"/>
          <w:color w:val="auto"/>
        </w:rPr>
      </w:pPr>
    </w:p>
    <w:p>
      <w:pPr>
        <w:jc w:val="both"/>
        <w:ind w:firstLine="656"/>
        <w:spacing w:after="0" w:line="261" w:lineRule="auto"/>
        <w:tabs>
          <w:tab w:leader="none" w:pos="1227" w:val="left"/>
        </w:tabs>
        <w:numPr>
          <w:ilvl w:val="0"/>
          <w:numId w:val="424"/>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Subsidiary</w:t>
      </w:r>
      <w:r>
        <w:rPr>
          <w:rFonts w:ascii="Arial" w:cs="Arial" w:eastAsia="Arial" w:hAnsi="Arial"/>
          <w:sz w:val="21"/>
          <w:szCs w:val="21"/>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w:t>
      </w:r>
    </w:p>
    <w:p>
      <w:pPr>
        <w:spacing w:after="0" w:line="180" w:lineRule="exact"/>
        <w:rPr>
          <w:sz w:val="20"/>
          <w:szCs w:val="20"/>
          <w:color w:val="auto"/>
        </w:rPr>
      </w:pPr>
    </w:p>
    <w:p>
      <w:pPr>
        <w:jc w:val="both"/>
        <w:ind w:firstLine="656"/>
        <w:spacing w:after="0" w:line="253" w:lineRule="auto"/>
        <w:tabs>
          <w:tab w:leader="none" w:pos="1413" w:val="left"/>
        </w:tabs>
        <w:numPr>
          <w:ilvl w:val="0"/>
          <w:numId w:val="42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Ten Percent Shareholder</w:t>
      </w:r>
      <w:r>
        <w:rPr>
          <w:rFonts w:ascii="Arial" w:cs="Arial" w:eastAsia="Arial" w:hAnsi="Arial"/>
          <w:sz w:val="22"/>
          <w:szCs w:val="22"/>
          <w:color w:val="auto"/>
        </w:rPr>
        <w:t>” means a person who Owns (or is deemed to Own pursuant to Section 424(d) of the Code) shares possessing more than ten percent (10%) of the total combined voting power of all classes of shares of the Company or any Affiliate.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Adopted by the Board of Directors of Jazz Pharmaceuticals, Inc. on October 24, 2011.</w:t>
      </w:r>
    </w:p>
    <w:p>
      <w:pPr>
        <w:spacing w:after="0" w:line="200" w:lineRule="exact"/>
        <w:rPr>
          <w:sz w:val="20"/>
          <w:szCs w:val="20"/>
          <w:color w:val="auto"/>
        </w:rPr>
      </w:pPr>
    </w:p>
    <w:p>
      <w:pPr>
        <w:spacing w:after="0" w:line="303"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847" w:right="239" w:bottom="1440" w:gutter="0" w:footer="0" w:header="0"/>
        </w:sectPr>
      </w:pPr>
    </w:p>
    <w:bookmarkStart w:id="432" w:name="page433"/>
    <w:bookmarkEnd w:id="432"/>
    <w:p>
      <w:pPr>
        <w:spacing w:after="0"/>
        <w:rPr>
          <w:sz w:val="20"/>
          <w:szCs w:val="20"/>
          <w:color w:val="auto"/>
        </w:rPr>
      </w:pPr>
      <w:r>
        <w:rPr>
          <w:rFonts w:ascii="Arial" w:cs="Arial" w:eastAsia="Arial" w:hAnsi="Arial"/>
          <w:sz w:val="21"/>
          <w:szCs w:val="21"/>
          <w:color w:val="auto"/>
        </w:rPr>
        <w:t>Approved by the stockholders of Jazz Pharmaceuticals, Inc. on December 12, 2011.</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Adopted by the Board of Directors of Azur Pharma plc on December 21, 2011.</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Approved by the shareholders of Azur Pharma plc on January 3, 2012.</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Amended and restated by the Board of Directors of Jazz Pharmaceuticals plc on May 5, 2016.</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Approved by the shareholders of Jazz Pharmaceuticals plc on August 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219"/>
          </w:cols>
          <w:pgMar w:left="240" w:top="847" w:right="1440" w:bottom="1440" w:gutter="0" w:footer="0" w:header="0"/>
        </w:sectPr>
      </w:pPr>
    </w:p>
    <w:bookmarkStart w:id="433" w:name="page434"/>
    <w:bookmarkEnd w:id="433"/>
    <w:p>
      <w:pPr>
        <w:jc w:val="right"/>
        <w:spacing w:after="0"/>
        <w:rPr>
          <w:sz w:val="20"/>
          <w:szCs w:val="20"/>
          <w:color w:val="auto"/>
        </w:rPr>
      </w:pPr>
      <w:r>
        <w:rPr>
          <w:rFonts w:ascii="Arial" w:cs="Arial" w:eastAsia="Arial" w:hAnsi="Arial"/>
          <w:sz w:val="22"/>
          <w:szCs w:val="22"/>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Jazz Pharmaceuticals plc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2007 Non-Employee Directors Stock Award Plan</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1.  General.</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Company, by means of the Plan, seeks to retain the services of its Non-Employee Directors, to secure and retain the services of new Non-Employee Directors and to provide incentives for such persons to exert maximum efforts for the success of the Company and any Affiliate by giving them an opportunity to benefit from increases in value of the Ordinary Shares through the grant of Stock Awards. The Plan is also intended to provide a source of Ordinary Shares to be used to pay distributions under the Company’s Directors Deferred Compensation Plan, but only to the extent such Ordinary Shares were credited prior to August 15, 2010 to a Non-Employee Director’s stock account pursuant to the Company’s Directors Deferred Compensation Plan.</w:t>
      </w:r>
    </w:p>
    <w:p>
      <w:pPr>
        <w:spacing w:after="0" w:line="144" w:lineRule="exact"/>
        <w:rPr>
          <w:sz w:val="20"/>
          <w:szCs w:val="20"/>
          <w:color w:val="auto"/>
        </w:rPr>
      </w:pPr>
    </w:p>
    <w:p>
      <w:pPr>
        <w:ind w:left="660" w:hanging="328"/>
        <w:spacing w:after="0"/>
        <w:tabs>
          <w:tab w:leader="none" w:pos="660" w:val="left"/>
        </w:tabs>
        <w:numPr>
          <w:ilvl w:val="0"/>
          <w:numId w:val="426"/>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w:t>
      </w:r>
    </w:p>
    <w:p>
      <w:pPr>
        <w:spacing w:after="0" w:line="219" w:lineRule="exact"/>
        <w:rPr>
          <w:rFonts w:ascii="Arial" w:cs="Arial" w:eastAsia="Arial" w:hAnsi="Arial"/>
          <w:sz w:val="22"/>
          <w:szCs w:val="22"/>
          <w:b w:val="1"/>
          <w:bCs w:val="1"/>
          <w:color w:val="auto"/>
        </w:rPr>
      </w:pPr>
    </w:p>
    <w:p>
      <w:pPr>
        <w:ind w:left="1560" w:hanging="904"/>
        <w:spacing w:after="0"/>
        <w:tabs>
          <w:tab w:leader="none" w:pos="1560" w:val="left"/>
        </w:tabs>
        <w:numPr>
          <w:ilvl w:val="1"/>
          <w:numId w:val="426"/>
        </w:numPr>
        <w:rPr>
          <w:rFonts w:ascii="Arial" w:cs="Arial" w:eastAsia="Arial" w:hAnsi="Arial"/>
          <w:sz w:val="19"/>
          <w:szCs w:val="19"/>
          <w:b w:val="1"/>
          <w:bCs w:val="1"/>
          <w:color w:val="auto"/>
        </w:rPr>
      </w:pPr>
      <w:r>
        <w:rPr>
          <w:rFonts w:ascii="Arial" w:cs="Arial" w:eastAsia="Arial" w:hAnsi="Arial"/>
          <w:sz w:val="19"/>
          <w:szCs w:val="19"/>
          <w:b w:val="1"/>
          <w:bCs w:val="1"/>
          <w:color w:val="auto"/>
        </w:rPr>
        <w:t>Administration by Board</w:t>
      </w:r>
      <w:r>
        <w:rPr>
          <w:rFonts w:ascii="Arial" w:cs="Arial" w:eastAsia="Arial" w:hAnsi="Arial"/>
          <w:sz w:val="19"/>
          <w:szCs w:val="19"/>
          <w:color w:val="auto"/>
        </w:rPr>
        <w:t>. The Board shall administer the Plan. The Board may not delegate administration of</w:t>
      </w:r>
    </w:p>
    <w:p>
      <w:pPr>
        <w:spacing w:after="0" w:line="6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 Plan.</w:t>
      </w:r>
    </w:p>
    <w:p>
      <w:pPr>
        <w:spacing w:after="0" w:line="195" w:lineRule="exact"/>
        <w:rPr>
          <w:rFonts w:ascii="Arial" w:cs="Arial" w:eastAsia="Arial" w:hAnsi="Arial"/>
          <w:sz w:val="19"/>
          <w:szCs w:val="19"/>
          <w:b w:val="1"/>
          <w:bCs w:val="1"/>
          <w:color w:val="auto"/>
        </w:rPr>
      </w:pPr>
    </w:p>
    <w:p>
      <w:pPr>
        <w:ind w:right="20" w:firstLine="656"/>
        <w:spacing w:after="0" w:line="269" w:lineRule="auto"/>
        <w:tabs>
          <w:tab w:leader="none" w:pos="1561" w:val="left"/>
        </w:tabs>
        <w:numPr>
          <w:ilvl w:val="1"/>
          <w:numId w:val="426"/>
        </w:numPr>
        <w:rPr>
          <w:rFonts w:ascii="Arial" w:cs="Arial" w:eastAsia="Arial" w:hAnsi="Arial"/>
          <w:sz w:val="22"/>
          <w:szCs w:val="22"/>
          <w:b w:val="1"/>
          <w:bCs w:val="1"/>
          <w:color w:val="auto"/>
        </w:rPr>
      </w:pPr>
      <w:r>
        <w:rPr>
          <w:rFonts w:ascii="Arial" w:cs="Arial" w:eastAsia="Arial" w:hAnsi="Arial"/>
          <w:sz w:val="22"/>
          <w:szCs w:val="22"/>
          <w:b w:val="1"/>
          <w:bCs w:val="1"/>
          <w:color w:val="auto"/>
        </w:rPr>
        <w:t>Powers of Board</w:t>
      </w:r>
      <w:r>
        <w:rPr>
          <w:rFonts w:ascii="Arial" w:cs="Arial" w:eastAsia="Arial" w:hAnsi="Arial"/>
          <w:sz w:val="22"/>
          <w:szCs w:val="22"/>
          <w:color w:val="auto"/>
        </w:rPr>
        <w:t>. The Board shall have the power, subject to, and within the limitations of, the express</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Plan:</w:t>
      </w:r>
    </w:p>
    <w:p>
      <w:pPr>
        <w:spacing w:after="0" w:line="168" w:lineRule="exact"/>
        <w:rPr>
          <w:rFonts w:ascii="Arial" w:cs="Arial" w:eastAsia="Arial" w:hAnsi="Arial"/>
          <w:sz w:val="22"/>
          <w:szCs w:val="22"/>
          <w:b w:val="1"/>
          <w:bCs w:val="1"/>
          <w:color w:val="auto"/>
        </w:rPr>
      </w:pPr>
    </w:p>
    <w:p>
      <w:pPr>
        <w:jc w:val="both"/>
        <w:ind w:firstLine="1305"/>
        <w:spacing w:after="0" w:line="302" w:lineRule="auto"/>
        <w:tabs>
          <w:tab w:leader="none" w:pos="2149" w:val="left"/>
        </w:tabs>
        <w:numPr>
          <w:ilvl w:val="2"/>
          <w:numId w:val="426"/>
        </w:numPr>
        <w:rPr>
          <w:rFonts w:ascii="Arial" w:cs="Arial" w:eastAsia="Arial" w:hAnsi="Arial"/>
          <w:sz w:val="19"/>
          <w:szCs w:val="19"/>
          <w:b w:val="1"/>
          <w:bCs w:val="1"/>
          <w:color w:val="auto"/>
        </w:rPr>
      </w:pPr>
      <w:r>
        <w:rPr>
          <w:rFonts w:ascii="Arial" w:cs="Arial" w:eastAsia="Arial" w:hAnsi="Arial"/>
          <w:sz w:val="19"/>
          <w:szCs w:val="19"/>
          <w:color w:val="auto"/>
        </w:rPr>
        <w:t>To determine from time to time (A) which of the Non-Employee Directors eligible under the Plan shall be granted Stock Awards; (B) when and how each Stock Award shall be granted; (C) what type or combination of types of Stock Award shall be granted; (D) the provisions of each Stock Award granted (which need not be identical); (E) the number of Ordinary Shares with respect to which each Stock Award shall be granted; and (F) the Fair Market Value applicable to a Stock Award.</w:t>
      </w:r>
    </w:p>
    <w:p>
      <w:pPr>
        <w:spacing w:after="0" w:line="142" w:lineRule="exact"/>
        <w:rPr>
          <w:rFonts w:ascii="Arial" w:cs="Arial" w:eastAsia="Arial" w:hAnsi="Arial"/>
          <w:sz w:val="19"/>
          <w:szCs w:val="19"/>
          <w:b w:val="1"/>
          <w:bCs w:val="1"/>
          <w:color w:val="auto"/>
        </w:rPr>
      </w:pPr>
    </w:p>
    <w:p>
      <w:pPr>
        <w:ind w:left="2220" w:hanging="915"/>
        <w:spacing w:after="0"/>
        <w:tabs>
          <w:tab w:leader="none" w:pos="2220" w:val="left"/>
        </w:tabs>
        <w:numPr>
          <w:ilvl w:val="2"/>
          <w:numId w:val="426"/>
        </w:numPr>
        <w:rPr>
          <w:rFonts w:ascii="Arial" w:cs="Arial" w:eastAsia="Arial" w:hAnsi="Arial"/>
          <w:sz w:val="22"/>
          <w:szCs w:val="22"/>
          <w:b w:val="1"/>
          <w:bCs w:val="1"/>
          <w:color w:val="auto"/>
        </w:rPr>
      </w:pPr>
      <w:r>
        <w:rPr>
          <w:rFonts w:ascii="Arial" w:cs="Arial" w:eastAsia="Arial" w:hAnsi="Arial"/>
          <w:sz w:val="22"/>
          <w:szCs w:val="22"/>
          <w:color w:val="auto"/>
        </w:rPr>
        <w:t>To determine the provisions of each Stock Award to the extent not specified in the Plan.</w:t>
      </w:r>
    </w:p>
    <w:p>
      <w:pPr>
        <w:spacing w:after="0" w:line="219" w:lineRule="exact"/>
        <w:rPr>
          <w:rFonts w:ascii="Arial" w:cs="Arial" w:eastAsia="Arial" w:hAnsi="Arial"/>
          <w:sz w:val="22"/>
          <w:szCs w:val="22"/>
          <w:b w:val="1"/>
          <w:bCs w:val="1"/>
          <w:color w:val="auto"/>
        </w:rPr>
      </w:pPr>
    </w:p>
    <w:p>
      <w:pPr>
        <w:jc w:val="both"/>
        <w:ind w:firstLine="1305"/>
        <w:spacing w:after="0" w:line="250" w:lineRule="auto"/>
        <w:tabs>
          <w:tab w:leader="none" w:pos="2269" w:val="left"/>
        </w:tabs>
        <w:numPr>
          <w:ilvl w:val="2"/>
          <w:numId w:val="426"/>
        </w:numPr>
        <w:rPr>
          <w:rFonts w:ascii="Arial" w:cs="Arial" w:eastAsia="Arial" w:hAnsi="Arial"/>
          <w:sz w:val="22"/>
          <w:szCs w:val="22"/>
          <w:b w:val="1"/>
          <w:bCs w:val="1"/>
          <w:color w:val="auto"/>
        </w:rPr>
      </w:pPr>
      <w:r>
        <w:rPr>
          <w:rFonts w:ascii="Arial" w:cs="Arial" w:eastAsia="Arial" w:hAnsi="Arial"/>
          <w:sz w:val="22"/>
          <w:szCs w:val="22"/>
          <w:color w:val="auto"/>
        </w:rPr>
        <w:t>To construe and interpret the Plan and Stock Awards granted under it, and to establish, amend and revoke rules and regulations for its administration. The Board, in the exercise of this power, may correct any defect, omission or inconsistency in the Plan or in any Award Agreement, in a manner and to the extent it shall deem necessary or expedient to make the Plan fully effective.</w:t>
      </w:r>
    </w:p>
    <w:p>
      <w:pPr>
        <w:spacing w:after="0" w:line="188" w:lineRule="exact"/>
        <w:rPr>
          <w:rFonts w:ascii="Arial" w:cs="Arial" w:eastAsia="Arial" w:hAnsi="Arial"/>
          <w:sz w:val="22"/>
          <w:szCs w:val="22"/>
          <w:b w:val="1"/>
          <w:bCs w:val="1"/>
          <w:color w:val="auto"/>
        </w:rPr>
      </w:pPr>
    </w:p>
    <w:p>
      <w:pPr>
        <w:ind w:left="2260" w:hanging="955"/>
        <w:spacing w:after="0"/>
        <w:tabs>
          <w:tab w:leader="none" w:pos="2260" w:val="left"/>
        </w:tabs>
        <w:numPr>
          <w:ilvl w:val="2"/>
          <w:numId w:val="426"/>
        </w:numPr>
        <w:rPr>
          <w:rFonts w:ascii="Arial" w:cs="Arial" w:eastAsia="Arial" w:hAnsi="Arial"/>
          <w:sz w:val="22"/>
          <w:szCs w:val="22"/>
          <w:b w:val="1"/>
          <w:bCs w:val="1"/>
          <w:color w:val="auto"/>
        </w:rPr>
      </w:pPr>
      <w:r>
        <w:rPr>
          <w:rFonts w:ascii="Arial" w:cs="Arial" w:eastAsia="Arial" w:hAnsi="Arial"/>
          <w:sz w:val="22"/>
          <w:szCs w:val="22"/>
          <w:color w:val="auto"/>
        </w:rPr>
        <w:t>To amend the Plan or a Stock Award as provided in Section 10.</w:t>
      </w:r>
    </w:p>
    <w:p>
      <w:pPr>
        <w:spacing w:after="0" w:line="219" w:lineRule="exact"/>
        <w:rPr>
          <w:rFonts w:ascii="Arial" w:cs="Arial" w:eastAsia="Arial" w:hAnsi="Arial"/>
          <w:sz w:val="22"/>
          <w:szCs w:val="22"/>
          <w:b w:val="1"/>
          <w:bCs w:val="1"/>
          <w:color w:val="auto"/>
        </w:rPr>
      </w:pPr>
    </w:p>
    <w:p>
      <w:pPr>
        <w:ind w:left="2200" w:hanging="895"/>
        <w:spacing w:after="0"/>
        <w:tabs>
          <w:tab w:leader="none" w:pos="2200" w:val="left"/>
        </w:tabs>
        <w:numPr>
          <w:ilvl w:val="2"/>
          <w:numId w:val="426"/>
        </w:numPr>
        <w:rPr>
          <w:rFonts w:ascii="Arial" w:cs="Arial" w:eastAsia="Arial" w:hAnsi="Arial"/>
          <w:sz w:val="22"/>
          <w:szCs w:val="22"/>
          <w:b w:val="1"/>
          <w:bCs w:val="1"/>
          <w:color w:val="auto"/>
        </w:rPr>
      </w:pPr>
      <w:r>
        <w:rPr>
          <w:rFonts w:ascii="Arial" w:cs="Arial" w:eastAsia="Arial" w:hAnsi="Arial"/>
          <w:sz w:val="22"/>
          <w:szCs w:val="22"/>
          <w:color w:val="auto"/>
        </w:rPr>
        <w:t>To terminate or suspend the Plan as provided in Section 11.</w:t>
      </w:r>
    </w:p>
    <w:p>
      <w:pPr>
        <w:spacing w:after="0" w:line="219" w:lineRule="exact"/>
        <w:rPr>
          <w:rFonts w:ascii="Arial" w:cs="Arial" w:eastAsia="Arial" w:hAnsi="Arial"/>
          <w:sz w:val="22"/>
          <w:szCs w:val="22"/>
          <w:b w:val="1"/>
          <w:bCs w:val="1"/>
          <w:color w:val="auto"/>
        </w:rPr>
      </w:pPr>
    </w:p>
    <w:p>
      <w:pPr>
        <w:ind w:firstLine="1305"/>
        <w:spacing w:after="0" w:line="263" w:lineRule="auto"/>
        <w:tabs>
          <w:tab w:leader="none" w:pos="2257" w:val="left"/>
        </w:tabs>
        <w:numPr>
          <w:ilvl w:val="2"/>
          <w:numId w:val="426"/>
        </w:numPr>
        <w:rPr>
          <w:rFonts w:ascii="Arial" w:cs="Arial" w:eastAsia="Arial" w:hAnsi="Arial"/>
          <w:sz w:val="22"/>
          <w:szCs w:val="22"/>
          <w:b w:val="1"/>
          <w:bCs w:val="1"/>
          <w:color w:val="auto"/>
        </w:rPr>
      </w:pPr>
      <w:r>
        <w:rPr>
          <w:rFonts w:ascii="Arial" w:cs="Arial" w:eastAsia="Arial" w:hAnsi="Arial"/>
          <w:sz w:val="22"/>
          <w:szCs w:val="22"/>
          <w:color w:val="auto"/>
        </w:rPr>
        <w:t>Generally, to exercise such powers and to perform such acts as the Board deems necessary or expedient to promote the best interests of the Company and that are not in conflict with the provisions of the Plan.</w:t>
      </w:r>
    </w:p>
    <w:p>
      <w:pPr>
        <w:spacing w:after="0" w:line="200" w:lineRule="exact"/>
        <w:rPr>
          <w:sz w:val="20"/>
          <w:szCs w:val="20"/>
          <w:color w:val="auto"/>
        </w:rPr>
      </w:pPr>
    </w:p>
    <w:p>
      <w:pPr>
        <w:spacing w:after="0" w:line="218"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41" w:right="239" w:bottom="1440" w:gutter="0" w:footer="0" w:header="0"/>
        </w:sectPr>
      </w:pPr>
    </w:p>
    <w:bookmarkStart w:id="434" w:name="page435"/>
    <w:bookmarkEnd w:id="434"/>
    <w:p>
      <w:pPr>
        <w:ind w:left="-8" w:firstLine="656"/>
        <w:spacing w:after="0" w:line="269" w:lineRule="auto"/>
        <w:tabs>
          <w:tab w:leader="none" w:pos="1528" w:val="left"/>
        </w:tabs>
        <w:numPr>
          <w:ilvl w:val="1"/>
          <w:numId w:val="427"/>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Board’s Decision</w:t>
      </w:r>
      <w:r>
        <w:rPr>
          <w:rFonts w:ascii="Arial" w:cs="Arial" w:eastAsia="Arial" w:hAnsi="Arial"/>
          <w:sz w:val="22"/>
          <w:szCs w:val="22"/>
          <w:color w:val="auto"/>
        </w:rPr>
        <w:t>. All determinations, interpretations and constructions made by the Board in good</w:t>
      </w:r>
      <w:r>
        <w:rPr>
          <w:rFonts w:ascii="Arial" w:cs="Arial" w:eastAsia="Arial" w:hAnsi="Arial"/>
          <w:sz w:val="22"/>
          <w:szCs w:val="22"/>
          <w:b w:val="1"/>
          <w:bCs w:val="1"/>
          <w:color w:val="auto"/>
        </w:rPr>
        <w:t xml:space="preserve"> </w:t>
      </w:r>
      <w:r>
        <w:rPr>
          <w:rFonts w:ascii="Arial" w:cs="Arial" w:eastAsia="Arial" w:hAnsi="Arial"/>
          <w:sz w:val="22"/>
          <w:szCs w:val="22"/>
          <w:color w:val="auto"/>
        </w:rPr>
        <w:t>faith shall not be subject to review by any person and shall be final, binding and conclusive on all persons.</w:t>
      </w:r>
    </w:p>
    <w:p>
      <w:pPr>
        <w:spacing w:after="0" w:line="162" w:lineRule="exact"/>
        <w:rPr>
          <w:rFonts w:ascii="Arial" w:cs="Arial" w:eastAsia="Arial" w:hAnsi="Arial"/>
          <w:sz w:val="22"/>
          <w:szCs w:val="22"/>
          <w:b w:val="1"/>
          <w:bCs w:val="1"/>
          <w:color w:val="auto"/>
        </w:rPr>
      </w:pPr>
    </w:p>
    <w:p>
      <w:pPr>
        <w:ind w:left="812" w:hanging="812"/>
        <w:spacing w:after="0"/>
        <w:tabs>
          <w:tab w:leader="none" w:pos="812" w:val="left"/>
        </w:tabs>
        <w:numPr>
          <w:ilvl w:val="0"/>
          <w:numId w:val="428"/>
        </w:numPr>
        <w:rPr>
          <w:rFonts w:ascii="Arial" w:cs="Arial" w:eastAsia="Arial" w:hAnsi="Arial"/>
          <w:sz w:val="22"/>
          <w:szCs w:val="22"/>
          <w:b w:val="1"/>
          <w:bCs w:val="1"/>
          <w:color w:val="auto"/>
        </w:rPr>
      </w:pPr>
      <w:r>
        <w:rPr>
          <w:rFonts w:ascii="Arial" w:cs="Arial" w:eastAsia="Arial" w:hAnsi="Arial"/>
          <w:sz w:val="22"/>
          <w:szCs w:val="22"/>
          <w:b w:val="1"/>
          <w:bCs w:val="1"/>
          <w:color w:val="auto"/>
        </w:rPr>
        <w:t>Shares Subject to the Plan.</w:t>
      </w:r>
    </w:p>
    <w:p>
      <w:pPr>
        <w:spacing w:after="0" w:line="219" w:lineRule="exact"/>
        <w:rPr>
          <w:rFonts w:ascii="Arial" w:cs="Arial" w:eastAsia="Arial" w:hAnsi="Arial"/>
          <w:sz w:val="22"/>
          <w:szCs w:val="22"/>
          <w:b w:val="1"/>
          <w:bCs w:val="1"/>
          <w:color w:val="auto"/>
        </w:rPr>
      </w:pPr>
    </w:p>
    <w:p>
      <w:pPr>
        <w:jc w:val="both"/>
        <w:ind w:left="-8" w:firstLine="656"/>
        <w:spacing w:after="0" w:line="287" w:lineRule="auto"/>
        <w:tabs>
          <w:tab w:leader="none" w:pos="1541" w:val="left"/>
        </w:tabs>
        <w:numPr>
          <w:ilvl w:val="1"/>
          <w:numId w:val="428"/>
        </w:numPr>
        <w:rPr>
          <w:rFonts w:ascii="Arial" w:cs="Arial" w:eastAsia="Arial" w:hAnsi="Arial"/>
          <w:sz w:val="19"/>
          <w:szCs w:val="19"/>
          <w:b w:val="1"/>
          <w:bCs w:val="1"/>
          <w:color w:val="auto"/>
        </w:rPr>
      </w:pPr>
      <w:r>
        <w:rPr>
          <w:rFonts w:ascii="Arial" w:cs="Arial" w:eastAsia="Arial" w:hAnsi="Arial"/>
          <w:sz w:val="19"/>
          <w:szCs w:val="19"/>
          <w:b w:val="1"/>
          <w:bCs w:val="1"/>
          <w:color w:val="auto"/>
        </w:rPr>
        <w:t>Share Reserve</w:t>
      </w:r>
      <w:r>
        <w:rPr>
          <w:rFonts w:ascii="Arial" w:cs="Arial" w:eastAsia="Arial" w:hAnsi="Arial"/>
          <w:sz w:val="19"/>
          <w:szCs w:val="19"/>
          <w:color w:val="auto"/>
        </w:rPr>
        <w:t>. Subject to the provisions of Section 9(a) relating to Capitalization Adjustments, the aggregate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number of Ordinary Shares that may be issued under the Plan shall not exceed two hundred thousand (200,000), plus an automatic annual increase beginning on January 1, 2008 and ending on (and including) January 1, 2016, in an amount equal to the sum of (i) the excess of (A) the number of Ordinary Shares subject to Options granted during the preceding calendar year, over (B) the number of Ordinary Shares added back to the share reserve during the preceding calendar year pursuant to the provisions of Section 3(b), plus (ii) for the automatic annual increases occurring on or prior to January 1, 2010 only, the aggregate number of Ordinary Shares credited to the Non-Employee Directors’ stock accounts pursuant to the Company’s Directors Deferred Compensation Plan during the applicable preceding calendar year;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such automatic annual increase shall not exceed two hundred thousand (200,000) Ordinary Shares. For the avoidance of doubt, no Ordinary Shares credited to the Non-Employee Directors’ stock accounts pursuant to the Company’s Directors Deferred Compensation Plan on or after August 15, 2010 shall act to increase the share reserve under this Section 3(a). Notwithstanding the foregoing, the Board may act prior to the first day of any calendar year, to provide that there shall be no increase in the share reserve for such calendar year or that the increase in the share reserve for such calendar year shall be a lesser number of Ordinary Shares than would otherwise occur pursuant to the preceding sentence.</w:t>
      </w:r>
    </w:p>
    <w:p>
      <w:pPr>
        <w:spacing w:after="0" w:line="155" w:lineRule="exact"/>
        <w:rPr>
          <w:rFonts w:ascii="Arial" w:cs="Arial" w:eastAsia="Arial" w:hAnsi="Arial"/>
          <w:sz w:val="19"/>
          <w:szCs w:val="19"/>
          <w:b w:val="1"/>
          <w:bCs w:val="1"/>
          <w:color w:val="auto"/>
        </w:rPr>
      </w:pPr>
    </w:p>
    <w:p>
      <w:pPr>
        <w:jc w:val="both"/>
        <w:ind w:left="-8" w:firstLine="656"/>
        <w:spacing w:after="0" w:line="293" w:lineRule="auto"/>
        <w:tabs>
          <w:tab w:leader="none" w:pos="1553" w:val="left"/>
        </w:tabs>
        <w:numPr>
          <w:ilvl w:val="1"/>
          <w:numId w:val="428"/>
        </w:numPr>
        <w:rPr>
          <w:rFonts w:ascii="Arial" w:cs="Arial" w:eastAsia="Arial" w:hAnsi="Arial"/>
          <w:sz w:val="19"/>
          <w:szCs w:val="19"/>
          <w:b w:val="1"/>
          <w:bCs w:val="1"/>
          <w:color w:val="auto"/>
        </w:rPr>
      </w:pPr>
      <w:r>
        <w:rPr>
          <w:rFonts w:ascii="Arial" w:cs="Arial" w:eastAsia="Arial" w:hAnsi="Arial"/>
          <w:sz w:val="19"/>
          <w:szCs w:val="19"/>
          <w:b w:val="1"/>
          <w:bCs w:val="1"/>
          <w:color w:val="auto"/>
        </w:rPr>
        <w:t>Reversion of Shares to the Share Reserve</w:t>
      </w:r>
      <w:r>
        <w:rPr>
          <w:rFonts w:ascii="Arial" w:cs="Arial" w:eastAsia="Arial" w:hAnsi="Arial"/>
          <w:sz w:val="19"/>
          <w:szCs w:val="19"/>
          <w:color w:val="auto"/>
        </w:rPr>
        <w:t>. If a Stock Award shall for any reason expire or otherwise terminate,</w:t>
      </w:r>
      <w:r>
        <w:rPr>
          <w:rFonts w:ascii="Arial" w:cs="Arial" w:eastAsia="Arial" w:hAnsi="Arial"/>
          <w:sz w:val="19"/>
          <w:szCs w:val="19"/>
          <w:b w:val="1"/>
          <w:bCs w:val="1"/>
          <w:color w:val="auto"/>
        </w:rPr>
        <w:t xml:space="preserve"> </w:t>
      </w:r>
      <w:r>
        <w:rPr>
          <w:rFonts w:ascii="Arial" w:cs="Arial" w:eastAsia="Arial" w:hAnsi="Arial"/>
          <w:sz w:val="19"/>
          <w:szCs w:val="19"/>
          <w:color w:val="auto"/>
        </w:rPr>
        <w:t>in whole or in part, without all of the Ordinary Shares covered by such Stock Award having been issued, the Ordinary Shares not acquired under such Stock Award shall revert to and again become available for issuance under the Plan. If any Ordinary Shares subject to a Stock Award are not delivered to an Awardholder because such Ordinary Shares are withheld for the payment of taxes, the number of Ordinary Shares that are not delivered to the Awardholder shall remain available for issuance under the Plan. If the exercise price of a Stock Award is satisfied by tendering Ordinary Shares held by the Awardholder (either by actual delivery or attestation), then the number of Ordinary Shares so tendered shall remain available for issuance under the Plan.</w:t>
      </w:r>
    </w:p>
    <w:p>
      <w:pPr>
        <w:spacing w:after="0" w:line="145" w:lineRule="exact"/>
        <w:rPr>
          <w:rFonts w:ascii="Arial" w:cs="Arial" w:eastAsia="Arial" w:hAnsi="Arial"/>
          <w:sz w:val="19"/>
          <w:szCs w:val="19"/>
          <w:b w:val="1"/>
          <w:bCs w:val="1"/>
          <w:color w:val="auto"/>
        </w:rPr>
      </w:pPr>
    </w:p>
    <w:p>
      <w:pPr>
        <w:jc w:val="both"/>
        <w:ind w:left="-8" w:firstLine="656"/>
        <w:spacing w:after="0" w:line="304" w:lineRule="auto"/>
        <w:tabs>
          <w:tab w:leader="none" w:pos="1528" w:val="left"/>
        </w:tabs>
        <w:numPr>
          <w:ilvl w:val="1"/>
          <w:numId w:val="428"/>
        </w:numPr>
        <w:rPr>
          <w:rFonts w:ascii="Arial" w:cs="Arial" w:eastAsia="Arial" w:hAnsi="Arial"/>
          <w:sz w:val="19"/>
          <w:szCs w:val="19"/>
          <w:b w:val="1"/>
          <w:bCs w:val="1"/>
          <w:color w:val="auto"/>
        </w:rPr>
      </w:pPr>
      <w:r>
        <w:rPr>
          <w:rFonts w:ascii="Arial" w:cs="Arial" w:eastAsia="Arial" w:hAnsi="Arial"/>
          <w:sz w:val="19"/>
          <w:szCs w:val="19"/>
          <w:b w:val="1"/>
          <w:bCs w:val="1"/>
          <w:color w:val="auto"/>
        </w:rPr>
        <w:t>Payment Shares</w:t>
      </w:r>
      <w:r>
        <w:rPr>
          <w:rFonts w:ascii="Arial" w:cs="Arial" w:eastAsia="Arial" w:hAnsi="Arial"/>
          <w:sz w:val="19"/>
          <w:szCs w:val="19"/>
          <w:color w:val="auto"/>
        </w:rPr>
        <w:t>. Subject to the overall limitation in Section 3(a) on the number of Ordinary Shares that may be</w:t>
      </w:r>
      <w:r>
        <w:rPr>
          <w:rFonts w:ascii="Arial" w:cs="Arial" w:eastAsia="Arial" w:hAnsi="Arial"/>
          <w:sz w:val="19"/>
          <w:szCs w:val="19"/>
          <w:b w:val="1"/>
          <w:bCs w:val="1"/>
          <w:color w:val="auto"/>
        </w:rPr>
        <w:t xml:space="preserve"> </w:t>
      </w:r>
      <w:r>
        <w:rPr>
          <w:rFonts w:ascii="Arial" w:cs="Arial" w:eastAsia="Arial" w:hAnsi="Arial"/>
          <w:sz w:val="19"/>
          <w:szCs w:val="19"/>
          <w:color w:val="auto"/>
        </w:rPr>
        <w:t>issued pursuant to Stock Awards, Ordinary Shares may be used as the form of payment for distributions under the Company’s Directors Deferred Compensation Plan but only to the extent such Ordinary Shares were credited prior to August 15, 2010 to a Non-Employee Director’s stock account pursuant to the Company’s Directors Deferred Compensation Plan.</w:t>
      </w:r>
    </w:p>
    <w:p>
      <w:pPr>
        <w:spacing w:after="0" w:line="135" w:lineRule="exact"/>
        <w:rPr>
          <w:rFonts w:ascii="Arial" w:cs="Arial" w:eastAsia="Arial" w:hAnsi="Arial"/>
          <w:sz w:val="19"/>
          <w:szCs w:val="19"/>
          <w:b w:val="1"/>
          <w:bCs w:val="1"/>
          <w:color w:val="auto"/>
        </w:rPr>
      </w:pPr>
    </w:p>
    <w:p>
      <w:pPr>
        <w:ind w:left="-8" w:firstLine="656"/>
        <w:spacing w:after="0" w:line="293" w:lineRule="auto"/>
        <w:tabs>
          <w:tab w:leader="none" w:pos="1553" w:val="left"/>
        </w:tabs>
        <w:numPr>
          <w:ilvl w:val="1"/>
          <w:numId w:val="428"/>
        </w:numPr>
        <w:rPr>
          <w:rFonts w:ascii="Arial" w:cs="Arial" w:eastAsia="Arial" w:hAnsi="Arial"/>
          <w:sz w:val="21"/>
          <w:szCs w:val="21"/>
          <w:b w:val="1"/>
          <w:bCs w:val="1"/>
          <w:color w:val="auto"/>
        </w:rPr>
      </w:pPr>
      <w:r>
        <w:rPr>
          <w:rFonts w:ascii="Arial" w:cs="Arial" w:eastAsia="Arial" w:hAnsi="Arial"/>
          <w:sz w:val="21"/>
          <w:szCs w:val="21"/>
          <w:b w:val="1"/>
          <w:bCs w:val="1"/>
          <w:color w:val="auto"/>
        </w:rPr>
        <w:t>Source of Shares</w:t>
      </w:r>
      <w:r>
        <w:rPr>
          <w:rFonts w:ascii="Arial" w:cs="Arial" w:eastAsia="Arial" w:hAnsi="Arial"/>
          <w:sz w:val="21"/>
          <w:szCs w:val="21"/>
          <w:color w:val="auto"/>
        </w:rPr>
        <w:t>. The shares issuable under the Plan shall be authorized but unissued or reacquired Ordinary</w:t>
      </w:r>
      <w:r>
        <w:rPr>
          <w:rFonts w:ascii="Arial" w:cs="Arial" w:eastAsia="Arial" w:hAnsi="Arial"/>
          <w:sz w:val="21"/>
          <w:szCs w:val="21"/>
          <w:b w:val="1"/>
          <w:bCs w:val="1"/>
          <w:color w:val="auto"/>
        </w:rPr>
        <w:t xml:space="preserve"> </w:t>
      </w:r>
      <w:r>
        <w:rPr>
          <w:rFonts w:ascii="Arial" w:cs="Arial" w:eastAsia="Arial" w:hAnsi="Arial"/>
          <w:sz w:val="21"/>
          <w:szCs w:val="21"/>
          <w:color w:val="auto"/>
        </w:rPr>
        <w:t>Shares, including Ordinary Shares repurchased by the Company or any Affiliate on the open market or otherwise.</w:t>
      </w:r>
    </w:p>
    <w:p>
      <w:pPr>
        <w:spacing w:after="0" w:line="389" w:lineRule="exact"/>
        <w:rPr>
          <w:sz w:val="20"/>
          <w:szCs w:val="20"/>
          <w:color w:val="auto"/>
        </w:rPr>
      </w:pPr>
    </w:p>
    <w:p>
      <w:pPr>
        <w:ind w:left="597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12"/>
          </w:cols>
          <w:pgMar w:left="248" w:top="841" w:right="239" w:bottom="1440" w:gutter="0" w:footer="0" w:header="0"/>
        </w:sectPr>
      </w:pPr>
    </w:p>
    <w:bookmarkStart w:id="435" w:name="page436"/>
    <w:bookmarkEnd w:id="435"/>
    <w:p>
      <w:pPr>
        <w:ind w:left="820" w:hanging="812"/>
        <w:spacing w:after="0"/>
        <w:tabs>
          <w:tab w:leader="none" w:pos="820" w:val="left"/>
        </w:tabs>
        <w:numPr>
          <w:ilvl w:val="0"/>
          <w:numId w:val="429"/>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persons eligible to receive Stock Awards are the Non-Employee Directors of the Company.</w:t>
      </w:r>
    </w:p>
    <w:p>
      <w:pPr>
        <w:spacing w:after="0" w:line="214" w:lineRule="exact"/>
        <w:rPr>
          <w:sz w:val="20"/>
          <w:szCs w:val="20"/>
          <w:color w:val="auto"/>
        </w:rPr>
      </w:pPr>
    </w:p>
    <w:p>
      <w:pPr>
        <w:ind w:left="820" w:hanging="812"/>
        <w:spacing w:after="0"/>
        <w:tabs>
          <w:tab w:leader="none" w:pos="820" w:val="left"/>
        </w:tabs>
        <w:numPr>
          <w:ilvl w:val="0"/>
          <w:numId w:val="430"/>
        </w:numPr>
        <w:rPr>
          <w:rFonts w:ascii="Arial" w:cs="Arial" w:eastAsia="Arial" w:hAnsi="Arial"/>
          <w:sz w:val="22"/>
          <w:szCs w:val="22"/>
          <w:b w:val="1"/>
          <w:bCs w:val="1"/>
          <w:color w:val="auto"/>
        </w:rPr>
      </w:pPr>
      <w:r>
        <w:rPr>
          <w:rFonts w:ascii="Arial" w:cs="Arial" w:eastAsia="Arial" w:hAnsi="Arial"/>
          <w:sz w:val="22"/>
          <w:szCs w:val="22"/>
          <w:b w:val="1"/>
          <w:bCs w:val="1"/>
          <w:color w:val="auto"/>
        </w:rPr>
        <w:t>Option and SAR Provisions.</w:t>
      </w:r>
    </w:p>
    <w:p>
      <w:pPr>
        <w:spacing w:after="0" w:line="22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Each Option or SAR shall be in such form and shall contain such terms and conditions as required by the Plan. Each Option and SAR shall contain such additional terms and conditions, not inconsistent with the Plan, as the Board shall deem appropriate. Each Option and SAR shall include (through incorporation of provisions hereof by reference in the applicable Stock Award or otherwise) the substance of each of the following provisions:</w:t>
      </w:r>
    </w:p>
    <w:p>
      <w:pPr>
        <w:spacing w:after="0" w:line="182" w:lineRule="exact"/>
        <w:rPr>
          <w:sz w:val="20"/>
          <w:szCs w:val="20"/>
          <w:color w:val="auto"/>
        </w:rPr>
      </w:pPr>
    </w:p>
    <w:p>
      <w:pPr>
        <w:ind w:left="1560" w:hanging="904"/>
        <w:spacing w:after="0"/>
        <w:tabs>
          <w:tab w:leader="none" w:pos="1560" w:val="left"/>
        </w:tabs>
        <w:numPr>
          <w:ilvl w:val="0"/>
          <w:numId w:val="431"/>
        </w:numPr>
        <w:rPr>
          <w:rFonts w:ascii="Arial" w:cs="Arial" w:eastAsia="Arial" w:hAnsi="Arial"/>
          <w:sz w:val="19"/>
          <w:szCs w:val="19"/>
          <w:b w:val="1"/>
          <w:bCs w:val="1"/>
          <w:color w:val="auto"/>
        </w:rPr>
      </w:pPr>
      <w:r>
        <w:rPr>
          <w:rFonts w:ascii="Arial" w:cs="Arial" w:eastAsia="Arial" w:hAnsi="Arial"/>
          <w:sz w:val="19"/>
          <w:szCs w:val="19"/>
          <w:b w:val="1"/>
          <w:bCs w:val="1"/>
          <w:color w:val="auto"/>
        </w:rPr>
        <w:t>Term</w:t>
      </w:r>
      <w:r>
        <w:rPr>
          <w:rFonts w:ascii="Arial" w:cs="Arial" w:eastAsia="Arial" w:hAnsi="Arial"/>
          <w:sz w:val="19"/>
          <w:szCs w:val="19"/>
          <w:color w:val="auto"/>
        </w:rPr>
        <w:t>. No Option or SAR shall be exercisable after the expiration of ten (10) years from the date it was granted.</w:t>
      </w:r>
    </w:p>
    <w:p>
      <w:pPr>
        <w:spacing w:after="0" w:line="254" w:lineRule="exact"/>
        <w:rPr>
          <w:rFonts w:ascii="Arial" w:cs="Arial" w:eastAsia="Arial" w:hAnsi="Arial"/>
          <w:sz w:val="19"/>
          <w:szCs w:val="19"/>
          <w:b w:val="1"/>
          <w:bCs w:val="1"/>
          <w:color w:val="auto"/>
        </w:rPr>
      </w:pPr>
    </w:p>
    <w:p>
      <w:pPr>
        <w:jc w:val="both"/>
        <w:ind w:firstLine="656"/>
        <w:spacing w:after="0" w:line="252" w:lineRule="auto"/>
        <w:tabs>
          <w:tab w:leader="none" w:pos="1561" w:val="left"/>
        </w:tabs>
        <w:numPr>
          <w:ilvl w:val="0"/>
          <w:numId w:val="431"/>
        </w:numPr>
        <w:rPr>
          <w:rFonts w:ascii="Arial" w:cs="Arial" w:eastAsia="Arial" w:hAnsi="Arial"/>
          <w:sz w:val="22"/>
          <w:szCs w:val="22"/>
          <w:b w:val="1"/>
          <w:bCs w:val="1"/>
          <w:color w:val="auto"/>
        </w:rPr>
      </w:pPr>
      <w:r>
        <w:rPr>
          <w:rFonts w:ascii="Arial" w:cs="Arial" w:eastAsia="Arial" w:hAnsi="Arial"/>
          <w:sz w:val="22"/>
          <w:szCs w:val="22"/>
          <w:b w:val="1"/>
          <w:bCs w:val="1"/>
          <w:color w:val="auto"/>
        </w:rPr>
        <w:t>Exercise Price</w:t>
      </w:r>
      <w:r>
        <w:rPr>
          <w:rFonts w:ascii="Arial" w:cs="Arial" w:eastAsia="Arial" w:hAnsi="Arial"/>
          <w:sz w:val="22"/>
          <w:szCs w:val="22"/>
          <w:color w:val="auto"/>
        </w:rPr>
        <w:t>. The exercise price (or strike price) of each Option or SAR shall be one hundred percent (100%)</w:t>
      </w:r>
      <w:r>
        <w:rPr>
          <w:rFonts w:ascii="Arial" w:cs="Arial" w:eastAsia="Arial" w:hAnsi="Arial"/>
          <w:sz w:val="22"/>
          <w:szCs w:val="22"/>
          <w:b w:val="1"/>
          <w:bCs w:val="1"/>
          <w:color w:val="auto"/>
        </w:rPr>
        <w:t xml:space="preserve"> </w:t>
      </w:r>
      <w:r>
        <w:rPr>
          <w:rFonts w:ascii="Arial" w:cs="Arial" w:eastAsia="Arial" w:hAnsi="Arial"/>
          <w:sz w:val="22"/>
          <w:szCs w:val="22"/>
          <w:color w:val="auto"/>
        </w:rPr>
        <w:t>of the Fair Market Value of the Ordinary Shares subject to the Option or SAR on the date the Option or SAR is granted, provided that in all cases the exercise price (or strike price) is not less than the nominal value of an Ordinary Share. Each SAR will be denominated in Ordinary Share equivalents.</w:t>
      </w:r>
    </w:p>
    <w:p>
      <w:pPr>
        <w:spacing w:after="0" w:line="180" w:lineRule="exact"/>
        <w:rPr>
          <w:rFonts w:ascii="Arial" w:cs="Arial" w:eastAsia="Arial" w:hAnsi="Arial"/>
          <w:sz w:val="22"/>
          <w:szCs w:val="22"/>
          <w:b w:val="1"/>
          <w:bCs w:val="1"/>
          <w:color w:val="auto"/>
        </w:rPr>
      </w:pPr>
    </w:p>
    <w:p>
      <w:pPr>
        <w:jc w:val="both"/>
        <w:ind w:firstLine="656"/>
        <w:spacing w:after="0" w:line="293" w:lineRule="auto"/>
        <w:tabs>
          <w:tab w:leader="none" w:pos="1536" w:val="left"/>
        </w:tabs>
        <w:numPr>
          <w:ilvl w:val="0"/>
          <w:numId w:val="431"/>
        </w:numPr>
        <w:rPr>
          <w:rFonts w:ascii="Arial" w:cs="Arial" w:eastAsia="Arial" w:hAnsi="Arial"/>
          <w:sz w:val="19"/>
          <w:szCs w:val="19"/>
          <w:b w:val="1"/>
          <w:bCs w:val="1"/>
          <w:color w:val="auto"/>
        </w:rPr>
      </w:pPr>
      <w:r>
        <w:rPr>
          <w:rFonts w:ascii="Arial" w:cs="Arial" w:eastAsia="Arial" w:hAnsi="Arial"/>
          <w:sz w:val="19"/>
          <w:szCs w:val="19"/>
          <w:b w:val="1"/>
          <w:bCs w:val="1"/>
          <w:color w:val="auto"/>
        </w:rPr>
        <w:t>Consideration for Options</w:t>
      </w:r>
      <w:r>
        <w:rPr>
          <w:rFonts w:ascii="Arial" w:cs="Arial" w:eastAsia="Arial" w:hAnsi="Arial"/>
          <w:sz w:val="19"/>
          <w:szCs w:val="19"/>
          <w:color w:val="auto"/>
        </w:rPr>
        <w:t>. The purchase price of Ordinary Shares acquired pursuant to an Option may be paid,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the extent permitted by applicable law, in any combination of the following; </w:t>
      </w:r>
      <w:r>
        <w:rPr>
          <w:rFonts w:ascii="Arial" w:cs="Arial" w:eastAsia="Arial" w:hAnsi="Arial"/>
          <w:sz w:val="19"/>
          <w:szCs w:val="19"/>
          <w:i w:val="1"/>
          <w:iCs w:val="1"/>
          <w:color w:val="auto"/>
        </w:rPr>
        <w:t>provided, however</w:t>
      </w:r>
      <w:r>
        <w:rPr>
          <w:rFonts w:ascii="Arial" w:cs="Arial" w:eastAsia="Arial" w:hAnsi="Arial"/>
          <w:sz w:val="19"/>
          <w:szCs w:val="19"/>
          <w:color w:val="auto"/>
        </w:rPr>
        <w:t>, that where Ordinary Shares are issued pursuant to the exercise of an Option the nominal value of each newly issued Ordinary Share is fully paid up: (i) cash or check, (ii) delivery to the Company (either by actual delivery or attestation) of Ordinary Shares, or (iii) to the extent permitted by law, pursuant to a program developed under Regulation T as promulgated by the Federal Reserve Board that, prior to the issuance of Ordinary Shares, results in either the receipt of cash (or check) by the Company or the receipt of irrevocable instructions to pay the aggregate exercise price to the Company from the sales proceeds.</w:t>
      </w:r>
    </w:p>
    <w:p>
      <w:pPr>
        <w:spacing w:after="0" w:line="145" w:lineRule="exact"/>
        <w:rPr>
          <w:rFonts w:ascii="Arial" w:cs="Arial" w:eastAsia="Arial" w:hAnsi="Arial"/>
          <w:sz w:val="19"/>
          <w:szCs w:val="19"/>
          <w:b w:val="1"/>
          <w:bCs w:val="1"/>
          <w:color w:val="auto"/>
        </w:rPr>
      </w:pPr>
    </w:p>
    <w:p>
      <w:pPr>
        <w:jc w:val="both"/>
        <w:ind w:firstLine="656"/>
        <w:spacing w:after="0" w:line="246" w:lineRule="auto"/>
        <w:tabs>
          <w:tab w:leader="none" w:pos="1561" w:val="left"/>
        </w:tabs>
        <w:numPr>
          <w:ilvl w:val="0"/>
          <w:numId w:val="43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Exercise and Payment of a SAR. </w:t>
      </w:r>
      <w:r>
        <w:rPr>
          <w:rFonts w:ascii="Arial" w:cs="Arial" w:eastAsia="Arial" w:hAnsi="Arial"/>
          <w:sz w:val="22"/>
          <w:szCs w:val="22"/>
          <w:color w:val="auto"/>
        </w:rPr>
        <w:t>To exercise any outstanding SAR, the Awardholder must provide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notice of exercise to the Company in compliance with the provisions of the Award Agreement evidencing such SAR. The appreciation distribution payable on the exercise of a SAR will be not greater than an amount equal to the excess of (A) the aggregate Fair Market Value (on the date of the exercise of the SAR) of a number of Ordinary Shares equal to the number of Ordinary Share equivalents in which the Awardholder is vested under such SAR, and with respect to which the Awardholder is exercising the SAR on such date, over (B) the strike price that will be determined by the Board at the time of grant of the SAR. The appreciation distribution in respect to a SAR may be paid in Ordinary Shares, in cash, in any combination of the two or in any other form of consideration, as determined by the Board and contained in the Award Agreement evidencing such SAR;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where Ordinary Shares are issued pursuant to a SAR the nominal value of each newly issued Ordinary Share is fully</w:t>
      </w:r>
      <w:r>
        <w:rPr>
          <w:rFonts w:ascii="Arial" w:cs="Arial" w:eastAsia="Arial" w:hAnsi="Arial"/>
          <w:sz w:val="22"/>
          <w:szCs w:val="22"/>
          <w:i w:val="1"/>
          <w:iCs w:val="1"/>
          <w:color w:val="auto"/>
        </w:rPr>
        <w:t xml:space="preserve"> </w:t>
      </w:r>
      <w:r>
        <w:rPr>
          <w:rFonts w:ascii="Arial" w:cs="Arial" w:eastAsia="Arial" w:hAnsi="Arial"/>
          <w:sz w:val="22"/>
          <w:szCs w:val="22"/>
          <w:color w:val="auto"/>
        </w:rPr>
        <w:t>paid up.</w:t>
      </w:r>
    </w:p>
    <w:p>
      <w:pPr>
        <w:spacing w:after="0" w:line="189" w:lineRule="exact"/>
        <w:rPr>
          <w:rFonts w:ascii="Arial" w:cs="Arial" w:eastAsia="Arial" w:hAnsi="Arial"/>
          <w:sz w:val="22"/>
          <w:szCs w:val="22"/>
          <w:b w:val="1"/>
          <w:bCs w:val="1"/>
          <w:color w:val="auto"/>
        </w:rPr>
      </w:pPr>
    </w:p>
    <w:p>
      <w:pPr>
        <w:ind w:firstLine="656"/>
        <w:spacing w:after="0" w:line="269" w:lineRule="auto"/>
        <w:tabs>
          <w:tab w:leader="none" w:pos="1536" w:val="left"/>
        </w:tabs>
        <w:numPr>
          <w:ilvl w:val="0"/>
          <w:numId w:val="431"/>
        </w:numPr>
        <w:rPr>
          <w:rFonts w:ascii="Arial" w:cs="Arial" w:eastAsia="Arial" w:hAnsi="Arial"/>
          <w:sz w:val="22"/>
          <w:szCs w:val="22"/>
          <w:b w:val="1"/>
          <w:bCs w:val="1"/>
          <w:color w:val="auto"/>
        </w:rPr>
      </w:pPr>
      <w:r>
        <w:rPr>
          <w:rFonts w:ascii="Arial" w:cs="Arial" w:eastAsia="Arial" w:hAnsi="Arial"/>
          <w:sz w:val="22"/>
          <w:szCs w:val="22"/>
          <w:b w:val="1"/>
          <w:bCs w:val="1"/>
          <w:color w:val="auto"/>
        </w:rPr>
        <w:t>Transferability</w:t>
      </w:r>
      <w:r>
        <w:rPr>
          <w:rFonts w:ascii="Arial" w:cs="Arial" w:eastAsia="Arial" w:hAnsi="Arial"/>
          <w:sz w:val="22"/>
          <w:szCs w:val="22"/>
          <w:color w:val="auto"/>
        </w:rPr>
        <w:t>. Except as otherwise provided for in this Section 5(e), an Option or SAR shall not be transferable</w:t>
      </w:r>
      <w:r>
        <w:rPr>
          <w:rFonts w:ascii="Arial" w:cs="Arial" w:eastAsia="Arial" w:hAnsi="Arial"/>
          <w:sz w:val="22"/>
          <w:szCs w:val="22"/>
          <w:b w:val="1"/>
          <w:bCs w:val="1"/>
          <w:color w:val="auto"/>
        </w:rPr>
        <w:t xml:space="preserve"> </w:t>
      </w:r>
      <w:r>
        <w:rPr>
          <w:rFonts w:ascii="Arial" w:cs="Arial" w:eastAsia="Arial" w:hAnsi="Arial"/>
          <w:sz w:val="22"/>
          <w:szCs w:val="22"/>
          <w:color w:val="auto"/>
        </w:rPr>
        <w:t>except by will or by the laws of descent and distribution and</w:t>
      </w:r>
    </w:p>
    <w:p>
      <w:pPr>
        <w:spacing w:after="0" w:line="200" w:lineRule="exact"/>
        <w:rPr>
          <w:sz w:val="20"/>
          <w:szCs w:val="20"/>
          <w:color w:val="auto"/>
        </w:rPr>
      </w:pPr>
    </w:p>
    <w:p>
      <w:pPr>
        <w:spacing w:after="0" w:line="211"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41" w:right="239" w:bottom="1440" w:gutter="0" w:footer="0" w:header="0"/>
        </w:sectPr>
      </w:pPr>
    </w:p>
    <w:bookmarkStart w:id="436" w:name="page437"/>
    <w:bookmarkEnd w:id="436"/>
    <w:p>
      <w:pPr>
        <w:jc w:val="both"/>
        <w:spacing w:after="0" w:line="288" w:lineRule="auto"/>
        <w:rPr>
          <w:sz w:val="20"/>
          <w:szCs w:val="20"/>
          <w:color w:val="auto"/>
        </w:rPr>
      </w:pPr>
      <w:r>
        <w:rPr>
          <w:rFonts w:ascii="Arial" w:cs="Arial" w:eastAsia="Arial" w:hAnsi="Arial"/>
          <w:sz w:val="19"/>
          <w:szCs w:val="19"/>
          <w:color w:val="auto"/>
        </w:rPr>
        <w:t>shall be exercisable only by the Awardholder during the life of the Awardholder. However, an Option or SAR may be transferred for no consideration upon written consent of the Board if (i) at the time of transfer, a Form S-8 registration statement under the Securities Act is available for the issuance of Ordinary Shares by the Company upon the exercise of such transferred Option or SAR, or (ii) the transfer is to the Awardholder’s employer at the time of transfer or an affiliate of the Awardholder’s employer at the time of transfer. Any such transfer is subject to such limits as the Board may establish, and subject to the transferee agreeing to remain subject to all the terms and conditions applicable to the Option or SAR prior to such transfer. The forgoing right to transfer the Option or SAR shall apply to the right to consent to amendments to the Award Agreement for such Option or SAR. In addition, until the Awardholder transfers the Option or SAR, an Awardholder may, by delivering written notice to the Company, in a form provided by or otherwise satisfactory to the Company, designate a third party who, in the event of the death of the Awardholder, shall thereafter be entitled to exercise the Option or SAR.</w:t>
      </w:r>
    </w:p>
    <w:p>
      <w:pPr>
        <w:spacing w:after="0" w:line="154" w:lineRule="exact"/>
        <w:rPr>
          <w:sz w:val="20"/>
          <w:szCs w:val="20"/>
          <w:color w:val="auto"/>
        </w:rPr>
      </w:pPr>
    </w:p>
    <w:p>
      <w:pPr>
        <w:jc w:val="both"/>
        <w:ind w:firstLine="656"/>
        <w:spacing w:after="0" w:line="264" w:lineRule="auto"/>
        <w:tabs>
          <w:tab w:leader="none" w:pos="1512" w:val="left"/>
        </w:tabs>
        <w:numPr>
          <w:ilvl w:val="0"/>
          <w:numId w:val="432"/>
        </w:numPr>
        <w:rPr>
          <w:rFonts w:ascii="Arial" w:cs="Arial" w:eastAsia="Arial" w:hAnsi="Arial"/>
          <w:sz w:val="21"/>
          <w:szCs w:val="21"/>
          <w:b w:val="1"/>
          <w:bCs w:val="1"/>
          <w:color w:val="auto"/>
        </w:rPr>
      </w:pPr>
      <w:r>
        <w:rPr>
          <w:rFonts w:ascii="Arial" w:cs="Arial" w:eastAsia="Arial" w:hAnsi="Arial"/>
          <w:sz w:val="21"/>
          <w:szCs w:val="21"/>
          <w:b w:val="1"/>
          <w:bCs w:val="1"/>
          <w:color w:val="auto"/>
        </w:rPr>
        <w:t>Vesting</w:t>
      </w:r>
      <w:r>
        <w:rPr>
          <w:rFonts w:ascii="Arial" w:cs="Arial" w:eastAsia="Arial" w:hAnsi="Arial"/>
          <w:sz w:val="21"/>
          <w:szCs w:val="21"/>
          <w:color w:val="auto"/>
        </w:rPr>
        <w:t>. The total number of Ordinary Shares subject to an Option or SAR may vest and therefore become</w:t>
      </w:r>
      <w:r>
        <w:rPr>
          <w:rFonts w:ascii="Arial" w:cs="Arial" w:eastAsia="Arial" w:hAnsi="Arial"/>
          <w:sz w:val="21"/>
          <w:szCs w:val="21"/>
          <w:b w:val="1"/>
          <w:bCs w:val="1"/>
          <w:color w:val="auto"/>
        </w:rPr>
        <w:t xml:space="preserve"> </w:t>
      </w:r>
      <w:r>
        <w:rPr>
          <w:rFonts w:ascii="Arial" w:cs="Arial" w:eastAsia="Arial" w:hAnsi="Arial"/>
          <w:sz w:val="21"/>
          <w:szCs w:val="21"/>
          <w:color w:val="auto"/>
        </w:rPr>
        <w:t>exercisable in periodic installments that may or may not be equal. The Option or SAR may be subject to such other terms and conditions on the time or times when it may or may not be exercised as the Board may deem appropriate. The vesting provisions of individual Options or SARs may vary. The provisions of this Section 5(f) are subject to any Option or SAR provisions governing the minimum number of Ordinary Shares as to which an Option or SAR may be exercised.</w:t>
      </w:r>
    </w:p>
    <w:p>
      <w:pPr>
        <w:spacing w:after="0" w:line="170" w:lineRule="exact"/>
        <w:rPr>
          <w:rFonts w:ascii="Arial" w:cs="Arial" w:eastAsia="Arial" w:hAnsi="Arial"/>
          <w:sz w:val="21"/>
          <w:szCs w:val="21"/>
          <w:b w:val="1"/>
          <w:bCs w:val="1"/>
          <w:color w:val="auto"/>
        </w:rPr>
      </w:pPr>
    </w:p>
    <w:p>
      <w:pPr>
        <w:jc w:val="both"/>
        <w:ind w:firstLine="656"/>
        <w:spacing w:after="0" w:line="261" w:lineRule="auto"/>
        <w:tabs>
          <w:tab w:leader="none" w:pos="1549" w:val="left"/>
        </w:tabs>
        <w:numPr>
          <w:ilvl w:val="0"/>
          <w:numId w:val="43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Early Exercise. </w:t>
      </w:r>
      <w:r>
        <w:rPr>
          <w:rFonts w:ascii="Arial" w:cs="Arial" w:eastAsia="Arial" w:hAnsi="Arial"/>
          <w:sz w:val="21"/>
          <w:szCs w:val="21"/>
          <w:color w:val="auto"/>
        </w:rPr>
        <w:t>The Option may, but need not, include a provision whereby the Optionholder may elect at any</w:t>
      </w:r>
      <w:r>
        <w:rPr>
          <w:rFonts w:ascii="Arial" w:cs="Arial" w:eastAsia="Arial" w:hAnsi="Arial"/>
          <w:sz w:val="21"/>
          <w:szCs w:val="21"/>
          <w:b w:val="1"/>
          <w:bCs w:val="1"/>
          <w:color w:val="auto"/>
        </w:rPr>
        <w:t xml:space="preserve"> </w:t>
      </w:r>
      <w:r>
        <w:rPr>
          <w:rFonts w:ascii="Arial" w:cs="Arial" w:eastAsia="Arial" w:hAnsi="Arial"/>
          <w:sz w:val="21"/>
          <w:szCs w:val="21"/>
          <w:color w:val="auto"/>
        </w:rPr>
        <w:t>time before the Optionholder’s Continuous Service terminates to exercise the Option as to any part or all of the Ordinary Shares subject to the Option prior to the full vesting of the Option. Any unvested Ordinary Shares so purchased may be subject to a repurchase option in favor of the Company or any Affiliate or to any other restriction the Board determines to be appropriate. The Company or Affiliate will not exercise its repurchase option until at least six (6) months (or such longer or shorter period of time required to avoid classification of the Option as a liability for financial accounting purposes) have elapsed following exercise of the Option unless the Board otherwise specifically provides in the Option.</w:t>
      </w:r>
    </w:p>
    <w:p>
      <w:pPr>
        <w:spacing w:after="0" w:line="174" w:lineRule="exact"/>
        <w:rPr>
          <w:rFonts w:ascii="Arial" w:cs="Arial" w:eastAsia="Arial" w:hAnsi="Arial"/>
          <w:sz w:val="21"/>
          <w:szCs w:val="21"/>
          <w:b w:val="1"/>
          <w:bCs w:val="1"/>
          <w:color w:val="auto"/>
        </w:rPr>
      </w:pPr>
    </w:p>
    <w:p>
      <w:pPr>
        <w:jc w:val="both"/>
        <w:ind w:firstLine="656"/>
        <w:spacing w:after="0" w:line="293" w:lineRule="auto"/>
        <w:tabs>
          <w:tab w:leader="none" w:pos="1561" w:val="left"/>
        </w:tabs>
        <w:numPr>
          <w:ilvl w:val="0"/>
          <w:numId w:val="432"/>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of Continuous Service</w:t>
      </w:r>
      <w:r>
        <w:rPr>
          <w:rFonts w:ascii="Arial" w:cs="Arial" w:eastAsia="Arial" w:hAnsi="Arial"/>
          <w:sz w:val="19"/>
          <w:szCs w:val="19"/>
          <w:color w:val="auto"/>
        </w:rPr>
        <w:t>. In the event that an Awardholder’s Continuous Service terminates (other</w:t>
      </w:r>
      <w:r>
        <w:rPr>
          <w:rFonts w:ascii="Arial" w:cs="Arial" w:eastAsia="Arial" w:hAnsi="Arial"/>
          <w:sz w:val="19"/>
          <w:szCs w:val="19"/>
          <w:b w:val="1"/>
          <w:bCs w:val="1"/>
          <w:color w:val="auto"/>
        </w:rPr>
        <w:t xml:space="preserve"> </w:t>
      </w:r>
      <w:r>
        <w:rPr>
          <w:rFonts w:ascii="Arial" w:cs="Arial" w:eastAsia="Arial" w:hAnsi="Arial"/>
          <w:sz w:val="19"/>
          <w:szCs w:val="19"/>
          <w:color w:val="auto"/>
        </w:rPr>
        <w:t>than upon the Awardholder’s death or Disability or upon a Change in Control), the Awardholder may exercise his or her Option or SAR (to the extent that the Awardholder was entitled to exercise such Option or SAR as of the date of termination of Continuous Service), but only within such period of time ending on the earlier of (i) the date three (3) months following the termination of the Awardholder’s Continuous Service, or (ii) the expiration of the term of the Option or SAR as set forth in the Award Agreement. If, after termination of Continuous Service, the Awardholder does not exercise his or her Option or SAR within the time specified herein or in the Award Agreement (as applicable), the Option or SAR shall terminate.</w:t>
      </w:r>
    </w:p>
    <w:p>
      <w:pPr>
        <w:spacing w:after="0" w:line="145" w:lineRule="exact"/>
        <w:rPr>
          <w:rFonts w:ascii="Arial" w:cs="Arial" w:eastAsia="Arial" w:hAnsi="Arial"/>
          <w:sz w:val="19"/>
          <w:szCs w:val="19"/>
          <w:b w:val="1"/>
          <w:bCs w:val="1"/>
          <w:color w:val="auto"/>
        </w:rPr>
      </w:pPr>
    </w:p>
    <w:p>
      <w:pPr>
        <w:jc w:val="both"/>
        <w:ind w:firstLine="656"/>
        <w:spacing w:after="0" w:line="252" w:lineRule="auto"/>
        <w:tabs>
          <w:tab w:leader="none" w:pos="1500" w:val="left"/>
        </w:tabs>
        <w:numPr>
          <w:ilvl w:val="0"/>
          <w:numId w:val="432"/>
        </w:numPr>
        <w:rPr>
          <w:rFonts w:ascii="Arial" w:cs="Arial" w:eastAsia="Arial" w:hAnsi="Arial"/>
          <w:sz w:val="22"/>
          <w:szCs w:val="22"/>
          <w:b w:val="1"/>
          <w:bCs w:val="1"/>
          <w:color w:val="auto"/>
        </w:rPr>
      </w:pPr>
      <w:r>
        <w:rPr>
          <w:rFonts w:ascii="Arial" w:cs="Arial" w:eastAsia="Arial" w:hAnsi="Arial"/>
          <w:sz w:val="22"/>
          <w:szCs w:val="22"/>
          <w:b w:val="1"/>
          <w:bCs w:val="1"/>
          <w:color w:val="auto"/>
        </w:rPr>
        <w:t>Extension of Termination Date</w:t>
      </w:r>
      <w:r>
        <w:rPr>
          <w:rFonts w:ascii="Arial" w:cs="Arial" w:eastAsia="Arial" w:hAnsi="Arial"/>
          <w:sz w:val="22"/>
          <w:szCs w:val="22"/>
          <w:color w:val="auto"/>
        </w:rPr>
        <w:t>. If the exercise of an Option or SAR following the termination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Awardholder’s Continuous Service (other than upon the Awardholder’s death or Disability or upon a Change in Control) would be prohibited at any time solely because the issuance of Ordinary Shares would violate the registration requirements under the Securities</w:t>
      </w:r>
    </w:p>
    <w:p>
      <w:pPr>
        <w:spacing w:after="0" w:line="200" w:lineRule="exact"/>
        <w:rPr>
          <w:sz w:val="20"/>
          <w:szCs w:val="20"/>
          <w:color w:val="auto"/>
        </w:rPr>
      </w:pPr>
    </w:p>
    <w:p>
      <w:pPr>
        <w:spacing w:after="0" w:line="229"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47" w:right="239" w:bottom="1440" w:gutter="0" w:footer="0" w:header="0"/>
        </w:sectPr>
      </w:pPr>
    </w:p>
    <w:bookmarkStart w:id="437" w:name="page438"/>
    <w:bookmarkEnd w:id="437"/>
    <w:p>
      <w:pPr>
        <w:jc w:val="both"/>
        <w:spacing w:after="0" w:line="312" w:lineRule="auto"/>
        <w:rPr>
          <w:sz w:val="20"/>
          <w:szCs w:val="20"/>
          <w:color w:val="auto"/>
        </w:rPr>
      </w:pPr>
      <w:r>
        <w:rPr>
          <w:rFonts w:ascii="Arial" w:cs="Arial" w:eastAsia="Arial" w:hAnsi="Arial"/>
          <w:sz w:val="19"/>
          <w:szCs w:val="19"/>
          <w:color w:val="auto"/>
        </w:rPr>
        <w:t>Act, then the Option or SAR shall terminate on the earlier of (i) the expiration of a period of three (3) months after the termination of the Awardholder’s Continuous Service during which the exercise of the Option or SAR would not be in violation of such registration requirements, or (ii) the expiration of the term of the Option or SAR as set forth in the Award Agreement.</w:t>
      </w:r>
    </w:p>
    <w:p>
      <w:pPr>
        <w:spacing w:after="0" w:line="128" w:lineRule="exact"/>
        <w:rPr>
          <w:sz w:val="20"/>
          <w:szCs w:val="20"/>
          <w:color w:val="auto"/>
        </w:rPr>
      </w:pPr>
    </w:p>
    <w:p>
      <w:pPr>
        <w:jc w:val="both"/>
        <w:ind w:firstLine="656"/>
        <w:spacing w:after="0" w:line="262" w:lineRule="auto"/>
        <w:tabs>
          <w:tab w:leader="none" w:pos="1512" w:val="left"/>
        </w:tabs>
        <w:numPr>
          <w:ilvl w:val="1"/>
          <w:numId w:val="433"/>
        </w:numPr>
        <w:rPr>
          <w:rFonts w:ascii="Arial" w:cs="Arial" w:eastAsia="Arial" w:hAnsi="Arial"/>
          <w:sz w:val="21"/>
          <w:szCs w:val="21"/>
          <w:b w:val="1"/>
          <w:bCs w:val="1"/>
          <w:color w:val="auto"/>
        </w:rPr>
      </w:pPr>
      <w:r>
        <w:rPr>
          <w:rFonts w:ascii="Arial" w:cs="Arial" w:eastAsia="Arial" w:hAnsi="Arial"/>
          <w:sz w:val="21"/>
          <w:szCs w:val="21"/>
          <w:b w:val="1"/>
          <w:bCs w:val="1"/>
          <w:color w:val="auto"/>
        </w:rPr>
        <w:t>Disability of Awardholder</w:t>
      </w:r>
      <w:r>
        <w:rPr>
          <w:rFonts w:ascii="Arial" w:cs="Arial" w:eastAsia="Arial" w:hAnsi="Arial"/>
          <w:sz w:val="21"/>
          <w:szCs w:val="21"/>
          <w:color w:val="auto"/>
        </w:rPr>
        <w:t>. In the event that an Awardholder’s Continuous Service terminates as a result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Awardholder’s Disability, the Awardholder may exercise his or her Option or SAR (to the extent that the Awardholder was entitled to exercise it as of the date of termination of Continuous Service), but only within such period of time ending on the earlier of (i) the date twelve (12) months following such termination of Continuous Service, or (ii) the expiration of the term of the Option or SAR as set forth in the Award Agreement. If, after termination, the Awardholder does not exercise his or her Option or SAR within the time specified herein or in the Award Agreement, the Option or SAR shall terminate.</w:t>
      </w:r>
    </w:p>
    <w:p>
      <w:pPr>
        <w:spacing w:after="0" w:line="173" w:lineRule="exact"/>
        <w:rPr>
          <w:rFonts w:ascii="Arial" w:cs="Arial" w:eastAsia="Arial" w:hAnsi="Arial"/>
          <w:sz w:val="21"/>
          <w:szCs w:val="21"/>
          <w:b w:val="1"/>
          <w:bCs w:val="1"/>
          <w:color w:val="auto"/>
        </w:rPr>
      </w:pPr>
    </w:p>
    <w:p>
      <w:pPr>
        <w:jc w:val="both"/>
        <w:ind w:firstLine="656"/>
        <w:spacing w:after="0" w:line="291" w:lineRule="auto"/>
        <w:tabs>
          <w:tab w:leader="none" w:pos="1561" w:val="left"/>
        </w:tabs>
        <w:numPr>
          <w:ilvl w:val="1"/>
          <w:numId w:val="433"/>
        </w:numPr>
        <w:rPr>
          <w:rFonts w:ascii="Arial" w:cs="Arial" w:eastAsia="Arial" w:hAnsi="Arial"/>
          <w:sz w:val="19"/>
          <w:szCs w:val="19"/>
          <w:b w:val="1"/>
          <w:bCs w:val="1"/>
          <w:color w:val="auto"/>
        </w:rPr>
      </w:pPr>
      <w:r>
        <w:rPr>
          <w:rFonts w:ascii="Arial" w:cs="Arial" w:eastAsia="Arial" w:hAnsi="Arial"/>
          <w:sz w:val="19"/>
          <w:szCs w:val="19"/>
          <w:b w:val="1"/>
          <w:bCs w:val="1"/>
          <w:color w:val="auto"/>
        </w:rPr>
        <w:t>Death of Awardholder</w:t>
      </w:r>
      <w:r>
        <w:rPr>
          <w:rFonts w:ascii="Arial" w:cs="Arial" w:eastAsia="Arial" w:hAnsi="Arial"/>
          <w:sz w:val="19"/>
          <w:szCs w:val="19"/>
          <w:color w:val="auto"/>
        </w:rPr>
        <w:t>. In the event that (i) an Awardholder’s Continuous Service terminates as a result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Awardholder’s death, or (ii) the Awardholder dies within the three (3)-month period after the termination of the Awardholder’s Continuous Service for a reason other than death, then the Option or SAR may be exercised (to the extent the Awardholder was entitled to exercise such Option or SAR as of the date of death) by the Awardholder’s estate, by a person who acquired the right to exercise the Option or SAR by bequest or inheritance, or by a person designated to exercise the Option or SAR upon the Awardholder’s death, but only within the period ending on the earlier of (i) the date eighteen (18) months following the date of death, or (ii) the expiration of the term of such Option or SAR as set forth in the Award Agreement. If, after the Awardholder’s death, the Option or SAR is not exercised within the time specified herein, the Option or SAR shall terminate.</w:t>
      </w:r>
    </w:p>
    <w:p>
      <w:pPr>
        <w:spacing w:after="0" w:line="149" w:lineRule="exact"/>
        <w:rPr>
          <w:rFonts w:ascii="Arial" w:cs="Arial" w:eastAsia="Arial" w:hAnsi="Arial"/>
          <w:sz w:val="19"/>
          <w:szCs w:val="19"/>
          <w:b w:val="1"/>
          <w:bCs w:val="1"/>
          <w:color w:val="auto"/>
        </w:rPr>
      </w:pPr>
    </w:p>
    <w:p>
      <w:pPr>
        <w:jc w:val="both"/>
        <w:ind w:firstLine="656"/>
        <w:spacing w:after="0" w:line="261" w:lineRule="auto"/>
        <w:tabs>
          <w:tab w:leader="none" w:pos="1500" w:val="left"/>
        </w:tabs>
        <w:numPr>
          <w:ilvl w:val="1"/>
          <w:numId w:val="43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Termination Upon Change in Control. </w:t>
      </w:r>
      <w:r>
        <w:rPr>
          <w:rFonts w:ascii="Arial" w:cs="Arial" w:eastAsia="Arial" w:hAnsi="Arial"/>
          <w:sz w:val="21"/>
          <w:szCs w:val="21"/>
          <w:color w:val="auto"/>
        </w:rPr>
        <w:t>In the event that an Awardholder’s Continuous Service terminates as of,</w:t>
      </w:r>
      <w:r>
        <w:rPr>
          <w:rFonts w:ascii="Arial" w:cs="Arial" w:eastAsia="Arial" w:hAnsi="Arial"/>
          <w:sz w:val="21"/>
          <w:szCs w:val="21"/>
          <w:b w:val="1"/>
          <w:bCs w:val="1"/>
          <w:color w:val="auto"/>
        </w:rPr>
        <w:t xml:space="preserve"> </w:t>
      </w:r>
      <w:r>
        <w:rPr>
          <w:rFonts w:ascii="Arial" w:cs="Arial" w:eastAsia="Arial" w:hAnsi="Arial"/>
          <w:sz w:val="21"/>
          <w:szCs w:val="21"/>
          <w:color w:val="auto"/>
        </w:rPr>
        <w:t>or within twelve (12) months following a Change in Control, the Awardholder may exercise his or her Option or SAR (to the extent that the Awardholder was entitled to exercise such Option or SAR as of the date of termination of Continuous Service) within such period of time ending on the earlier of (i) the date twelve (12) months following the effective date of the Change in Control, or (ii) the expiration of the term of the Option or SAR as set forth in the Award Agreement. If, after termination of Continuous Service, the Awardholder does not exercise his or her Option or SAR within the time specified herein or in the Award Agreement (as applicable), the Option or SAR shall terminate.</w:t>
      </w:r>
    </w:p>
    <w:p>
      <w:pPr>
        <w:spacing w:after="0" w:line="174" w:lineRule="exact"/>
        <w:rPr>
          <w:rFonts w:ascii="Arial" w:cs="Arial" w:eastAsia="Arial" w:hAnsi="Arial"/>
          <w:sz w:val="21"/>
          <w:szCs w:val="21"/>
          <w:b w:val="1"/>
          <w:bCs w:val="1"/>
          <w:color w:val="auto"/>
        </w:rPr>
      </w:pPr>
    </w:p>
    <w:p>
      <w:pPr>
        <w:ind w:left="820" w:hanging="812"/>
        <w:spacing w:after="0"/>
        <w:tabs>
          <w:tab w:leader="none" w:pos="820" w:val="left"/>
        </w:tabs>
        <w:numPr>
          <w:ilvl w:val="0"/>
          <w:numId w:val="434"/>
        </w:numPr>
        <w:rPr>
          <w:rFonts w:ascii="Arial" w:cs="Arial" w:eastAsia="Arial" w:hAnsi="Arial"/>
          <w:sz w:val="22"/>
          <w:szCs w:val="22"/>
          <w:b w:val="1"/>
          <w:bCs w:val="1"/>
          <w:color w:val="auto"/>
        </w:rPr>
      </w:pPr>
      <w:r>
        <w:rPr>
          <w:rFonts w:ascii="Arial" w:cs="Arial" w:eastAsia="Arial" w:hAnsi="Arial"/>
          <w:sz w:val="22"/>
          <w:szCs w:val="22"/>
          <w:b w:val="1"/>
          <w:bCs w:val="1"/>
          <w:color w:val="auto"/>
        </w:rPr>
        <w:t>Provisions of Stock Awards other than Options and SARs</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firstLine="656"/>
        <w:spacing w:after="0" w:line="293" w:lineRule="auto"/>
        <w:tabs>
          <w:tab w:leader="none" w:pos="1549" w:val="left"/>
        </w:tabs>
        <w:numPr>
          <w:ilvl w:val="1"/>
          <w:numId w:val="4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Restricted Stock Awards. </w:t>
      </w:r>
      <w:r>
        <w:rPr>
          <w:rFonts w:ascii="Arial" w:cs="Arial" w:eastAsia="Arial" w:hAnsi="Arial"/>
          <w:sz w:val="19"/>
          <w:szCs w:val="19"/>
          <w:color w:val="auto"/>
        </w:rPr>
        <w:t>Each Award Agreement evidencing a Restricted Stock Award shall be in such form</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shall contain such terms and conditions as the Board shall deem appropriate. To the extent consistent with the Company’s Bylaws, at the Board’s election, Ordinary Shares may be (i) held in book entry form subject to the Company’s instructions until any restrictions relating to the Restricted Stock Award lapse; or (ii) evidenced by a certificate, which certificate shall be held in such form and manner as determined by the Board. The terms and conditions of such Award Agreements may change from time to time, and the terms and conditions of separate Award Agreements need not be identical; </w:t>
      </w:r>
      <w:r>
        <w:rPr>
          <w:rFonts w:ascii="Arial" w:cs="Arial" w:eastAsia="Arial" w:hAnsi="Arial"/>
          <w:sz w:val="19"/>
          <w:szCs w:val="19"/>
          <w:i w:val="1"/>
          <w:iCs w:val="1"/>
          <w:color w:val="auto"/>
        </w:rPr>
        <w:t>provided, however</w:t>
      </w:r>
      <w:r>
        <w:rPr>
          <w:rFonts w:ascii="Arial" w:cs="Arial" w:eastAsia="Arial" w:hAnsi="Arial"/>
          <w:sz w:val="19"/>
          <w:szCs w:val="19"/>
          <w:color w:val="auto"/>
        </w:rPr>
        <w:t>, that each Award Agreement for a Restricted Stock Award shall conform to (through incorporation of the</w:t>
      </w:r>
    </w:p>
    <w:p>
      <w:pPr>
        <w:spacing w:after="0" w:line="39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47" w:right="239" w:bottom="1440" w:gutter="0" w:footer="0" w:header="0"/>
        </w:sectPr>
      </w:pPr>
    </w:p>
    <w:bookmarkStart w:id="438" w:name="page439"/>
    <w:bookmarkEnd w:id="438"/>
    <w:p>
      <w:pPr>
        <w:spacing w:after="0"/>
        <w:rPr>
          <w:sz w:val="20"/>
          <w:szCs w:val="20"/>
          <w:color w:val="auto"/>
        </w:rPr>
      </w:pPr>
      <w:r>
        <w:rPr>
          <w:rFonts w:ascii="Arial" w:cs="Arial" w:eastAsia="Arial" w:hAnsi="Arial"/>
          <w:sz w:val="22"/>
          <w:szCs w:val="22"/>
          <w:color w:val="auto"/>
        </w:rPr>
        <w:t>provisions hereof by reference in the agreement or otherwise) the substance of each of the following provisions:</w:t>
      </w:r>
    </w:p>
    <w:p>
      <w:pPr>
        <w:spacing w:after="0" w:line="214" w:lineRule="exact"/>
        <w:rPr>
          <w:sz w:val="20"/>
          <w:szCs w:val="20"/>
          <w:color w:val="auto"/>
        </w:rPr>
      </w:pPr>
    </w:p>
    <w:p>
      <w:pPr>
        <w:jc w:val="both"/>
        <w:ind w:firstLine="1305"/>
        <w:spacing w:after="0" w:line="249" w:lineRule="auto"/>
        <w:tabs>
          <w:tab w:leader="none" w:pos="2149" w:val="left"/>
        </w:tabs>
        <w:numPr>
          <w:ilvl w:val="1"/>
          <w:numId w:val="4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Consideration. </w:t>
      </w:r>
      <w:r>
        <w:rPr>
          <w:rFonts w:ascii="Arial" w:cs="Arial" w:eastAsia="Arial" w:hAnsi="Arial"/>
          <w:sz w:val="22"/>
          <w:szCs w:val="22"/>
          <w:color w:val="auto"/>
        </w:rPr>
        <w:t>A Restricted Stock Award may be awarded in consideration for (A) cash, check, bank</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draft or money order payable to the Company, (B) past services to the Company or an Affiliate, or (C) any other form of legal consideration (including future services) that may be acceptable to the Board, in its sole discretion, and permissible under applicable law; </w:t>
      </w:r>
      <w:r>
        <w:rPr>
          <w:rFonts w:ascii="Arial" w:cs="Arial" w:eastAsia="Arial" w:hAnsi="Arial"/>
          <w:sz w:val="22"/>
          <w:szCs w:val="22"/>
          <w:i w:val="1"/>
          <w:iCs w:val="1"/>
          <w:color w:val="auto"/>
        </w:rPr>
        <w:t>provided, however</w:t>
      </w:r>
      <w:r>
        <w:rPr>
          <w:rFonts w:ascii="Arial" w:cs="Arial" w:eastAsia="Arial" w:hAnsi="Arial"/>
          <w:sz w:val="22"/>
          <w:szCs w:val="22"/>
          <w:color w:val="auto"/>
        </w:rPr>
        <w:t>, that where Ordinary Shares are issued pursuant to a Restricted Stock Award the nominal value of each newly issued Ordinary Share is fully paid up.</w:t>
      </w:r>
    </w:p>
    <w:p>
      <w:pPr>
        <w:spacing w:after="0" w:line="186" w:lineRule="exact"/>
        <w:rPr>
          <w:rFonts w:ascii="Arial" w:cs="Arial" w:eastAsia="Arial" w:hAnsi="Arial"/>
          <w:sz w:val="22"/>
          <w:szCs w:val="22"/>
          <w:b w:val="1"/>
          <w:bCs w:val="1"/>
          <w:color w:val="auto"/>
        </w:rPr>
      </w:pPr>
    </w:p>
    <w:p>
      <w:pPr>
        <w:ind w:firstLine="1305"/>
        <w:spacing w:after="0" w:line="269" w:lineRule="auto"/>
        <w:tabs>
          <w:tab w:leader="none" w:pos="2209" w:val="left"/>
        </w:tabs>
        <w:numPr>
          <w:ilvl w:val="1"/>
          <w:numId w:val="4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Ordinary Shares awarded under an Award Agreement for a Restricted Stock Award may be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forfeiture to the Company in accordance with a vesting schedule to be determined by the Board.</w:t>
      </w:r>
    </w:p>
    <w:p>
      <w:pPr>
        <w:spacing w:after="0" w:line="162" w:lineRule="exact"/>
        <w:rPr>
          <w:rFonts w:ascii="Arial" w:cs="Arial" w:eastAsia="Arial" w:hAnsi="Arial"/>
          <w:sz w:val="22"/>
          <w:szCs w:val="22"/>
          <w:b w:val="1"/>
          <w:bCs w:val="1"/>
          <w:color w:val="auto"/>
        </w:rPr>
      </w:pPr>
    </w:p>
    <w:p>
      <w:pPr>
        <w:jc w:val="both"/>
        <w:ind w:firstLine="1305"/>
        <w:spacing w:after="0" w:line="252" w:lineRule="auto"/>
        <w:tabs>
          <w:tab w:leader="none" w:pos="2269" w:val="left"/>
        </w:tabs>
        <w:numPr>
          <w:ilvl w:val="1"/>
          <w:numId w:val="4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Continuous Service. </w:t>
      </w:r>
      <w:r>
        <w:rPr>
          <w:rFonts w:ascii="Arial" w:cs="Arial" w:eastAsia="Arial" w:hAnsi="Arial"/>
          <w:sz w:val="22"/>
          <w:szCs w:val="22"/>
          <w:color w:val="auto"/>
        </w:rPr>
        <w:t>If an Awardholder’s Continuous Service terminates,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or any Affiliate may receive through a forfeiture condition or a repurchase right any or all of the Ordinary Shares held by the Awardholder that have not vested as of the date of termination of Continuous Service under the terms of the Award Agreement for a Restricted Stock Award.</w:t>
      </w:r>
    </w:p>
    <w:p>
      <w:pPr>
        <w:spacing w:after="0" w:line="180" w:lineRule="exact"/>
        <w:rPr>
          <w:rFonts w:ascii="Arial" w:cs="Arial" w:eastAsia="Arial" w:hAnsi="Arial"/>
          <w:sz w:val="22"/>
          <w:szCs w:val="22"/>
          <w:b w:val="1"/>
          <w:bCs w:val="1"/>
          <w:color w:val="auto"/>
        </w:rPr>
      </w:pPr>
    </w:p>
    <w:p>
      <w:pPr>
        <w:jc w:val="both"/>
        <w:ind w:firstLine="1305"/>
        <w:spacing w:after="0" w:line="267" w:lineRule="auto"/>
        <w:tabs>
          <w:tab w:leader="none" w:pos="2257" w:val="left"/>
        </w:tabs>
        <w:numPr>
          <w:ilvl w:val="1"/>
          <w:numId w:val="43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Transferability. </w:t>
      </w:r>
      <w:r>
        <w:rPr>
          <w:rFonts w:ascii="Arial" w:cs="Arial" w:eastAsia="Arial" w:hAnsi="Arial"/>
          <w:sz w:val="21"/>
          <w:szCs w:val="21"/>
          <w:color w:val="auto"/>
        </w:rPr>
        <w:t>Rights to acquire Ordinary Shares under the Award Agreement for a Restricted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Award shall be transferable by the Awardholder only upon such terms and conditions as are set forth in the Award Agreement for such Restricted Stock Award, as the Board shall determine in its sole discretion, so long as the Ordinary Shares awarded under the Award Agreement remain subject to the terms of the Award Agreement.</w:t>
      </w:r>
    </w:p>
    <w:p>
      <w:pPr>
        <w:spacing w:after="0" w:line="167" w:lineRule="exact"/>
        <w:rPr>
          <w:rFonts w:ascii="Arial" w:cs="Arial" w:eastAsia="Arial" w:hAnsi="Arial"/>
          <w:sz w:val="21"/>
          <w:szCs w:val="21"/>
          <w:b w:val="1"/>
          <w:bCs w:val="1"/>
          <w:color w:val="auto"/>
        </w:rPr>
      </w:pPr>
    </w:p>
    <w:p>
      <w:pPr>
        <w:jc w:val="both"/>
        <w:ind w:firstLine="1305"/>
        <w:spacing w:after="0" w:line="256" w:lineRule="auto"/>
        <w:tabs>
          <w:tab w:leader="none" w:pos="2197" w:val="left"/>
        </w:tabs>
        <w:numPr>
          <w:ilvl w:val="1"/>
          <w:numId w:val="4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An Award Agreement may provide that any dividends paid on Restricted Stock will be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same vesting and forfeiture restrictions as apply to the Ordinary Shares subject to the Restricted Stock Award to which they relate.</w:t>
      </w:r>
    </w:p>
    <w:p>
      <w:pPr>
        <w:spacing w:after="0" w:line="176" w:lineRule="exact"/>
        <w:rPr>
          <w:rFonts w:ascii="Arial" w:cs="Arial" w:eastAsia="Arial" w:hAnsi="Arial"/>
          <w:sz w:val="22"/>
          <w:szCs w:val="22"/>
          <w:b w:val="1"/>
          <w:bCs w:val="1"/>
          <w:color w:val="auto"/>
        </w:rPr>
      </w:pPr>
    </w:p>
    <w:p>
      <w:pPr>
        <w:jc w:val="both"/>
        <w:ind w:firstLine="656"/>
        <w:spacing w:after="0" w:line="298" w:lineRule="auto"/>
        <w:tabs>
          <w:tab w:leader="none" w:pos="1561" w:val="left"/>
        </w:tabs>
        <w:numPr>
          <w:ilvl w:val="0"/>
          <w:numId w:val="4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Restricted Stock Unit Awards. </w:t>
      </w:r>
      <w:r>
        <w:rPr>
          <w:rFonts w:ascii="Arial" w:cs="Arial" w:eastAsia="Arial" w:hAnsi="Arial"/>
          <w:sz w:val="19"/>
          <w:szCs w:val="19"/>
          <w:color w:val="auto"/>
        </w:rPr>
        <w:t>Each Award Agreement for a Restricted Stock Unit Award shall be in such form</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shall contain such terms and conditions as the Board shall deem appropriate. The terms and conditions of such Award Agreements may change from time to time, and the terms and conditions of separate Award Agreements need not be identical; </w:t>
      </w:r>
      <w:r>
        <w:rPr>
          <w:rFonts w:ascii="Arial" w:cs="Arial" w:eastAsia="Arial" w:hAnsi="Arial"/>
          <w:sz w:val="19"/>
          <w:szCs w:val="19"/>
          <w:i w:val="1"/>
          <w:iCs w:val="1"/>
          <w:color w:val="auto"/>
        </w:rPr>
        <w:t>provided, however</w:t>
      </w:r>
      <w:r>
        <w:rPr>
          <w:rFonts w:ascii="Arial" w:cs="Arial" w:eastAsia="Arial" w:hAnsi="Arial"/>
          <w:sz w:val="19"/>
          <w:szCs w:val="19"/>
          <w:color w:val="auto"/>
        </w:rPr>
        <w:t>, that each Award Agreement for a Restricted Stock Unit Award shall conform to (through incorporation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provisions hereof by reference in the Award Agreement or otherwise) the substance of each of the following provisions:</w:t>
      </w:r>
    </w:p>
    <w:p>
      <w:pPr>
        <w:spacing w:after="0" w:line="142" w:lineRule="exact"/>
        <w:rPr>
          <w:rFonts w:ascii="Arial" w:cs="Arial" w:eastAsia="Arial" w:hAnsi="Arial"/>
          <w:sz w:val="19"/>
          <w:szCs w:val="19"/>
          <w:b w:val="1"/>
          <w:bCs w:val="1"/>
          <w:color w:val="auto"/>
        </w:rPr>
      </w:pPr>
    </w:p>
    <w:p>
      <w:pPr>
        <w:jc w:val="both"/>
        <w:ind w:firstLine="1305"/>
        <w:spacing w:after="0" w:line="262" w:lineRule="auto"/>
        <w:tabs>
          <w:tab w:leader="none" w:pos="2149" w:val="left"/>
        </w:tabs>
        <w:numPr>
          <w:ilvl w:val="1"/>
          <w:numId w:val="43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Consideration. </w:t>
      </w:r>
      <w:r>
        <w:rPr>
          <w:rFonts w:ascii="Arial" w:cs="Arial" w:eastAsia="Arial" w:hAnsi="Arial"/>
          <w:sz w:val="21"/>
          <w:szCs w:val="21"/>
          <w:color w:val="auto"/>
        </w:rPr>
        <w:t>At the time of grant of a Restricted Stock Unit Award, the Board will determine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consideration, if any, to be paid by the Awardholder upon delivery of each Ordinary Share subject to the Restricted Stock Unit Award. The consideration to be paid (if any) by the Awardholder for each Ordinary Share subject to a Restricted Stock Unit Award may be paid in any form of legal consideration that may be acceptable to the Board, in its sole discretion, and permissible under applicable law; </w:t>
      </w:r>
      <w:r>
        <w:rPr>
          <w:rFonts w:ascii="Arial" w:cs="Arial" w:eastAsia="Arial" w:hAnsi="Arial"/>
          <w:sz w:val="21"/>
          <w:szCs w:val="21"/>
          <w:i w:val="1"/>
          <w:iCs w:val="1"/>
          <w:color w:val="auto"/>
        </w:rPr>
        <w:t>provided, however</w:t>
      </w:r>
      <w:r>
        <w:rPr>
          <w:rFonts w:ascii="Arial" w:cs="Arial" w:eastAsia="Arial" w:hAnsi="Arial"/>
          <w:sz w:val="21"/>
          <w:szCs w:val="21"/>
          <w:color w:val="auto"/>
        </w:rPr>
        <w:t>, that where Ordinary Shares are issued pursuant to a Restricted Stock Unit Award the nominal value of each newly issued Ordinary Share is fully paid up.</w:t>
      </w:r>
    </w:p>
    <w:p>
      <w:pPr>
        <w:spacing w:after="0" w:line="200" w:lineRule="exact"/>
        <w:rPr>
          <w:sz w:val="20"/>
          <w:szCs w:val="20"/>
          <w:color w:val="auto"/>
        </w:rPr>
      </w:pPr>
    </w:p>
    <w:p>
      <w:pPr>
        <w:spacing w:after="0" w:line="22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47" w:right="239" w:bottom="1440" w:gutter="0" w:footer="0" w:header="0"/>
        </w:sectPr>
      </w:pPr>
    </w:p>
    <w:bookmarkStart w:id="439" w:name="page440"/>
    <w:bookmarkEnd w:id="439"/>
    <w:p>
      <w:pPr>
        <w:ind w:left="-8" w:firstLine="1305"/>
        <w:spacing w:after="0" w:line="350" w:lineRule="auto"/>
        <w:tabs>
          <w:tab w:leader="none" w:pos="2201" w:val="left"/>
        </w:tabs>
        <w:numPr>
          <w:ilvl w:val="2"/>
          <w:numId w:val="43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Vesting. </w:t>
      </w:r>
      <w:r>
        <w:rPr>
          <w:rFonts w:ascii="Arial" w:cs="Arial" w:eastAsia="Arial" w:hAnsi="Arial"/>
          <w:sz w:val="19"/>
          <w:szCs w:val="19"/>
          <w:color w:val="auto"/>
        </w:rPr>
        <w:t>At the time of the grant of a Restricted Stock Unit Award, the Board may impose such</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restrictions on or conditions to the vesting of the Restricted Stock Unit Award as it, in its sole discretion, deems appropriate.</w:t>
      </w:r>
    </w:p>
    <w:p>
      <w:pPr>
        <w:spacing w:after="0" w:line="92" w:lineRule="exact"/>
        <w:rPr>
          <w:rFonts w:ascii="Arial" w:cs="Arial" w:eastAsia="Arial" w:hAnsi="Arial"/>
          <w:sz w:val="19"/>
          <w:szCs w:val="19"/>
          <w:b w:val="1"/>
          <w:bCs w:val="1"/>
          <w:color w:val="auto"/>
        </w:rPr>
      </w:pPr>
    </w:p>
    <w:p>
      <w:pPr>
        <w:jc w:val="both"/>
        <w:ind w:left="-8" w:firstLine="1305"/>
        <w:spacing w:after="0" w:line="256" w:lineRule="auto"/>
        <w:tabs>
          <w:tab w:leader="none" w:pos="2261" w:val="left"/>
        </w:tabs>
        <w:numPr>
          <w:ilvl w:val="2"/>
          <w:numId w:val="437"/>
        </w:numPr>
        <w:rPr>
          <w:rFonts w:ascii="Arial" w:cs="Arial" w:eastAsia="Arial" w:hAnsi="Arial"/>
          <w:sz w:val="22"/>
          <w:szCs w:val="22"/>
          <w:b w:val="1"/>
          <w:bCs w:val="1"/>
          <w:color w:val="auto"/>
        </w:rPr>
      </w:pPr>
      <w:r>
        <w:rPr>
          <w:rFonts w:ascii="Arial" w:cs="Arial" w:eastAsia="Arial" w:hAnsi="Arial"/>
          <w:sz w:val="22"/>
          <w:szCs w:val="22"/>
          <w:b w:val="1"/>
          <w:bCs w:val="1"/>
          <w:color w:val="auto"/>
        </w:rPr>
        <w:t>Payment</w:t>
      </w:r>
      <w:r>
        <w:rPr>
          <w:rFonts w:ascii="Arial" w:cs="Arial" w:eastAsia="Arial" w:hAnsi="Arial"/>
          <w:sz w:val="22"/>
          <w:szCs w:val="22"/>
          <w:color w:val="auto"/>
        </w:rPr>
        <w:t>. A Restricted Stock Unit Award may be settled by the delivery of Ordinary Shares, their cash</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 any combination thereof or in any other form of consideration, as determined by the Board and contained in the Award Agreement for such Restricted Stock Unit Award.</w:t>
      </w:r>
    </w:p>
    <w:p>
      <w:pPr>
        <w:spacing w:after="0" w:line="176" w:lineRule="exact"/>
        <w:rPr>
          <w:rFonts w:ascii="Arial" w:cs="Arial" w:eastAsia="Arial" w:hAnsi="Arial"/>
          <w:sz w:val="22"/>
          <w:szCs w:val="22"/>
          <w:b w:val="1"/>
          <w:bCs w:val="1"/>
          <w:color w:val="auto"/>
        </w:rPr>
      </w:pPr>
    </w:p>
    <w:p>
      <w:pPr>
        <w:jc w:val="both"/>
        <w:ind w:left="-8" w:firstLine="1305"/>
        <w:spacing w:after="0" w:line="274" w:lineRule="auto"/>
        <w:tabs>
          <w:tab w:leader="none" w:pos="2249" w:val="left"/>
        </w:tabs>
        <w:numPr>
          <w:ilvl w:val="2"/>
          <w:numId w:val="43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Additional Restrictions. </w:t>
      </w:r>
      <w:r>
        <w:rPr>
          <w:rFonts w:ascii="Arial" w:cs="Arial" w:eastAsia="Arial" w:hAnsi="Arial"/>
          <w:sz w:val="21"/>
          <w:szCs w:val="21"/>
          <w:color w:val="auto"/>
        </w:rPr>
        <w:t>At the time of the grant of a Restricted Stock Unit Award, the Board, as it</w:t>
      </w:r>
      <w:r>
        <w:rPr>
          <w:rFonts w:ascii="Arial" w:cs="Arial" w:eastAsia="Arial" w:hAnsi="Arial"/>
          <w:sz w:val="21"/>
          <w:szCs w:val="21"/>
          <w:b w:val="1"/>
          <w:bCs w:val="1"/>
          <w:color w:val="auto"/>
        </w:rPr>
        <w:t xml:space="preserve"> </w:t>
      </w:r>
      <w:r>
        <w:rPr>
          <w:rFonts w:ascii="Arial" w:cs="Arial" w:eastAsia="Arial" w:hAnsi="Arial"/>
          <w:sz w:val="21"/>
          <w:szCs w:val="21"/>
          <w:color w:val="auto"/>
        </w:rPr>
        <w:t>deems appropriate, may impose such restrictions or conditions that delay the delivery of the Ordinary Shares (or their cash equivalent) subject to a Restricted Stock Unit Award to a time after the vesting of such Restricted Stock Unit Award.</w:t>
      </w:r>
    </w:p>
    <w:p>
      <w:pPr>
        <w:spacing w:after="0" w:line="158" w:lineRule="exact"/>
        <w:rPr>
          <w:rFonts w:ascii="Arial" w:cs="Arial" w:eastAsia="Arial" w:hAnsi="Arial"/>
          <w:sz w:val="21"/>
          <w:szCs w:val="21"/>
          <w:b w:val="1"/>
          <w:bCs w:val="1"/>
          <w:color w:val="auto"/>
        </w:rPr>
      </w:pPr>
    </w:p>
    <w:p>
      <w:pPr>
        <w:jc w:val="both"/>
        <w:ind w:left="-8" w:firstLine="1305"/>
        <w:spacing w:after="0" w:line="248" w:lineRule="auto"/>
        <w:tabs>
          <w:tab w:leader="none" w:pos="2189" w:val="left"/>
        </w:tabs>
        <w:numPr>
          <w:ilvl w:val="2"/>
          <w:numId w:val="43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 Equivalents. </w:t>
      </w:r>
      <w:r>
        <w:rPr>
          <w:rFonts w:ascii="Arial" w:cs="Arial" w:eastAsia="Arial" w:hAnsi="Arial"/>
          <w:sz w:val="22"/>
          <w:szCs w:val="22"/>
          <w:color w:val="auto"/>
        </w:rPr>
        <w:t>Dividend equivalents may be credited in respect of Ordinary Shares covered by a</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Unit Award, as determined by the Board and contained in the Award Agreement. At the sole discretion of the Board, such dividend equivalents may be converted into additional Ordinary Shares covered by the Restricted Stock Unit Award in such manner as determined by the Board. Any additional Ordinary Shares covered by the Restricted Stock Unit Award credited by reason of such dividend equivalents will be subject to all of the same terms and conditions of the underlying Award Agreement to which they relate.</w:t>
      </w:r>
    </w:p>
    <w:p>
      <w:pPr>
        <w:spacing w:after="0" w:line="187" w:lineRule="exact"/>
        <w:rPr>
          <w:rFonts w:ascii="Arial" w:cs="Arial" w:eastAsia="Arial" w:hAnsi="Arial"/>
          <w:sz w:val="22"/>
          <w:szCs w:val="22"/>
          <w:b w:val="1"/>
          <w:bCs w:val="1"/>
          <w:color w:val="auto"/>
        </w:rPr>
      </w:pPr>
    </w:p>
    <w:p>
      <w:pPr>
        <w:jc w:val="both"/>
        <w:ind w:left="-8" w:firstLine="1305"/>
        <w:spacing w:after="0" w:line="256" w:lineRule="auto"/>
        <w:tabs>
          <w:tab w:leader="none" w:pos="2249" w:val="left"/>
        </w:tabs>
        <w:numPr>
          <w:ilvl w:val="2"/>
          <w:numId w:val="43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Continuous Service. </w:t>
      </w:r>
      <w:r>
        <w:rPr>
          <w:rFonts w:ascii="Arial" w:cs="Arial" w:eastAsia="Arial" w:hAnsi="Arial"/>
          <w:sz w:val="22"/>
          <w:szCs w:val="22"/>
          <w:color w:val="auto"/>
        </w:rPr>
        <w:t>Except as otherwise provided in the applicable 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such portion of the Restricted Stock Unit Award that has not vested will be forfeited upon the Awardholder’s termination of Continuous Service.</w:t>
      </w:r>
    </w:p>
    <w:p>
      <w:pPr>
        <w:spacing w:after="0" w:line="176" w:lineRule="exact"/>
        <w:rPr>
          <w:rFonts w:ascii="Arial" w:cs="Arial" w:eastAsia="Arial" w:hAnsi="Arial"/>
          <w:sz w:val="22"/>
          <w:szCs w:val="22"/>
          <w:b w:val="1"/>
          <w:bCs w:val="1"/>
          <w:color w:val="auto"/>
        </w:rPr>
      </w:pPr>
    </w:p>
    <w:p>
      <w:pPr>
        <w:jc w:val="both"/>
        <w:ind w:left="-8" w:firstLine="656"/>
        <w:spacing w:after="0" w:line="291" w:lineRule="auto"/>
        <w:tabs>
          <w:tab w:leader="none" w:pos="1528" w:val="left"/>
        </w:tabs>
        <w:numPr>
          <w:ilvl w:val="1"/>
          <w:numId w:val="438"/>
        </w:numPr>
        <w:rPr>
          <w:rFonts w:ascii="Arial" w:cs="Arial" w:eastAsia="Arial" w:hAnsi="Arial"/>
          <w:sz w:val="19"/>
          <w:szCs w:val="19"/>
          <w:b w:val="1"/>
          <w:bCs w:val="1"/>
          <w:color w:val="auto"/>
        </w:rPr>
      </w:pPr>
      <w:r>
        <w:rPr>
          <w:rFonts w:ascii="Arial" w:cs="Arial" w:eastAsia="Arial" w:hAnsi="Arial"/>
          <w:sz w:val="19"/>
          <w:szCs w:val="19"/>
          <w:b w:val="1"/>
          <w:bCs w:val="1"/>
          <w:color w:val="auto"/>
        </w:rPr>
        <w:t>Other Stock Awards</w:t>
      </w:r>
      <w:r>
        <w:rPr>
          <w:rFonts w:ascii="Arial" w:cs="Arial" w:eastAsia="Arial" w:hAnsi="Arial"/>
          <w:sz w:val="19"/>
          <w:szCs w:val="19"/>
          <w:color w:val="auto"/>
        </w:rPr>
        <w:t>. Other forms of Stock Awards valued in whole or in part by reference to,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based on, Ordinary Shares, including the appreciation in value thereof (e.g., options or share rights with an exercise price or strike price less than 100% of the Fair Market Value of the Ordinary Shares at the time of grant) may be granted either alone or in addition to Stock Awards provided for under Section 5 and the preceding provisions of this Section 6. Subject to the provisions of the Plan, the Board shall have sole and complete authority to determine the persons to whom and the time or times at which such Other Stock Awards will be granted, the number of Ordinary Shares (or the cash equivalent thereof) to be granted pursuant to such Other Stock Awards and all other terms and conditions of such Other Stock Awards; </w:t>
      </w:r>
      <w:r>
        <w:rPr>
          <w:rFonts w:ascii="Arial" w:cs="Arial" w:eastAsia="Arial" w:hAnsi="Arial"/>
          <w:sz w:val="19"/>
          <w:szCs w:val="19"/>
          <w:i w:val="1"/>
          <w:iCs w:val="1"/>
          <w:color w:val="auto"/>
        </w:rPr>
        <w:t>provided, however</w:t>
      </w:r>
      <w:r>
        <w:rPr>
          <w:rFonts w:ascii="Arial" w:cs="Arial" w:eastAsia="Arial" w:hAnsi="Arial"/>
          <w:sz w:val="19"/>
          <w:szCs w:val="19"/>
          <w:color w:val="auto"/>
        </w:rPr>
        <w:t>, that where Ordinary Shares are issued pursuant to an Other Stock Award the nominal value of each newly issued Ordinary Share is fully paid up.</w:t>
      </w:r>
    </w:p>
    <w:p>
      <w:pPr>
        <w:spacing w:after="0" w:line="149" w:lineRule="exact"/>
        <w:rPr>
          <w:rFonts w:ascii="Arial" w:cs="Arial" w:eastAsia="Arial" w:hAnsi="Arial"/>
          <w:sz w:val="19"/>
          <w:szCs w:val="19"/>
          <w:b w:val="1"/>
          <w:bCs w:val="1"/>
          <w:color w:val="auto"/>
        </w:rPr>
      </w:pPr>
    </w:p>
    <w:p>
      <w:pPr>
        <w:ind w:left="812" w:hanging="812"/>
        <w:spacing w:after="0"/>
        <w:tabs>
          <w:tab w:leader="none" w:pos="812" w:val="left"/>
        </w:tabs>
        <w:numPr>
          <w:ilvl w:val="0"/>
          <w:numId w:val="439"/>
        </w:numPr>
        <w:rPr>
          <w:rFonts w:ascii="Arial" w:cs="Arial" w:eastAsia="Arial" w:hAnsi="Arial"/>
          <w:sz w:val="22"/>
          <w:szCs w:val="22"/>
          <w:b w:val="1"/>
          <w:bCs w:val="1"/>
          <w:color w:val="auto"/>
        </w:rPr>
      </w:pPr>
      <w:r>
        <w:rPr>
          <w:rFonts w:ascii="Arial" w:cs="Arial" w:eastAsia="Arial" w:hAnsi="Arial"/>
          <w:sz w:val="22"/>
          <w:szCs w:val="22"/>
          <w:b w:val="1"/>
          <w:bCs w:val="1"/>
          <w:color w:val="auto"/>
        </w:rPr>
        <w:t>Covenants of the Company</w:t>
      </w:r>
    </w:p>
    <w:p>
      <w:pPr>
        <w:spacing w:after="0" w:line="219" w:lineRule="exact"/>
        <w:rPr>
          <w:rFonts w:ascii="Arial" w:cs="Arial" w:eastAsia="Arial" w:hAnsi="Arial"/>
          <w:sz w:val="22"/>
          <w:szCs w:val="22"/>
          <w:b w:val="1"/>
          <w:bCs w:val="1"/>
          <w:color w:val="auto"/>
        </w:rPr>
      </w:pPr>
    </w:p>
    <w:p>
      <w:pPr>
        <w:ind w:left="-8" w:firstLine="656"/>
        <w:spacing w:after="0" w:line="269" w:lineRule="auto"/>
        <w:tabs>
          <w:tab w:leader="none" w:pos="1541" w:val="left"/>
        </w:tabs>
        <w:numPr>
          <w:ilvl w:val="1"/>
          <w:numId w:val="4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Availability of Shares. </w:t>
      </w:r>
      <w:r>
        <w:rPr>
          <w:rFonts w:ascii="Arial" w:cs="Arial" w:eastAsia="Arial" w:hAnsi="Arial"/>
          <w:sz w:val="22"/>
          <w:szCs w:val="22"/>
          <w:color w:val="auto"/>
        </w:rPr>
        <w:t>During the terms of the Stock Awards, the Company shall keep available at all times the</w:t>
      </w:r>
      <w:r>
        <w:rPr>
          <w:rFonts w:ascii="Arial" w:cs="Arial" w:eastAsia="Arial" w:hAnsi="Arial"/>
          <w:sz w:val="22"/>
          <w:szCs w:val="22"/>
          <w:b w:val="1"/>
          <w:bCs w:val="1"/>
          <w:color w:val="auto"/>
        </w:rPr>
        <w:t xml:space="preserve"> </w:t>
      </w:r>
      <w:r>
        <w:rPr>
          <w:rFonts w:ascii="Arial" w:cs="Arial" w:eastAsia="Arial" w:hAnsi="Arial"/>
          <w:sz w:val="22"/>
          <w:szCs w:val="22"/>
          <w:color w:val="auto"/>
        </w:rPr>
        <w:t>number of Ordinary Shares required to satisfy such Stock Awards.</w:t>
      </w:r>
    </w:p>
    <w:p>
      <w:pPr>
        <w:spacing w:after="0" w:line="162" w:lineRule="exact"/>
        <w:rPr>
          <w:rFonts w:ascii="Arial" w:cs="Arial" w:eastAsia="Arial" w:hAnsi="Arial"/>
          <w:sz w:val="22"/>
          <w:szCs w:val="22"/>
          <w:b w:val="1"/>
          <w:bCs w:val="1"/>
          <w:color w:val="auto"/>
        </w:rPr>
      </w:pPr>
    </w:p>
    <w:p>
      <w:pPr>
        <w:ind w:left="-8" w:firstLine="656"/>
        <w:spacing w:after="0" w:line="269" w:lineRule="auto"/>
        <w:tabs>
          <w:tab w:leader="none" w:pos="1553" w:val="left"/>
        </w:tabs>
        <w:numPr>
          <w:ilvl w:val="1"/>
          <w:numId w:val="439"/>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 Compliance</w:t>
      </w:r>
      <w:r>
        <w:rPr>
          <w:rFonts w:ascii="Arial" w:cs="Arial" w:eastAsia="Arial" w:hAnsi="Arial"/>
          <w:sz w:val="22"/>
          <w:szCs w:val="22"/>
          <w:color w:val="auto"/>
        </w:rPr>
        <w:t>. The Company shall seek to obtain from each regulatory commission or agency</w:t>
      </w:r>
      <w:r>
        <w:rPr>
          <w:rFonts w:ascii="Arial" w:cs="Arial" w:eastAsia="Arial" w:hAnsi="Arial"/>
          <w:sz w:val="22"/>
          <w:szCs w:val="22"/>
          <w:b w:val="1"/>
          <w:bCs w:val="1"/>
          <w:color w:val="auto"/>
        </w:rPr>
        <w:t xml:space="preserve"> </w:t>
      </w:r>
      <w:r>
        <w:rPr>
          <w:rFonts w:ascii="Arial" w:cs="Arial" w:eastAsia="Arial" w:hAnsi="Arial"/>
          <w:sz w:val="22"/>
          <w:szCs w:val="22"/>
          <w:color w:val="auto"/>
        </w:rPr>
        <w:t>having jurisdiction over the Plan such authority as may be</w:t>
      </w:r>
    </w:p>
    <w:p>
      <w:pPr>
        <w:spacing w:after="0" w:line="200" w:lineRule="exact"/>
        <w:rPr>
          <w:sz w:val="20"/>
          <w:szCs w:val="20"/>
          <w:color w:val="auto"/>
        </w:rPr>
      </w:pPr>
    </w:p>
    <w:p>
      <w:pPr>
        <w:spacing w:after="0" w:line="211" w:lineRule="exact"/>
        <w:rPr>
          <w:sz w:val="20"/>
          <w:szCs w:val="20"/>
          <w:color w:val="auto"/>
        </w:rPr>
      </w:pPr>
    </w:p>
    <w:p>
      <w:pPr>
        <w:ind w:left="5972"/>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12"/>
          </w:cols>
          <w:pgMar w:left="248" w:top="841" w:right="239" w:bottom="1440" w:gutter="0" w:footer="0" w:header="0"/>
        </w:sectPr>
      </w:pPr>
    </w:p>
    <w:bookmarkStart w:id="440" w:name="page441"/>
    <w:bookmarkEnd w:id="440"/>
    <w:p>
      <w:pPr>
        <w:jc w:val="both"/>
        <w:spacing w:after="0" w:line="290" w:lineRule="auto"/>
        <w:rPr>
          <w:sz w:val="20"/>
          <w:szCs w:val="20"/>
          <w:color w:val="auto"/>
        </w:rPr>
      </w:pPr>
      <w:r>
        <w:rPr>
          <w:rFonts w:ascii="Arial" w:cs="Arial" w:eastAsia="Arial" w:hAnsi="Arial"/>
          <w:sz w:val="19"/>
          <w:szCs w:val="19"/>
          <w:color w:val="auto"/>
        </w:rPr>
        <w:t>required to grant Stock Awards and to issue and sell Ordinary Shares upon exercise of the Stock Awards; provided, however, that this undertaking shall not require the Company to register under the Securities Act the Plan, any Stock Award or any Ordinary Shares issued or issuable pursuant to any such Stock Award. If, after reasonable efforts, the Company is unable to obtain from any such regulatory commission or agency the authority that counsel for the Company deems necessary for the lawful issuance and sale of Ordinary Shares under the Plan, the Company shall be relieved from any liability for failure to issue and sell Ordinary Shares upon exercise of such Stock Awards unless and until such authority is obtained. A Non-Employee Director shall not be eligible for the grant of a Stock Award or the subsequent issuance of Ordinary Shares pursuant to the Stock Award if such grant or issuance would be in violation of any applicable securities law.</w:t>
      </w:r>
    </w:p>
    <w:p>
      <w:pPr>
        <w:spacing w:after="0" w:line="151" w:lineRule="exact"/>
        <w:rPr>
          <w:sz w:val="20"/>
          <w:szCs w:val="20"/>
          <w:color w:val="auto"/>
        </w:rPr>
      </w:pPr>
    </w:p>
    <w:p>
      <w:pPr>
        <w:ind w:left="820" w:hanging="812"/>
        <w:spacing w:after="0"/>
        <w:tabs>
          <w:tab w:leader="none" w:pos="820" w:val="left"/>
        </w:tabs>
        <w:numPr>
          <w:ilvl w:val="0"/>
          <w:numId w:val="440"/>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19" w:lineRule="exact"/>
        <w:rPr>
          <w:rFonts w:ascii="Arial" w:cs="Arial" w:eastAsia="Arial" w:hAnsi="Arial"/>
          <w:sz w:val="22"/>
          <w:szCs w:val="22"/>
          <w:b w:val="1"/>
          <w:bCs w:val="1"/>
          <w:color w:val="auto"/>
        </w:rPr>
      </w:pPr>
    </w:p>
    <w:p>
      <w:pPr>
        <w:ind w:firstLine="656"/>
        <w:spacing w:after="0" w:line="269" w:lineRule="auto"/>
        <w:tabs>
          <w:tab w:leader="none" w:pos="1549" w:val="left"/>
        </w:tabs>
        <w:numPr>
          <w:ilvl w:val="1"/>
          <w:numId w:val="440"/>
        </w:numPr>
        <w:rPr>
          <w:rFonts w:ascii="Arial" w:cs="Arial" w:eastAsia="Arial" w:hAnsi="Arial"/>
          <w:sz w:val="22"/>
          <w:szCs w:val="22"/>
          <w:b w:val="1"/>
          <w:bCs w:val="1"/>
          <w:color w:val="auto"/>
        </w:rPr>
      </w:pPr>
      <w:r>
        <w:rPr>
          <w:rFonts w:ascii="Arial" w:cs="Arial" w:eastAsia="Arial" w:hAnsi="Arial"/>
          <w:sz w:val="22"/>
          <w:szCs w:val="22"/>
          <w:b w:val="1"/>
          <w:bCs w:val="1"/>
          <w:color w:val="auto"/>
        </w:rPr>
        <w:t>Use of Proceeds</w:t>
      </w:r>
      <w:r>
        <w:rPr>
          <w:rFonts w:ascii="Arial" w:cs="Arial" w:eastAsia="Arial" w:hAnsi="Arial"/>
          <w:sz w:val="22"/>
          <w:szCs w:val="22"/>
          <w:color w:val="auto"/>
        </w:rPr>
        <w:t>. Proceeds from the sale of Ordinary Shares pursuant to Stock Awards shall constitute general</w:t>
      </w:r>
      <w:r>
        <w:rPr>
          <w:rFonts w:ascii="Arial" w:cs="Arial" w:eastAsia="Arial" w:hAnsi="Arial"/>
          <w:sz w:val="22"/>
          <w:szCs w:val="22"/>
          <w:b w:val="1"/>
          <w:bCs w:val="1"/>
          <w:color w:val="auto"/>
        </w:rPr>
        <w:t xml:space="preserve"> </w:t>
      </w:r>
      <w:r>
        <w:rPr>
          <w:rFonts w:ascii="Arial" w:cs="Arial" w:eastAsia="Arial" w:hAnsi="Arial"/>
          <w:sz w:val="22"/>
          <w:szCs w:val="22"/>
          <w:color w:val="auto"/>
        </w:rPr>
        <w:t>funds of the Company.</w:t>
      </w:r>
    </w:p>
    <w:p>
      <w:pPr>
        <w:spacing w:after="0" w:line="162" w:lineRule="exact"/>
        <w:rPr>
          <w:rFonts w:ascii="Arial" w:cs="Arial" w:eastAsia="Arial" w:hAnsi="Arial"/>
          <w:sz w:val="22"/>
          <w:szCs w:val="22"/>
          <w:b w:val="1"/>
          <w:bCs w:val="1"/>
          <w:color w:val="auto"/>
        </w:rPr>
      </w:pPr>
    </w:p>
    <w:p>
      <w:pPr>
        <w:jc w:val="both"/>
        <w:ind w:firstLine="656"/>
        <w:spacing w:after="0" w:line="267" w:lineRule="auto"/>
        <w:tabs>
          <w:tab w:leader="none" w:pos="1561" w:val="left"/>
        </w:tabs>
        <w:numPr>
          <w:ilvl w:val="1"/>
          <w:numId w:val="440"/>
        </w:numPr>
        <w:rPr>
          <w:rFonts w:ascii="Arial" w:cs="Arial" w:eastAsia="Arial" w:hAnsi="Arial"/>
          <w:sz w:val="21"/>
          <w:szCs w:val="21"/>
          <w:b w:val="1"/>
          <w:bCs w:val="1"/>
          <w:color w:val="auto"/>
        </w:rPr>
      </w:pPr>
      <w:r>
        <w:rPr>
          <w:rFonts w:ascii="Arial" w:cs="Arial" w:eastAsia="Arial" w:hAnsi="Arial"/>
          <w:sz w:val="21"/>
          <w:szCs w:val="21"/>
          <w:b w:val="1"/>
          <w:bCs w:val="1"/>
          <w:color w:val="auto"/>
        </w:rPr>
        <w:t>Shareholder Rights</w:t>
      </w:r>
      <w:r>
        <w:rPr>
          <w:rFonts w:ascii="Arial" w:cs="Arial" w:eastAsia="Arial" w:hAnsi="Arial"/>
          <w:sz w:val="21"/>
          <w:szCs w:val="21"/>
          <w:color w:val="auto"/>
        </w:rPr>
        <w:t>. No Awardholder shall be deemed to be the holder of, or to have any of the rights of a holder</w:t>
      </w:r>
      <w:r>
        <w:rPr>
          <w:rFonts w:ascii="Arial" w:cs="Arial" w:eastAsia="Arial" w:hAnsi="Arial"/>
          <w:sz w:val="21"/>
          <w:szCs w:val="21"/>
          <w:b w:val="1"/>
          <w:bCs w:val="1"/>
          <w:color w:val="auto"/>
        </w:rPr>
        <w:t xml:space="preserve"> </w:t>
      </w:r>
      <w:r>
        <w:rPr>
          <w:rFonts w:ascii="Arial" w:cs="Arial" w:eastAsia="Arial" w:hAnsi="Arial"/>
          <w:sz w:val="21"/>
          <w:szCs w:val="21"/>
          <w:color w:val="auto"/>
        </w:rPr>
        <w:t>with respect to, any Ordinary Shares subject to such Stock Award unless and until (i) such Awardholder has satisfied all requirements for exercise of the Stock Award pursuant to its terms, if applicable, and (ii) the issuance of the Ordinary Shares subject to such Stock Award has been entered into the books and records of the Company.</w:t>
      </w:r>
    </w:p>
    <w:p>
      <w:pPr>
        <w:spacing w:after="0" w:line="167" w:lineRule="exact"/>
        <w:rPr>
          <w:rFonts w:ascii="Arial" w:cs="Arial" w:eastAsia="Arial" w:hAnsi="Arial"/>
          <w:sz w:val="21"/>
          <w:szCs w:val="21"/>
          <w:b w:val="1"/>
          <w:bCs w:val="1"/>
          <w:color w:val="auto"/>
        </w:rPr>
      </w:pPr>
    </w:p>
    <w:p>
      <w:pPr>
        <w:jc w:val="both"/>
        <w:ind w:firstLine="656"/>
        <w:spacing w:after="0" w:line="304" w:lineRule="auto"/>
        <w:tabs>
          <w:tab w:leader="none" w:pos="1536" w:val="left"/>
        </w:tabs>
        <w:numPr>
          <w:ilvl w:val="1"/>
          <w:numId w:val="440"/>
        </w:numPr>
        <w:rPr>
          <w:rFonts w:ascii="Arial" w:cs="Arial" w:eastAsia="Arial" w:hAnsi="Arial"/>
          <w:sz w:val="19"/>
          <w:szCs w:val="19"/>
          <w:b w:val="1"/>
          <w:bCs w:val="1"/>
          <w:color w:val="auto"/>
        </w:rPr>
      </w:pPr>
      <w:r>
        <w:rPr>
          <w:rFonts w:ascii="Arial" w:cs="Arial" w:eastAsia="Arial" w:hAnsi="Arial"/>
          <w:sz w:val="19"/>
          <w:szCs w:val="19"/>
          <w:b w:val="1"/>
          <w:bCs w:val="1"/>
          <w:color w:val="auto"/>
        </w:rPr>
        <w:t>No Service Rights</w:t>
      </w:r>
      <w:r>
        <w:rPr>
          <w:rFonts w:ascii="Arial" w:cs="Arial" w:eastAsia="Arial" w:hAnsi="Arial"/>
          <w:sz w:val="19"/>
          <w:szCs w:val="19"/>
          <w:color w:val="auto"/>
        </w:rPr>
        <w:t>. Nothing in the Plan, any instrument executed, or Stock Award granted pursuant thereto shall</w:t>
      </w:r>
      <w:r>
        <w:rPr>
          <w:rFonts w:ascii="Arial" w:cs="Arial" w:eastAsia="Arial" w:hAnsi="Arial"/>
          <w:sz w:val="19"/>
          <w:szCs w:val="19"/>
          <w:b w:val="1"/>
          <w:bCs w:val="1"/>
          <w:color w:val="auto"/>
        </w:rPr>
        <w:t xml:space="preserve"> </w:t>
      </w:r>
      <w:r>
        <w:rPr>
          <w:rFonts w:ascii="Arial" w:cs="Arial" w:eastAsia="Arial" w:hAnsi="Arial"/>
          <w:sz w:val="19"/>
          <w:szCs w:val="19"/>
          <w:color w:val="auto"/>
        </w:rPr>
        <w:t>confer upon any Awardholder any right to continue to serve the Company as a Non-Employee Director or shall affect the right of the Company or an Affiliate to terminate the service of a Director pursuant to the Bylaws of the Company or an Affiliate, and any applicable provisions of the corporate law of the state in which the Company or the Affiliate is incorporated, as the case may be.</w:t>
      </w:r>
    </w:p>
    <w:p>
      <w:pPr>
        <w:spacing w:after="0" w:line="135" w:lineRule="exact"/>
        <w:rPr>
          <w:rFonts w:ascii="Arial" w:cs="Arial" w:eastAsia="Arial" w:hAnsi="Arial"/>
          <w:sz w:val="19"/>
          <w:szCs w:val="19"/>
          <w:b w:val="1"/>
          <w:bCs w:val="1"/>
          <w:color w:val="auto"/>
        </w:rPr>
      </w:pPr>
    </w:p>
    <w:p>
      <w:pPr>
        <w:jc w:val="both"/>
        <w:ind w:firstLine="656"/>
        <w:spacing w:after="0" w:line="287" w:lineRule="auto"/>
        <w:tabs>
          <w:tab w:leader="none" w:pos="1561" w:val="left"/>
        </w:tabs>
        <w:numPr>
          <w:ilvl w:val="1"/>
          <w:numId w:val="440"/>
        </w:numPr>
        <w:rPr>
          <w:rFonts w:ascii="Arial" w:cs="Arial" w:eastAsia="Arial" w:hAnsi="Arial"/>
          <w:sz w:val="19"/>
          <w:szCs w:val="19"/>
          <w:b w:val="1"/>
          <w:bCs w:val="1"/>
          <w:color w:val="auto"/>
        </w:rPr>
      </w:pPr>
      <w:r>
        <w:rPr>
          <w:rFonts w:ascii="Arial" w:cs="Arial" w:eastAsia="Arial" w:hAnsi="Arial"/>
          <w:sz w:val="19"/>
          <w:szCs w:val="19"/>
          <w:b w:val="1"/>
          <w:bCs w:val="1"/>
          <w:color w:val="auto"/>
        </w:rPr>
        <w:t>Investment Assurances</w:t>
      </w:r>
      <w:r>
        <w:rPr>
          <w:rFonts w:ascii="Arial" w:cs="Arial" w:eastAsia="Arial" w:hAnsi="Arial"/>
          <w:sz w:val="19"/>
          <w:szCs w:val="19"/>
          <w:color w:val="auto"/>
        </w:rPr>
        <w:t>. The Company may require an Awardholder, as a condition of exercising or acquiring</w:t>
      </w:r>
      <w:r>
        <w:rPr>
          <w:rFonts w:ascii="Arial" w:cs="Arial" w:eastAsia="Arial" w:hAnsi="Arial"/>
          <w:sz w:val="19"/>
          <w:szCs w:val="19"/>
          <w:b w:val="1"/>
          <w:bCs w:val="1"/>
          <w:color w:val="auto"/>
        </w:rPr>
        <w:t xml:space="preserve"> </w:t>
      </w:r>
      <w:r>
        <w:rPr>
          <w:rFonts w:ascii="Arial" w:cs="Arial" w:eastAsia="Arial" w:hAnsi="Arial"/>
          <w:sz w:val="19"/>
          <w:szCs w:val="19"/>
          <w:color w:val="auto"/>
        </w:rPr>
        <w:t>Ordinary Shares under any Stock Award, (i) to give written assurances satisfactory to the Company as to the Awardholder’s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Awardholder is acquiring the Ordinary Shares subject to the Stock Award for the Awardholder’s own account and not with any present intention of selling or otherwise distributing the Ordinary Shares. The foregoing requirements, and any assurances given pursuant to such requirements, shall be inoperative if (i) the issuance of the Ordinary Shares upon the exercise or acquisition of Ordinary Shares under the Stock Award has been registered under a then currently effective registration statement under the Securities Act, or (ii) as to any particular requirement, a determination is made by counsel for the Company that such requirement need not be met in the circumstances under the then applicable securities laws. The Company may, upon advice of counsel to the Company, place legends on share certificates issued under the Plan as such counsel deems necessary or appropriate in order to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47" w:right="239" w:bottom="1440" w:gutter="0" w:footer="0" w:header="0"/>
        </w:sectPr>
      </w:pPr>
    </w:p>
    <w:bookmarkStart w:id="441" w:name="page442"/>
    <w:bookmarkEnd w:id="441"/>
    <w:p>
      <w:pPr>
        <w:spacing w:after="0"/>
        <w:rPr>
          <w:sz w:val="20"/>
          <w:szCs w:val="20"/>
          <w:color w:val="auto"/>
        </w:rPr>
      </w:pPr>
      <w:r>
        <w:rPr>
          <w:rFonts w:ascii="Arial" w:cs="Arial" w:eastAsia="Arial" w:hAnsi="Arial"/>
          <w:sz w:val="21"/>
          <w:szCs w:val="21"/>
          <w:color w:val="auto"/>
        </w:rPr>
        <w:t>comply with applicable securities laws, including, but not limited to, legends restricting the transfer of the Ordinary Shares.</w:t>
      </w:r>
    </w:p>
    <w:p>
      <w:pPr>
        <w:spacing w:after="0" w:line="225" w:lineRule="exact"/>
        <w:rPr>
          <w:sz w:val="20"/>
          <w:szCs w:val="20"/>
          <w:color w:val="auto"/>
        </w:rPr>
      </w:pPr>
    </w:p>
    <w:p>
      <w:pPr>
        <w:jc w:val="both"/>
        <w:ind w:firstLine="656"/>
        <w:spacing w:after="0" w:line="293" w:lineRule="auto"/>
        <w:tabs>
          <w:tab w:leader="none" w:pos="1536" w:val="left"/>
        </w:tabs>
        <w:numPr>
          <w:ilvl w:val="1"/>
          <w:numId w:val="441"/>
        </w:numPr>
        <w:rPr>
          <w:rFonts w:ascii="Arial" w:cs="Arial" w:eastAsia="Arial" w:hAnsi="Arial"/>
          <w:sz w:val="19"/>
          <w:szCs w:val="19"/>
          <w:b w:val="1"/>
          <w:bCs w:val="1"/>
          <w:color w:val="auto"/>
        </w:rPr>
      </w:pPr>
      <w:r>
        <w:rPr>
          <w:rFonts w:ascii="Arial" w:cs="Arial" w:eastAsia="Arial" w:hAnsi="Arial"/>
          <w:sz w:val="19"/>
          <w:szCs w:val="19"/>
          <w:b w:val="1"/>
          <w:bCs w:val="1"/>
          <w:color w:val="auto"/>
        </w:rPr>
        <w:t>Withholding Obligations</w:t>
      </w:r>
      <w:r>
        <w:rPr>
          <w:rFonts w:ascii="Arial" w:cs="Arial" w:eastAsia="Arial" w:hAnsi="Arial"/>
          <w:sz w:val="19"/>
          <w:szCs w:val="19"/>
          <w:color w:val="auto"/>
        </w:rPr>
        <w:t>. The Awardholder may satisfy any federal, state, local or foreign tax withholding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obligation relating to the exercise or acquisition of Ordinary Shares under a Stock Award by any of the following means (in addition to the Company’s right to withhold from any compensation paid to the Awardholder by the Company) or by a combination of such means: (i) tendering a cash payment; (ii) authorizing the Company to withhold Ordinary Shares from the Ordinary Shares otherwise issuable to the Awardholder as a result of the exercise or acquisition of Ordinary Shares under the Stock Award;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no Ordinary Shares are withheld with a value exceeding the minimum amount of tax required to be</w:t>
      </w:r>
      <w:r>
        <w:rPr>
          <w:rFonts w:ascii="Arial" w:cs="Arial" w:eastAsia="Arial" w:hAnsi="Arial"/>
          <w:sz w:val="19"/>
          <w:szCs w:val="19"/>
          <w:i w:val="1"/>
          <w:iCs w:val="1"/>
          <w:color w:val="auto"/>
        </w:rPr>
        <w:t xml:space="preserve"> </w:t>
      </w:r>
      <w:r>
        <w:rPr>
          <w:rFonts w:ascii="Arial" w:cs="Arial" w:eastAsia="Arial" w:hAnsi="Arial"/>
          <w:sz w:val="19"/>
          <w:szCs w:val="19"/>
          <w:color w:val="auto"/>
        </w:rPr>
        <w:t>withheld by law; or (iii) delivering to the Company owned and unencumbered Ordinary Shares.</w:t>
      </w:r>
    </w:p>
    <w:p>
      <w:pPr>
        <w:spacing w:after="0" w:line="145" w:lineRule="exact"/>
        <w:rPr>
          <w:rFonts w:ascii="Arial" w:cs="Arial" w:eastAsia="Arial" w:hAnsi="Arial"/>
          <w:sz w:val="19"/>
          <w:szCs w:val="19"/>
          <w:b w:val="1"/>
          <w:bCs w:val="1"/>
          <w:color w:val="auto"/>
        </w:rPr>
      </w:pPr>
    </w:p>
    <w:p>
      <w:pPr>
        <w:ind w:right="20" w:firstLine="656"/>
        <w:spacing w:after="0" w:line="269" w:lineRule="auto"/>
        <w:tabs>
          <w:tab w:leader="none" w:pos="1512" w:val="left"/>
        </w:tabs>
        <w:numPr>
          <w:ilvl w:val="1"/>
          <w:numId w:val="441"/>
        </w:numPr>
        <w:rPr>
          <w:rFonts w:ascii="Arial" w:cs="Arial" w:eastAsia="Arial" w:hAnsi="Arial"/>
          <w:sz w:val="22"/>
          <w:szCs w:val="22"/>
          <w:b w:val="1"/>
          <w:bCs w:val="1"/>
          <w:color w:val="auto"/>
        </w:rPr>
      </w:pPr>
      <w:r>
        <w:rPr>
          <w:rFonts w:ascii="Arial" w:cs="Arial" w:eastAsia="Arial" w:hAnsi="Arial"/>
          <w:sz w:val="22"/>
          <w:szCs w:val="22"/>
          <w:b w:val="1"/>
          <w:bCs w:val="1"/>
          <w:color w:val="auto"/>
        </w:rPr>
        <w:t>Electronic Delivery</w:t>
      </w:r>
      <w:r>
        <w:rPr>
          <w:rFonts w:ascii="Arial" w:cs="Arial" w:eastAsia="Arial" w:hAnsi="Arial"/>
          <w:sz w:val="22"/>
          <w:szCs w:val="22"/>
          <w:color w:val="auto"/>
        </w:rPr>
        <w:t>. Any reference herein to a “written” agreement or document shall include any agreement or</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 delivered electronically or posted on the Company’s intranet.</w:t>
      </w:r>
    </w:p>
    <w:p>
      <w:pPr>
        <w:spacing w:after="0" w:line="162" w:lineRule="exact"/>
        <w:rPr>
          <w:rFonts w:ascii="Arial" w:cs="Arial" w:eastAsia="Arial" w:hAnsi="Arial"/>
          <w:sz w:val="22"/>
          <w:szCs w:val="22"/>
          <w:b w:val="1"/>
          <w:bCs w:val="1"/>
          <w:color w:val="auto"/>
        </w:rPr>
      </w:pPr>
    </w:p>
    <w:p>
      <w:pPr>
        <w:ind w:left="820" w:hanging="812"/>
        <w:spacing w:after="0"/>
        <w:tabs>
          <w:tab w:leader="none" w:pos="820" w:val="left"/>
        </w:tabs>
        <w:numPr>
          <w:ilvl w:val="0"/>
          <w:numId w:val="442"/>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Adjustments upon Changes in Ordinary Shares; Corporate Transactions.</w:t>
      </w:r>
    </w:p>
    <w:p>
      <w:pPr>
        <w:spacing w:after="0" w:line="219" w:lineRule="exact"/>
        <w:rPr>
          <w:rFonts w:ascii="Arial" w:cs="Arial" w:eastAsia="Arial" w:hAnsi="Arial"/>
          <w:sz w:val="22"/>
          <w:szCs w:val="22"/>
          <w:b w:val="1"/>
          <w:bCs w:val="1"/>
          <w:color w:val="auto"/>
        </w:rPr>
      </w:pPr>
    </w:p>
    <w:p>
      <w:pPr>
        <w:jc w:val="both"/>
        <w:ind w:firstLine="656"/>
        <w:spacing w:after="0" w:line="298" w:lineRule="auto"/>
        <w:tabs>
          <w:tab w:leader="none" w:pos="1549" w:val="left"/>
        </w:tabs>
        <w:numPr>
          <w:ilvl w:val="1"/>
          <w:numId w:val="442"/>
        </w:numPr>
        <w:rPr>
          <w:rFonts w:ascii="Arial" w:cs="Arial" w:eastAsia="Arial" w:hAnsi="Arial"/>
          <w:sz w:val="19"/>
          <w:szCs w:val="19"/>
          <w:b w:val="1"/>
          <w:bCs w:val="1"/>
          <w:color w:val="auto"/>
        </w:rPr>
      </w:pPr>
      <w:r>
        <w:rPr>
          <w:rFonts w:ascii="Arial" w:cs="Arial" w:eastAsia="Arial" w:hAnsi="Arial"/>
          <w:sz w:val="19"/>
          <w:szCs w:val="19"/>
          <w:b w:val="1"/>
          <w:bCs w:val="1"/>
          <w:color w:val="auto"/>
        </w:rPr>
        <w:t>Capitalization Adjustments</w:t>
      </w:r>
      <w:r>
        <w:rPr>
          <w:rFonts w:ascii="Arial" w:cs="Arial" w:eastAsia="Arial" w:hAnsi="Arial"/>
          <w:sz w:val="19"/>
          <w:szCs w:val="19"/>
          <w:color w:val="auto"/>
        </w:rPr>
        <w:t>. In the event of a Capitalization Adjustment, the Board shall proportionately and</w:t>
      </w:r>
      <w:r>
        <w:rPr>
          <w:rFonts w:ascii="Arial" w:cs="Arial" w:eastAsia="Arial" w:hAnsi="Arial"/>
          <w:sz w:val="19"/>
          <w:szCs w:val="19"/>
          <w:b w:val="1"/>
          <w:bCs w:val="1"/>
          <w:color w:val="auto"/>
        </w:rPr>
        <w:t xml:space="preserve"> </w:t>
      </w:r>
      <w:r>
        <w:rPr>
          <w:rFonts w:ascii="Arial" w:cs="Arial" w:eastAsia="Arial" w:hAnsi="Arial"/>
          <w:sz w:val="19"/>
          <w:szCs w:val="19"/>
          <w:color w:val="auto"/>
        </w:rPr>
        <w:t>appropriately adjust: (i) the class(es) and maximum number of securities subject to the Plan pursuant to Section 3(a), (ii) the class(es) and maximum number of securities by which the share reserve is to increase automatically each year pursuant to Section 3(a), and (iii) the class(es) and number of securities and price per Ordinary Share subject to outstanding Stock Awards. The Board shall make such adjustments, and its determination shall be final, binding and conclusive.</w:t>
      </w:r>
    </w:p>
    <w:p>
      <w:pPr>
        <w:spacing w:after="0" w:line="142" w:lineRule="exact"/>
        <w:rPr>
          <w:rFonts w:ascii="Arial" w:cs="Arial" w:eastAsia="Arial" w:hAnsi="Arial"/>
          <w:sz w:val="19"/>
          <w:szCs w:val="19"/>
          <w:b w:val="1"/>
          <w:bCs w:val="1"/>
          <w:color w:val="auto"/>
        </w:rPr>
      </w:pPr>
    </w:p>
    <w:p>
      <w:pPr>
        <w:jc w:val="both"/>
        <w:ind w:firstLine="656"/>
        <w:spacing w:after="0" w:line="298" w:lineRule="auto"/>
        <w:tabs>
          <w:tab w:leader="none" w:pos="1561" w:val="left"/>
        </w:tabs>
        <w:numPr>
          <w:ilvl w:val="1"/>
          <w:numId w:val="442"/>
        </w:numPr>
        <w:rPr>
          <w:rFonts w:ascii="Arial" w:cs="Arial" w:eastAsia="Arial" w:hAnsi="Arial"/>
          <w:sz w:val="19"/>
          <w:szCs w:val="19"/>
          <w:b w:val="1"/>
          <w:bCs w:val="1"/>
          <w:color w:val="auto"/>
        </w:rPr>
      </w:pPr>
      <w:r>
        <w:rPr>
          <w:rFonts w:ascii="Arial" w:cs="Arial" w:eastAsia="Arial" w:hAnsi="Arial"/>
          <w:sz w:val="19"/>
          <w:szCs w:val="19"/>
          <w:b w:val="1"/>
          <w:bCs w:val="1"/>
          <w:color w:val="auto"/>
        </w:rPr>
        <w:t>Dissolution or Liquidation</w:t>
      </w:r>
      <w:r>
        <w:rPr>
          <w:rFonts w:ascii="Arial" w:cs="Arial" w:eastAsia="Arial" w:hAnsi="Arial"/>
          <w:sz w:val="19"/>
          <w:szCs w:val="19"/>
          <w:color w:val="auto"/>
        </w:rPr>
        <w:t>. In the event of a dissolution or liquidation of the Company, all outstanding Stock</w:t>
      </w:r>
      <w:r>
        <w:rPr>
          <w:rFonts w:ascii="Arial" w:cs="Arial" w:eastAsia="Arial" w:hAnsi="Arial"/>
          <w:sz w:val="19"/>
          <w:szCs w:val="19"/>
          <w:b w:val="1"/>
          <w:bCs w:val="1"/>
          <w:color w:val="auto"/>
        </w:rPr>
        <w:t xml:space="preserve"> </w:t>
      </w:r>
      <w:r>
        <w:rPr>
          <w:rFonts w:ascii="Arial" w:cs="Arial" w:eastAsia="Arial" w:hAnsi="Arial"/>
          <w:sz w:val="19"/>
          <w:szCs w:val="19"/>
          <w:color w:val="auto"/>
        </w:rPr>
        <w:t>Awards (other than Stock Awards consisting of vested and outstanding Ordinary Shares not subject to a forfeiture condition or the Company’s right of repurchase) shall terminate immediately prior to the completion of such dissolution or liquidation, and any Ordinary Shares subject to the Company’s repurchase rights or subject to a forfeiture condition may be repurchased or reacquired by the Company notwithstanding the fact that the holder of such Stock Award is providing Continuous Service.</w:t>
      </w:r>
    </w:p>
    <w:p>
      <w:pPr>
        <w:spacing w:after="0" w:line="142" w:lineRule="exact"/>
        <w:rPr>
          <w:rFonts w:ascii="Arial" w:cs="Arial" w:eastAsia="Arial" w:hAnsi="Arial"/>
          <w:sz w:val="19"/>
          <w:szCs w:val="19"/>
          <w:b w:val="1"/>
          <w:bCs w:val="1"/>
          <w:color w:val="auto"/>
        </w:rPr>
      </w:pPr>
    </w:p>
    <w:p>
      <w:pPr>
        <w:ind w:left="1540" w:hanging="884"/>
        <w:spacing w:after="0"/>
        <w:tabs>
          <w:tab w:leader="none" w:pos="1540" w:val="left"/>
        </w:tabs>
        <w:numPr>
          <w:ilvl w:val="1"/>
          <w:numId w:val="442"/>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Transaction</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firstLine="1305"/>
        <w:spacing w:after="0" w:line="261" w:lineRule="auto"/>
        <w:tabs>
          <w:tab w:leader="none" w:pos="2149" w:val="left"/>
        </w:tabs>
        <w:numPr>
          <w:ilvl w:val="2"/>
          <w:numId w:val="44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Stock Awards May Be Assumed. </w:t>
      </w:r>
      <w:r>
        <w:rPr>
          <w:rFonts w:ascii="Arial" w:cs="Arial" w:eastAsia="Arial" w:hAnsi="Arial"/>
          <w:sz w:val="21"/>
          <w:szCs w:val="21"/>
          <w:color w:val="auto"/>
        </w:rPr>
        <w:t>In the event of a Corporate Transaction, any surviving corporation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acquiring corporation (or the surviving or acquiring corporation’s parent company) may assume or continue any or all Stock Awards outstanding under the Plan or may substitute similar stock awards for Stock Awards outstanding under the Plan (including but not limited to, stock awards to acquire the same consideration paid to the shareholders of the Company pursuant to the Corporate Transaction), and any reacquisition or repurchase rights held by the Company or any Affiliate in respect of Ordinary Shares issued pursuant to Stock Awards may be assigned by the Company to the successor of the Company (or the successor’s parent company, if any), in connection with such Corporate Transaction. A</w:t>
      </w:r>
    </w:p>
    <w:p>
      <w:pPr>
        <w:spacing w:after="0" w:line="200" w:lineRule="exact"/>
        <w:rPr>
          <w:sz w:val="20"/>
          <w:szCs w:val="20"/>
          <w:color w:val="auto"/>
        </w:rPr>
      </w:pPr>
    </w:p>
    <w:p>
      <w:pPr>
        <w:spacing w:after="0" w:line="22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47" w:right="239" w:bottom="1440" w:gutter="0" w:footer="0" w:header="0"/>
        </w:sectPr>
      </w:pPr>
    </w:p>
    <w:bookmarkStart w:id="442" w:name="page443"/>
    <w:bookmarkEnd w:id="442"/>
    <w:p>
      <w:pPr>
        <w:ind w:right="20"/>
        <w:spacing w:after="0" w:line="263" w:lineRule="auto"/>
        <w:rPr>
          <w:sz w:val="20"/>
          <w:szCs w:val="20"/>
          <w:color w:val="auto"/>
        </w:rPr>
      </w:pPr>
      <w:r>
        <w:rPr>
          <w:rFonts w:ascii="Arial" w:cs="Arial" w:eastAsia="Arial" w:hAnsi="Arial"/>
          <w:sz w:val="22"/>
          <w:szCs w:val="22"/>
          <w:color w:val="auto"/>
        </w:rPr>
        <w:t>surviving corporation or acquiring corporation may choose to assume or continue only a portion of a Stock Award or substitute a similar stock award for only a portion of a Stock Award.</w:t>
      </w:r>
    </w:p>
    <w:p>
      <w:pPr>
        <w:spacing w:after="0" w:line="169" w:lineRule="exact"/>
        <w:rPr>
          <w:sz w:val="20"/>
          <w:szCs w:val="20"/>
          <w:color w:val="auto"/>
        </w:rPr>
      </w:pPr>
    </w:p>
    <w:p>
      <w:pPr>
        <w:jc w:val="both"/>
        <w:ind w:firstLine="1305"/>
        <w:spacing w:after="0" w:line="288" w:lineRule="auto"/>
        <w:tabs>
          <w:tab w:leader="none" w:pos="2209" w:val="left"/>
        </w:tabs>
        <w:numPr>
          <w:ilvl w:val="1"/>
          <w:numId w:val="44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Stock Awards Held by Active Awardholders. </w:t>
      </w:r>
      <w:r>
        <w:rPr>
          <w:rFonts w:ascii="Arial" w:cs="Arial" w:eastAsia="Arial" w:hAnsi="Arial"/>
          <w:sz w:val="19"/>
          <w:szCs w:val="19"/>
          <w:color w:val="auto"/>
        </w:rPr>
        <w:t>In the event of a Corporate Transaction in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surviving corporation or acquiring corporation (or its parent company) does not assume or continue such outstanding Stock Awards or substitute similar stock awards for such outstanding Stock Awards, then with respect to Stock Awards that have not been assumed, continued or substituted and that are held by Awardholders whose Continuous Service has not terminated prior to the effective time of the Corporate Transaction (referred to as the “</w:t>
      </w:r>
      <w:r>
        <w:rPr>
          <w:rFonts w:ascii="Arial" w:cs="Arial" w:eastAsia="Arial" w:hAnsi="Arial"/>
          <w:sz w:val="19"/>
          <w:szCs w:val="19"/>
          <w:b w:val="1"/>
          <w:bCs w:val="1"/>
          <w:i w:val="1"/>
          <w:iCs w:val="1"/>
          <w:color w:val="auto"/>
        </w:rPr>
        <w:t>Active Awardholders</w:t>
      </w:r>
      <w:r>
        <w:rPr>
          <w:rFonts w:ascii="Arial" w:cs="Arial" w:eastAsia="Arial" w:hAnsi="Arial"/>
          <w:sz w:val="19"/>
          <w:szCs w:val="19"/>
          <w:color w:val="auto"/>
        </w:rPr>
        <w:t>”), the vesting of such Stock Awards (and, if applicable, the time at which such Stock Awards may be exercised) shall (contingent upon the effectiveness of the Corporate Transaction) be accelerated in full to a date prior to the effective time of such Corporate Transaction as the Board shall determine (or, if the Board shall not determine such a date, to the date that is five (5) days prior to the effective time of the Corporate Transaction), and the Stock Awards shall terminate if not exercised (if applicable) at or prior to the effective time of the Corporate Transaction, and any reacquisition or repurchase rights held by the Company or any Affiliate with respect to such Stock Awards shall lapse (contingent upon the effectiveness of the Corporate Transaction).</w:t>
      </w:r>
    </w:p>
    <w:p>
      <w:pPr>
        <w:spacing w:after="0" w:line="154" w:lineRule="exact"/>
        <w:rPr>
          <w:rFonts w:ascii="Arial" w:cs="Arial" w:eastAsia="Arial" w:hAnsi="Arial"/>
          <w:sz w:val="19"/>
          <w:szCs w:val="19"/>
          <w:b w:val="1"/>
          <w:bCs w:val="1"/>
          <w:color w:val="auto"/>
        </w:rPr>
      </w:pPr>
    </w:p>
    <w:p>
      <w:pPr>
        <w:jc w:val="both"/>
        <w:ind w:firstLine="1305"/>
        <w:spacing w:after="0" w:line="290" w:lineRule="auto"/>
        <w:tabs>
          <w:tab w:leader="none" w:pos="2269" w:val="left"/>
        </w:tabs>
        <w:numPr>
          <w:ilvl w:val="1"/>
          <w:numId w:val="44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Stock Awards Held by Former Awardholders. </w:t>
      </w:r>
      <w:r>
        <w:rPr>
          <w:rFonts w:ascii="Arial" w:cs="Arial" w:eastAsia="Arial" w:hAnsi="Arial"/>
          <w:sz w:val="19"/>
          <w:szCs w:val="19"/>
          <w:color w:val="auto"/>
        </w:rPr>
        <w:t>In the event of a Corporate Transaction in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surviving corporation or acquiring corporation (or its parent company) does not assume or continue such outstanding Stock Awards or substitute similar stock awards for such outstanding Stock Awards, then with respect to any other Stock Awards that have not been assumed, continued or substituted and that are held by persons other than Active Awardholders, the vesting of such Stock Awards (and, if applicable, the time at which such Stock Awards may be exercised) shall not be accelerated unless otherwise provided in Section 9(d) or in a written agreement between the Company or any Affiliate and the holder of such Stock Awards, and such Stock Awards shall terminate if not exercised (if applicable) prior to the effective time of the Corporate Transaction;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any reacquisition or repurchase rights held by the Company or any Affiliate with respect to such Stock Awards shall</w:t>
      </w:r>
      <w:r>
        <w:rPr>
          <w:rFonts w:ascii="Arial" w:cs="Arial" w:eastAsia="Arial" w:hAnsi="Arial"/>
          <w:sz w:val="19"/>
          <w:szCs w:val="19"/>
          <w:i w:val="1"/>
          <w:iCs w:val="1"/>
          <w:color w:val="auto"/>
        </w:rPr>
        <w:t xml:space="preserve"> </w:t>
      </w:r>
      <w:r>
        <w:rPr>
          <w:rFonts w:ascii="Arial" w:cs="Arial" w:eastAsia="Arial" w:hAnsi="Arial"/>
          <w:sz w:val="19"/>
          <w:szCs w:val="19"/>
          <w:color w:val="auto"/>
        </w:rPr>
        <w:t>not terminate and may continue to be exercised notwithstanding the Corporate Transaction.</w:t>
      </w:r>
    </w:p>
    <w:p>
      <w:pPr>
        <w:spacing w:after="0" w:line="149" w:lineRule="exact"/>
        <w:rPr>
          <w:rFonts w:ascii="Arial" w:cs="Arial" w:eastAsia="Arial" w:hAnsi="Arial"/>
          <w:sz w:val="19"/>
          <w:szCs w:val="19"/>
          <w:b w:val="1"/>
          <w:bCs w:val="1"/>
          <w:color w:val="auto"/>
        </w:rPr>
      </w:pPr>
    </w:p>
    <w:p>
      <w:pPr>
        <w:jc w:val="both"/>
        <w:ind w:firstLine="1305"/>
        <w:spacing w:after="0" w:line="248" w:lineRule="auto"/>
        <w:tabs>
          <w:tab w:leader="none" w:pos="2257" w:val="left"/>
        </w:tabs>
        <w:numPr>
          <w:ilvl w:val="1"/>
          <w:numId w:val="44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 for Stock Awards in Lieu of Exercise. </w:t>
      </w:r>
      <w:r>
        <w:rPr>
          <w:rFonts w:ascii="Arial" w:cs="Arial" w:eastAsia="Arial" w:hAnsi="Arial"/>
          <w:sz w:val="22"/>
          <w:szCs w:val="22"/>
          <w:color w:val="auto"/>
        </w:rPr>
        <w:t>Notwithstanding the foregoing, in the event a Stock</w:t>
      </w:r>
      <w:r>
        <w:rPr>
          <w:rFonts w:ascii="Arial" w:cs="Arial" w:eastAsia="Arial" w:hAnsi="Arial"/>
          <w:sz w:val="22"/>
          <w:szCs w:val="22"/>
          <w:b w:val="1"/>
          <w:bCs w:val="1"/>
          <w:color w:val="auto"/>
        </w:rPr>
        <w:t xml:space="preserve"> </w:t>
      </w:r>
      <w:r>
        <w:rPr>
          <w:rFonts w:ascii="Arial" w:cs="Arial" w:eastAsia="Arial" w:hAnsi="Arial"/>
          <w:sz w:val="22"/>
          <w:szCs w:val="22"/>
          <w:color w:val="auto"/>
        </w:rPr>
        <w:t>Award will terminate if not exercised prior to the effective time of a Corporate Transaction, the Board may provide, in its sole discretion, that the holder of such Stock Award may not exercise such Stock Award but will receive a payment, in such form as may be determined by the Board, equal in value to the excess, if any, of (i) the value of the property the holder of the Award would have received upon the exercise of the Stock Award, over (ii) the exercise price payable by the Awardholder in connection with such exercise.</w:t>
      </w:r>
    </w:p>
    <w:p>
      <w:pPr>
        <w:spacing w:after="0" w:line="187" w:lineRule="exact"/>
        <w:rPr>
          <w:rFonts w:ascii="Arial" w:cs="Arial" w:eastAsia="Arial" w:hAnsi="Arial"/>
          <w:sz w:val="22"/>
          <w:szCs w:val="22"/>
          <w:b w:val="1"/>
          <w:bCs w:val="1"/>
          <w:color w:val="auto"/>
        </w:rPr>
      </w:pPr>
    </w:p>
    <w:p>
      <w:pPr>
        <w:jc w:val="both"/>
        <w:ind w:firstLine="656"/>
        <w:spacing w:after="0" w:line="249" w:lineRule="auto"/>
        <w:tabs>
          <w:tab w:leader="none" w:pos="1561" w:val="left"/>
        </w:tabs>
        <w:numPr>
          <w:ilvl w:val="0"/>
          <w:numId w:val="444"/>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In the event that an Awardholder (i) is required to resign his or her position as a Non-Employee Director as a condition of a Change in Control, or (ii) is removed from his or her position as a Non-Employee Director in connection with a Change in Control, the outstanding Stock Awards held by such Awardholder shall become fully vested and exercisable immediately prior to the effectiveness of such resignation or removal (and contingent upon the effectiveness of such Change in Control).</w:t>
      </w:r>
    </w:p>
    <w:p>
      <w:pPr>
        <w:spacing w:after="0" w:line="200" w:lineRule="exact"/>
        <w:rPr>
          <w:sz w:val="20"/>
          <w:szCs w:val="20"/>
          <w:color w:val="auto"/>
        </w:rPr>
      </w:pPr>
    </w:p>
    <w:p>
      <w:pPr>
        <w:spacing w:after="0" w:line="23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847" w:right="239" w:bottom="1440" w:gutter="0" w:footer="0" w:header="0"/>
        </w:sectPr>
      </w:pPr>
    </w:p>
    <w:bookmarkStart w:id="443" w:name="page444"/>
    <w:bookmarkEnd w:id="443"/>
    <w:p>
      <w:pPr>
        <w:ind w:left="884" w:hanging="884"/>
        <w:spacing w:after="0"/>
        <w:tabs>
          <w:tab w:leader="none" w:pos="884" w:val="left"/>
        </w:tabs>
        <w:numPr>
          <w:ilvl w:val="0"/>
          <w:numId w:val="445"/>
        </w:numPr>
        <w:rPr>
          <w:rFonts w:ascii="Arial" w:cs="Arial" w:eastAsia="Arial" w:hAnsi="Arial"/>
          <w:sz w:val="22"/>
          <w:szCs w:val="22"/>
          <w:b w:val="1"/>
          <w:bCs w:val="1"/>
          <w:color w:val="auto"/>
        </w:rPr>
      </w:pPr>
      <w:r>
        <w:rPr>
          <w:rFonts w:ascii="Arial" w:cs="Arial" w:eastAsia="Arial" w:hAnsi="Arial"/>
          <w:sz w:val="22"/>
          <w:szCs w:val="22"/>
          <w:b w:val="1"/>
          <w:bCs w:val="1"/>
          <w:color w:val="auto"/>
        </w:rPr>
        <w:t>Parachute Payments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left="-656" w:firstLine="1305"/>
        <w:spacing w:after="0" w:line="289" w:lineRule="auto"/>
        <w:tabs>
          <w:tab w:leader="none" w:pos="1492" w:val="left"/>
        </w:tabs>
        <w:numPr>
          <w:ilvl w:val="1"/>
          <w:numId w:val="445"/>
        </w:numPr>
        <w:rPr>
          <w:rFonts w:ascii="Arial" w:cs="Arial" w:eastAsia="Arial" w:hAnsi="Arial"/>
          <w:sz w:val="19"/>
          <w:szCs w:val="19"/>
          <w:b w:val="1"/>
          <w:bCs w:val="1"/>
          <w:color w:val="auto"/>
        </w:rPr>
      </w:pPr>
      <w:r>
        <w:rPr>
          <w:rFonts w:ascii="Arial" w:cs="Arial" w:eastAsia="Arial" w:hAnsi="Arial"/>
          <w:sz w:val="19"/>
          <w:szCs w:val="19"/>
          <w:color w:val="auto"/>
        </w:rPr>
        <w:t>If the acceleration of the vesting and exercisability of Stock Awards provided for in Sections 9(c) and 9(d), together with payments and other benefits of an Awardholder, (collectively, the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(i) constitute a “parachute payment” within the meaning of Section 280G of the Code, or any comparable successor provisions, and (ii) but for this Section 9(e) would be subject to the excise tax imposed by Section 4999 of the Code, or any comparable successor provisions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such Payment shall be either (1) provided to such Awardholder in full, or (2) provided to such Awardholder as to such lesser extent that would result in no portion of such Payment being subject to the Excise Tax, whichever of the foregoing amounts, when taking into account applicable federal, state, local and foreign income and employment taxes, the Excise Tax, and any other applicable taxes, results in the receipt by such Awardholder, on an after-tax basis, of the greatest amount of the Payment, notwithstanding that all or some portion of the Payment may be subject to the Excise Tax.</w:t>
      </w:r>
    </w:p>
    <w:p>
      <w:pPr>
        <w:spacing w:after="0" w:line="157" w:lineRule="exact"/>
        <w:rPr>
          <w:rFonts w:ascii="Arial" w:cs="Arial" w:eastAsia="Arial" w:hAnsi="Arial"/>
          <w:sz w:val="19"/>
          <w:szCs w:val="19"/>
          <w:b w:val="1"/>
          <w:bCs w:val="1"/>
          <w:color w:val="auto"/>
        </w:rPr>
      </w:pPr>
    </w:p>
    <w:p>
      <w:pPr>
        <w:jc w:val="both"/>
        <w:ind w:left="-656" w:firstLine="1305"/>
        <w:spacing w:after="0" w:line="271" w:lineRule="auto"/>
        <w:tabs>
          <w:tab w:leader="none" w:pos="1553" w:val="left"/>
        </w:tabs>
        <w:numPr>
          <w:ilvl w:val="1"/>
          <w:numId w:val="445"/>
        </w:numPr>
        <w:rPr>
          <w:rFonts w:ascii="Arial" w:cs="Arial" w:eastAsia="Arial" w:hAnsi="Arial"/>
          <w:sz w:val="21"/>
          <w:szCs w:val="21"/>
          <w:b w:val="1"/>
          <w:bCs w:val="1"/>
          <w:color w:val="auto"/>
        </w:rPr>
      </w:pPr>
      <w:r>
        <w:rPr>
          <w:rFonts w:ascii="Arial" w:cs="Arial" w:eastAsia="Arial" w:hAnsi="Arial"/>
          <w:sz w:val="21"/>
          <w:szCs w:val="21"/>
          <w:color w:val="auto"/>
        </w:rPr>
        <w:t>Unless the Company and such Awardholder otherwise agree in writing, any determination required under this Section 9(e) shall be made in writing in good faith by the Accountant. If a reduction in the Payment is to be made as provided above, reduction shall occur in the manner that results in the greatest economic benefit for Awardholder.</w:t>
      </w:r>
    </w:p>
    <w:p>
      <w:pPr>
        <w:spacing w:after="0" w:line="167" w:lineRule="exact"/>
        <w:rPr>
          <w:rFonts w:ascii="Arial" w:cs="Arial" w:eastAsia="Arial" w:hAnsi="Arial"/>
          <w:sz w:val="21"/>
          <w:szCs w:val="21"/>
          <w:b w:val="1"/>
          <w:bCs w:val="1"/>
          <w:color w:val="auto"/>
        </w:rPr>
      </w:pPr>
    </w:p>
    <w:p>
      <w:pPr>
        <w:jc w:val="both"/>
        <w:ind w:left="-656" w:firstLine="1305"/>
        <w:spacing w:after="0" w:line="247" w:lineRule="auto"/>
        <w:tabs>
          <w:tab w:leader="none" w:pos="1613" w:val="left"/>
        </w:tabs>
        <w:numPr>
          <w:ilvl w:val="1"/>
          <w:numId w:val="445"/>
        </w:numPr>
        <w:rPr>
          <w:rFonts w:ascii="Arial" w:cs="Arial" w:eastAsia="Arial" w:hAnsi="Arial"/>
          <w:sz w:val="22"/>
          <w:szCs w:val="22"/>
          <w:b w:val="1"/>
          <w:bCs w:val="1"/>
          <w:color w:val="auto"/>
        </w:rPr>
      </w:pPr>
      <w:r>
        <w:rPr>
          <w:rFonts w:ascii="Arial" w:cs="Arial" w:eastAsia="Arial" w:hAnsi="Arial"/>
          <w:sz w:val="22"/>
          <w:szCs w:val="22"/>
          <w:color w:val="auto"/>
        </w:rPr>
        <w:t>For purposes of making the calculations required by this Section 9(e), the Accountant may make reasonable assumptions and approximations concerning applicable taxes and may rely on reasonable, good faith interpretations concerning the application of the Code and other applicable legal authority. The Company and the Awardholder shall furnish to the Accountant such information and documents as the Accountant may reasonably request in order to make such a determination. The Company shall bear all costs the Accountant may reasonably incur in connection with any calculations contemplated by this Section 9(e).</w:t>
      </w:r>
    </w:p>
    <w:p>
      <w:pPr>
        <w:spacing w:after="0" w:line="193" w:lineRule="exact"/>
        <w:rPr>
          <w:rFonts w:ascii="Arial" w:cs="Arial" w:eastAsia="Arial" w:hAnsi="Arial"/>
          <w:sz w:val="22"/>
          <w:szCs w:val="22"/>
          <w:b w:val="1"/>
          <w:bCs w:val="1"/>
          <w:color w:val="auto"/>
        </w:rPr>
      </w:pPr>
    </w:p>
    <w:p>
      <w:pPr>
        <w:jc w:val="both"/>
        <w:ind w:left="-656" w:firstLine="1305"/>
        <w:spacing w:after="0" w:line="258" w:lineRule="auto"/>
        <w:tabs>
          <w:tab w:leader="none" w:pos="1600" w:val="left"/>
        </w:tabs>
        <w:numPr>
          <w:ilvl w:val="1"/>
          <w:numId w:val="445"/>
        </w:numPr>
        <w:rPr>
          <w:rFonts w:ascii="Arial" w:cs="Arial" w:eastAsia="Arial" w:hAnsi="Arial"/>
          <w:sz w:val="21"/>
          <w:szCs w:val="21"/>
          <w:b w:val="1"/>
          <w:bCs w:val="1"/>
          <w:color w:val="auto"/>
        </w:rPr>
      </w:pPr>
      <w:r>
        <w:rPr>
          <w:rFonts w:ascii="Arial" w:cs="Arial" w:eastAsia="Arial" w:hAnsi="Arial"/>
          <w:sz w:val="21"/>
          <w:szCs w:val="21"/>
          <w:color w:val="auto"/>
        </w:rPr>
        <w:t>If, notwithstanding any reduction described above, the Internal Revenue Service (the “</w:t>
      </w:r>
      <w:r>
        <w:rPr>
          <w:rFonts w:ascii="Arial" w:cs="Arial" w:eastAsia="Arial" w:hAnsi="Arial"/>
          <w:sz w:val="21"/>
          <w:szCs w:val="21"/>
          <w:b w:val="1"/>
          <w:bCs w:val="1"/>
          <w:i w:val="1"/>
          <w:iCs w:val="1"/>
          <w:color w:val="auto"/>
        </w:rPr>
        <w:t>IRS</w:t>
      </w:r>
      <w:r>
        <w:rPr>
          <w:rFonts w:ascii="Arial" w:cs="Arial" w:eastAsia="Arial" w:hAnsi="Arial"/>
          <w:sz w:val="21"/>
          <w:szCs w:val="21"/>
          <w:color w:val="auto"/>
        </w:rPr>
        <w:t>”) determines that the Awardholder is liable for the Excise Tax as a result of the Payment, then the Awardholder shall be obligated to pay back to the Company, within thirty (30) days after a final IRS determination or, in the event that the Awardholder challenges the final IRS determination, a final judicial determination, a portion of the Payment (the “</w:t>
      </w:r>
      <w:r>
        <w:rPr>
          <w:rFonts w:ascii="Arial" w:cs="Arial" w:eastAsia="Arial" w:hAnsi="Arial"/>
          <w:sz w:val="21"/>
          <w:szCs w:val="21"/>
          <w:b w:val="1"/>
          <w:bCs w:val="1"/>
          <w:i w:val="1"/>
          <w:iCs w:val="1"/>
          <w:color w:val="auto"/>
        </w:rPr>
        <w:t>Repayment Amount</w:t>
      </w:r>
      <w:r>
        <w:rPr>
          <w:rFonts w:ascii="Arial" w:cs="Arial" w:eastAsia="Arial" w:hAnsi="Arial"/>
          <w:sz w:val="21"/>
          <w:szCs w:val="21"/>
          <w:color w:val="auto"/>
        </w:rPr>
        <w:t>”). The Repayment Amount with respect to the Payment shall be the smallest such amount, if any, as shall be required to be paid to the Company so that the Awardholder’s net after-tax proceeds with respect to the Payment (after taking into account the payment of the Excise Tax and all other applicable taxes imposed on the Payment) shall be maximized. The Repayment Amount with respect to the Payment shall be zero if a Repayment Amount of more than zero would not result in the Awardholder’s net after-tax proceeds with respect to the Payment being maximized. If the Excise Tax is not eliminated pursuant to this paragraph, the Awardholder shall pay the Excise Tax.</w:t>
      </w:r>
    </w:p>
    <w:p>
      <w:pPr>
        <w:spacing w:after="0" w:line="186" w:lineRule="exact"/>
        <w:rPr>
          <w:rFonts w:ascii="Arial" w:cs="Arial" w:eastAsia="Arial" w:hAnsi="Arial"/>
          <w:sz w:val="21"/>
          <w:szCs w:val="21"/>
          <w:b w:val="1"/>
          <w:bCs w:val="1"/>
          <w:color w:val="auto"/>
        </w:rPr>
      </w:pPr>
    </w:p>
    <w:p>
      <w:pPr>
        <w:jc w:val="both"/>
        <w:ind w:left="-656" w:firstLine="1305"/>
        <w:spacing w:after="0" w:line="265" w:lineRule="auto"/>
        <w:tabs>
          <w:tab w:leader="none" w:pos="1541" w:val="left"/>
        </w:tabs>
        <w:numPr>
          <w:ilvl w:val="1"/>
          <w:numId w:val="445"/>
        </w:numPr>
        <w:rPr>
          <w:rFonts w:ascii="Arial" w:cs="Arial" w:eastAsia="Arial" w:hAnsi="Arial"/>
          <w:sz w:val="21"/>
          <w:szCs w:val="21"/>
          <w:b w:val="1"/>
          <w:bCs w:val="1"/>
          <w:color w:val="auto"/>
        </w:rPr>
      </w:pPr>
      <w:r>
        <w:rPr>
          <w:rFonts w:ascii="Arial" w:cs="Arial" w:eastAsia="Arial" w:hAnsi="Arial"/>
          <w:sz w:val="21"/>
          <w:szCs w:val="21"/>
          <w:color w:val="auto"/>
        </w:rPr>
        <w:t>Notwithstanding any other provision of this Section 9(e), if (i) there is a reduction in the Payment as described above, (ii) the IRS later determines that the Awardholder is liable for the Excise Tax, the payment of which would result in the maximization of the Awardholder’s net after-tax proceeds of the Payment (calculated as if the Payment had not previously been reduced), and (iii) the Awardholder pays the Excise Tax, then the Company</w:t>
      </w:r>
    </w:p>
    <w:p>
      <w:pPr>
        <w:spacing w:after="0" w:line="200" w:lineRule="exact"/>
        <w:rPr>
          <w:sz w:val="20"/>
          <w:szCs w:val="20"/>
          <w:color w:val="auto"/>
        </w:rPr>
      </w:pPr>
    </w:p>
    <w:p>
      <w:pPr>
        <w:spacing w:after="0" w:line="219" w:lineRule="exact"/>
        <w:rPr>
          <w:sz w:val="20"/>
          <w:szCs w:val="20"/>
          <w:color w:val="auto"/>
        </w:rPr>
      </w:pPr>
    </w:p>
    <w:p>
      <w:pPr>
        <w:ind w:left="5284"/>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764"/>
          </w:cols>
          <w:pgMar w:left="896" w:top="841" w:right="239" w:bottom="1440" w:gutter="0" w:footer="0" w:header="0"/>
        </w:sectPr>
      </w:pPr>
    </w:p>
    <w:bookmarkStart w:id="444" w:name="page445"/>
    <w:bookmarkEnd w:id="444"/>
    <w:p>
      <w:pPr>
        <w:jc w:val="both"/>
        <w:spacing w:after="0" w:line="253" w:lineRule="auto"/>
        <w:rPr>
          <w:sz w:val="20"/>
          <w:szCs w:val="20"/>
          <w:color w:val="auto"/>
        </w:rPr>
      </w:pPr>
      <w:r>
        <w:rPr>
          <w:rFonts w:ascii="Arial" w:cs="Arial" w:eastAsia="Arial" w:hAnsi="Arial"/>
          <w:sz w:val="22"/>
          <w:szCs w:val="22"/>
          <w:color w:val="auto"/>
        </w:rPr>
        <w:t>shall pay or otherwise provide to the Awardholder that portion of the Payment that was reduced pursuant to this Section 9(e) contemporaneously or as soon as administratively possible after the Awardholder pays the Excise Tax so that the Awardholder’s net after-tax proceeds with respect to the Payment are maximized.</w:t>
      </w:r>
    </w:p>
    <w:p>
      <w:pPr>
        <w:spacing w:after="0" w:line="186" w:lineRule="exact"/>
        <w:rPr>
          <w:sz w:val="20"/>
          <w:szCs w:val="20"/>
          <w:color w:val="auto"/>
        </w:rPr>
      </w:pPr>
    </w:p>
    <w:p>
      <w:pPr>
        <w:jc w:val="both"/>
        <w:ind w:firstLine="1305"/>
        <w:spacing w:after="0" w:line="265" w:lineRule="auto"/>
        <w:tabs>
          <w:tab w:leader="none" w:pos="2257" w:val="left"/>
        </w:tabs>
        <w:numPr>
          <w:ilvl w:val="2"/>
          <w:numId w:val="446"/>
        </w:numPr>
        <w:rPr>
          <w:rFonts w:ascii="Arial" w:cs="Arial" w:eastAsia="Arial" w:hAnsi="Arial"/>
          <w:sz w:val="21"/>
          <w:szCs w:val="21"/>
          <w:b w:val="1"/>
          <w:bCs w:val="1"/>
          <w:color w:val="auto"/>
        </w:rPr>
      </w:pPr>
      <w:r>
        <w:rPr>
          <w:rFonts w:ascii="Arial" w:cs="Arial" w:eastAsia="Arial" w:hAnsi="Arial"/>
          <w:sz w:val="21"/>
          <w:szCs w:val="21"/>
          <w:color w:val="auto"/>
        </w:rPr>
        <w:t xml:space="preserve">If the Awardholder either (i) brings any action to enforce rights pursuant to this Section 9(e), or (ii) defends any legal challenge to his or her rights under this Section 9(e), the Awardholder shall be entitled to recover attorneys’ fees and costs incurred in connection with such action, regardless of the outcome of such action;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if such action is commenced by the Awardholder, the court finds that the action was brought in good faith.</w:t>
      </w:r>
    </w:p>
    <w:p>
      <w:pPr>
        <w:spacing w:after="0" w:line="169" w:lineRule="exact"/>
        <w:rPr>
          <w:rFonts w:ascii="Arial" w:cs="Arial" w:eastAsia="Arial" w:hAnsi="Arial"/>
          <w:sz w:val="21"/>
          <w:szCs w:val="21"/>
          <w:b w:val="1"/>
          <w:bCs w:val="1"/>
          <w:color w:val="auto"/>
        </w:rPr>
      </w:pPr>
    </w:p>
    <w:p>
      <w:pPr>
        <w:ind w:left="920" w:hanging="912"/>
        <w:spacing w:after="0"/>
        <w:tabs>
          <w:tab w:leader="none" w:pos="920" w:val="left"/>
        </w:tabs>
        <w:numPr>
          <w:ilvl w:val="0"/>
          <w:numId w:val="447"/>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of the Plan and Stock Awards.</w:t>
      </w:r>
    </w:p>
    <w:p>
      <w:pPr>
        <w:spacing w:after="0" w:line="219" w:lineRule="exact"/>
        <w:rPr>
          <w:rFonts w:ascii="Arial" w:cs="Arial" w:eastAsia="Arial" w:hAnsi="Arial"/>
          <w:sz w:val="22"/>
          <w:szCs w:val="22"/>
          <w:b w:val="1"/>
          <w:bCs w:val="1"/>
          <w:color w:val="auto"/>
        </w:rPr>
      </w:pPr>
    </w:p>
    <w:p>
      <w:pPr>
        <w:jc w:val="both"/>
        <w:ind w:firstLine="656"/>
        <w:spacing w:after="0" w:line="252" w:lineRule="auto"/>
        <w:tabs>
          <w:tab w:leader="none" w:pos="1549" w:val="left"/>
        </w:tabs>
        <w:numPr>
          <w:ilvl w:val="1"/>
          <w:numId w:val="447"/>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of Plan</w:t>
      </w:r>
      <w:r>
        <w:rPr>
          <w:rFonts w:ascii="Arial" w:cs="Arial" w:eastAsia="Arial" w:hAnsi="Arial"/>
          <w:sz w:val="22"/>
          <w:szCs w:val="22"/>
          <w:color w:val="auto"/>
        </w:rPr>
        <w:t>. Subject to the limitations, if any, of applicable law, the Board, at any time and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may amend the Plan. However, except as provided in Section 9(a) relating to Capitalization Adjustments, no amendment shall be effective unless approved by the shareholders of the Company to the extent shareholder approval is necessary to satisfy applicable law.</w:t>
      </w:r>
    </w:p>
    <w:p>
      <w:pPr>
        <w:spacing w:after="0" w:line="180" w:lineRule="exact"/>
        <w:rPr>
          <w:rFonts w:ascii="Arial" w:cs="Arial" w:eastAsia="Arial" w:hAnsi="Arial"/>
          <w:sz w:val="22"/>
          <w:szCs w:val="22"/>
          <w:b w:val="1"/>
          <w:bCs w:val="1"/>
          <w:color w:val="auto"/>
        </w:rPr>
      </w:pPr>
    </w:p>
    <w:p>
      <w:pPr>
        <w:ind w:firstLine="656"/>
        <w:spacing w:after="0" w:line="269" w:lineRule="auto"/>
        <w:tabs>
          <w:tab w:leader="none" w:pos="1561" w:val="left"/>
        </w:tabs>
        <w:numPr>
          <w:ilvl w:val="1"/>
          <w:numId w:val="447"/>
        </w:numPr>
        <w:rPr>
          <w:rFonts w:ascii="Arial" w:cs="Arial" w:eastAsia="Arial" w:hAnsi="Arial"/>
          <w:sz w:val="22"/>
          <w:szCs w:val="22"/>
          <w:b w:val="1"/>
          <w:bCs w:val="1"/>
          <w:color w:val="auto"/>
        </w:rPr>
      </w:pPr>
      <w:r>
        <w:rPr>
          <w:rFonts w:ascii="Arial" w:cs="Arial" w:eastAsia="Arial" w:hAnsi="Arial"/>
          <w:sz w:val="22"/>
          <w:szCs w:val="22"/>
          <w:b w:val="1"/>
          <w:bCs w:val="1"/>
          <w:color w:val="auto"/>
        </w:rPr>
        <w:t>Shareholder Approval</w:t>
      </w:r>
      <w:r>
        <w:rPr>
          <w:rFonts w:ascii="Arial" w:cs="Arial" w:eastAsia="Arial" w:hAnsi="Arial"/>
          <w:sz w:val="22"/>
          <w:szCs w:val="22"/>
          <w:color w:val="auto"/>
        </w:rPr>
        <w:t>. The Board, in its sole discretion, may submit any other amendment to the Plan for</w:t>
      </w:r>
      <w:r>
        <w:rPr>
          <w:rFonts w:ascii="Arial" w:cs="Arial" w:eastAsia="Arial" w:hAnsi="Arial"/>
          <w:sz w:val="22"/>
          <w:szCs w:val="22"/>
          <w:b w:val="1"/>
          <w:bCs w:val="1"/>
          <w:color w:val="auto"/>
        </w:rPr>
        <w:t xml:space="preserve"> </w:t>
      </w:r>
      <w:r>
        <w:rPr>
          <w:rFonts w:ascii="Arial" w:cs="Arial" w:eastAsia="Arial" w:hAnsi="Arial"/>
          <w:sz w:val="22"/>
          <w:szCs w:val="22"/>
          <w:color w:val="auto"/>
        </w:rPr>
        <w:t>shareholder approval.</w:t>
      </w:r>
    </w:p>
    <w:p>
      <w:pPr>
        <w:spacing w:after="0" w:line="162" w:lineRule="exact"/>
        <w:rPr>
          <w:rFonts w:ascii="Arial" w:cs="Arial" w:eastAsia="Arial" w:hAnsi="Arial"/>
          <w:sz w:val="22"/>
          <w:szCs w:val="22"/>
          <w:b w:val="1"/>
          <w:bCs w:val="1"/>
          <w:color w:val="auto"/>
        </w:rPr>
      </w:pPr>
    </w:p>
    <w:p>
      <w:pPr>
        <w:jc w:val="both"/>
        <w:ind w:right="20" w:firstLine="656"/>
        <w:spacing w:after="0" w:line="256" w:lineRule="auto"/>
        <w:tabs>
          <w:tab w:leader="none" w:pos="1536" w:val="left"/>
        </w:tabs>
        <w:numPr>
          <w:ilvl w:val="1"/>
          <w:numId w:val="447"/>
        </w:numPr>
        <w:rPr>
          <w:rFonts w:ascii="Arial" w:cs="Arial" w:eastAsia="Arial" w:hAnsi="Arial"/>
          <w:sz w:val="22"/>
          <w:szCs w:val="22"/>
          <w:b w:val="1"/>
          <w:bCs w:val="1"/>
          <w:color w:val="auto"/>
        </w:rPr>
      </w:pPr>
      <w:r>
        <w:rPr>
          <w:rFonts w:ascii="Arial" w:cs="Arial" w:eastAsia="Arial" w:hAnsi="Arial"/>
          <w:sz w:val="22"/>
          <w:szCs w:val="22"/>
          <w:b w:val="1"/>
          <w:bCs w:val="1"/>
          <w:color w:val="auto"/>
        </w:rPr>
        <w:t>No Impairment of Rights</w:t>
      </w:r>
      <w:r>
        <w:rPr>
          <w:rFonts w:ascii="Arial" w:cs="Arial" w:eastAsia="Arial" w:hAnsi="Arial"/>
          <w:sz w:val="22"/>
          <w:szCs w:val="22"/>
          <w:color w:val="auto"/>
        </w:rPr>
        <w:t>. Rights under any Stock Award granted before amendment of the Plan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impaired by any amendment of the Plan unless (i) the Company requests the consent of the affected Awardholder, and (ii) such Awardholder consents in writing.</w:t>
      </w:r>
    </w:p>
    <w:p>
      <w:pPr>
        <w:spacing w:after="0" w:line="176" w:lineRule="exact"/>
        <w:rPr>
          <w:rFonts w:ascii="Arial" w:cs="Arial" w:eastAsia="Arial" w:hAnsi="Arial"/>
          <w:sz w:val="22"/>
          <w:szCs w:val="22"/>
          <w:b w:val="1"/>
          <w:bCs w:val="1"/>
          <w:color w:val="auto"/>
        </w:rPr>
      </w:pPr>
    </w:p>
    <w:p>
      <w:pPr>
        <w:jc w:val="both"/>
        <w:ind w:firstLine="656"/>
        <w:spacing w:after="0" w:line="315" w:lineRule="auto"/>
        <w:tabs>
          <w:tab w:leader="none" w:pos="1561" w:val="left"/>
        </w:tabs>
        <w:numPr>
          <w:ilvl w:val="1"/>
          <w:numId w:val="447"/>
        </w:numPr>
        <w:rPr>
          <w:rFonts w:ascii="Arial" w:cs="Arial" w:eastAsia="Arial" w:hAnsi="Arial"/>
          <w:sz w:val="19"/>
          <w:szCs w:val="19"/>
          <w:b w:val="1"/>
          <w:bCs w:val="1"/>
          <w:color w:val="auto"/>
        </w:rPr>
      </w:pPr>
      <w:r>
        <w:rPr>
          <w:rFonts w:ascii="Arial" w:cs="Arial" w:eastAsia="Arial" w:hAnsi="Arial"/>
          <w:sz w:val="19"/>
          <w:szCs w:val="19"/>
          <w:b w:val="1"/>
          <w:bCs w:val="1"/>
          <w:color w:val="auto"/>
        </w:rPr>
        <w:t>Amendment of Stock Awards</w:t>
      </w:r>
      <w:r>
        <w:rPr>
          <w:rFonts w:ascii="Arial" w:cs="Arial" w:eastAsia="Arial" w:hAnsi="Arial"/>
          <w:sz w:val="19"/>
          <w:szCs w:val="19"/>
          <w:color w:val="auto"/>
        </w:rPr>
        <w:t>. The Board, at any time and from time to time, may amend the terms of any one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more Stock Awards;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rights under any Stock Award shall not be impaired by any such amendment unless (i) the Company requests the consent of the Awardholder, and (ii) the Awardholder consents in writing.</w:t>
      </w:r>
    </w:p>
    <w:p>
      <w:pPr>
        <w:spacing w:after="0" w:line="125" w:lineRule="exact"/>
        <w:rPr>
          <w:rFonts w:ascii="Arial" w:cs="Arial" w:eastAsia="Arial" w:hAnsi="Arial"/>
          <w:sz w:val="19"/>
          <w:szCs w:val="19"/>
          <w:b w:val="1"/>
          <w:bCs w:val="1"/>
          <w:color w:val="auto"/>
        </w:rPr>
      </w:pPr>
    </w:p>
    <w:p>
      <w:pPr>
        <w:ind w:left="920" w:hanging="912"/>
        <w:spacing w:after="0"/>
        <w:tabs>
          <w:tab w:leader="none" w:pos="920" w:val="left"/>
        </w:tabs>
        <w:numPr>
          <w:ilvl w:val="0"/>
          <w:numId w:val="447"/>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or Suspension of the Plan.</w:t>
      </w:r>
    </w:p>
    <w:p>
      <w:pPr>
        <w:spacing w:after="0" w:line="219" w:lineRule="exact"/>
        <w:rPr>
          <w:rFonts w:ascii="Arial" w:cs="Arial" w:eastAsia="Arial" w:hAnsi="Arial"/>
          <w:sz w:val="22"/>
          <w:szCs w:val="22"/>
          <w:b w:val="1"/>
          <w:bCs w:val="1"/>
          <w:color w:val="auto"/>
        </w:rPr>
      </w:pPr>
    </w:p>
    <w:p>
      <w:pPr>
        <w:ind w:firstLine="656"/>
        <w:spacing w:after="0" w:line="269" w:lineRule="auto"/>
        <w:tabs>
          <w:tab w:leader="none" w:pos="1549" w:val="left"/>
        </w:tabs>
        <w:numPr>
          <w:ilvl w:val="1"/>
          <w:numId w:val="447"/>
        </w:numPr>
        <w:rPr>
          <w:rFonts w:ascii="Arial" w:cs="Arial" w:eastAsia="Arial" w:hAnsi="Arial"/>
          <w:sz w:val="22"/>
          <w:szCs w:val="22"/>
          <w:b w:val="1"/>
          <w:bCs w:val="1"/>
          <w:color w:val="auto"/>
        </w:rPr>
      </w:pPr>
      <w:r>
        <w:rPr>
          <w:rFonts w:ascii="Arial" w:cs="Arial" w:eastAsia="Arial" w:hAnsi="Arial"/>
          <w:sz w:val="22"/>
          <w:szCs w:val="22"/>
          <w:b w:val="1"/>
          <w:bCs w:val="1"/>
          <w:color w:val="auto"/>
        </w:rPr>
        <w:t>Plan Term</w:t>
      </w:r>
      <w:r>
        <w:rPr>
          <w:rFonts w:ascii="Arial" w:cs="Arial" w:eastAsia="Arial" w:hAnsi="Arial"/>
          <w:sz w:val="22"/>
          <w:szCs w:val="22"/>
          <w:color w:val="auto"/>
        </w:rPr>
        <w:t>. The Board may suspend or terminate the Plan at any time. No Stock Awards may be granted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while the Plan is suspended or after it is terminated.</w:t>
      </w:r>
    </w:p>
    <w:p>
      <w:pPr>
        <w:spacing w:after="0" w:line="162" w:lineRule="exact"/>
        <w:rPr>
          <w:rFonts w:ascii="Arial" w:cs="Arial" w:eastAsia="Arial" w:hAnsi="Arial"/>
          <w:sz w:val="22"/>
          <w:szCs w:val="22"/>
          <w:b w:val="1"/>
          <w:bCs w:val="1"/>
          <w:color w:val="auto"/>
        </w:rPr>
      </w:pPr>
    </w:p>
    <w:p>
      <w:pPr>
        <w:ind w:firstLine="656"/>
        <w:spacing w:after="0" w:line="293" w:lineRule="auto"/>
        <w:tabs>
          <w:tab w:leader="none" w:pos="1561" w:val="left"/>
        </w:tabs>
        <w:numPr>
          <w:ilvl w:val="1"/>
          <w:numId w:val="447"/>
        </w:numPr>
        <w:rPr>
          <w:rFonts w:ascii="Arial" w:cs="Arial" w:eastAsia="Arial" w:hAnsi="Arial"/>
          <w:sz w:val="21"/>
          <w:szCs w:val="21"/>
          <w:b w:val="1"/>
          <w:bCs w:val="1"/>
          <w:color w:val="auto"/>
        </w:rPr>
      </w:pPr>
      <w:r>
        <w:rPr>
          <w:rFonts w:ascii="Arial" w:cs="Arial" w:eastAsia="Arial" w:hAnsi="Arial"/>
          <w:sz w:val="21"/>
          <w:szCs w:val="21"/>
          <w:b w:val="1"/>
          <w:bCs w:val="1"/>
          <w:color w:val="auto"/>
        </w:rPr>
        <w:t>No Impairment of Rights</w:t>
      </w:r>
      <w:r>
        <w:rPr>
          <w:rFonts w:ascii="Arial" w:cs="Arial" w:eastAsia="Arial" w:hAnsi="Arial"/>
          <w:sz w:val="21"/>
          <w:szCs w:val="21"/>
          <w:color w:val="auto"/>
        </w:rPr>
        <w:t>. Suspension or termination of the Plan shall not impair rights and obligations under</w:t>
      </w:r>
      <w:r>
        <w:rPr>
          <w:rFonts w:ascii="Arial" w:cs="Arial" w:eastAsia="Arial" w:hAnsi="Arial"/>
          <w:sz w:val="21"/>
          <w:szCs w:val="21"/>
          <w:b w:val="1"/>
          <w:bCs w:val="1"/>
          <w:color w:val="auto"/>
        </w:rPr>
        <w:t xml:space="preserve"> </w:t>
      </w:r>
      <w:r>
        <w:rPr>
          <w:rFonts w:ascii="Arial" w:cs="Arial" w:eastAsia="Arial" w:hAnsi="Arial"/>
          <w:sz w:val="21"/>
          <w:szCs w:val="21"/>
          <w:color w:val="auto"/>
        </w:rPr>
        <w:t>any Stock Award granted while the Plan is in effect except with the written consent of the Awardholder.</w:t>
      </w:r>
    </w:p>
    <w:p>
      <w:pPr>
        <w:spacing w:after="0" w:line="139" w:lineRule="exact"/>
        <w:rPr>
          <w:rFonts w:ascii="Arial" w:cs="Arial" w:eastAsia="Arial" w:hAnsi="Arial"/>
          <w:sz w:val="21"/>
          <w:szCs w:val="21"/>
          <w:b w:val="1"/>
          <w:bCs w:val="1"/>
          <w:color w:val="auto"/>
        </w:rPr>
      </w:pPr>
    </w:p>
    <w:p>
      <w:pPr>
        <w:ind w:left="920" w:hanging="912"/>
        <w:spacing w:after="0"/>
        <w:tabs>
          <w:tab w:leader="none" w:pos="920" w:val="left"/>
        </w:tabs>
        <w:numPr>
          <w:ilvl w:val="0"/>
          <w:numId w:val="447"/>
        </w:numPr>
        <w:rPr>
          <w:rFonts w:ascii="Arial" w:cs="Arial" w:eastAsia="Arial" w:hAnsi="Arial"/>
          <w:sz w:val="22"/>
          <w:szCs w:val="22"/>
          <w:b w:val="1"/>
          <w:bCs w:val="1"/>
          <w:color w:val="auto"/>
        </w:rPr>
      </w:pPr>
      <w:r>
        <w:rPr>
          <w:rFonts w:ascii="Arial" w:cs="Arial" w:eastAsia="Arial" w:hAnsi="Arial"/>
          <w:sz w:val="22"/>
          <w:szCs w:val="22"/>
          <w:b w:val="1"/>
          <w:bCs w:val="1"/>
          <w:color w:val="auto"/>
        </w:rPr>
        <w:t>Effective Date of Plan.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Plan became effective on May 31, 2007.</w:t>
      </w:r>
    </w:p>
    <w:p>
      <w:pPr>
        <w:spacing w:after="0" w:line="200" w:lineRule="exact"/>
        <w:rPr>
          <w:sz w:val="20"/>
          <w:szCs w:val="20"/>
          <w:color w:val="auto"/>
        </w:rPr>
      </w:pPr>
    </w:p>
    <w:p>
      <w:pPr>
        <w:spacing w:after="0" w:line="263"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847" w:right="239" w:bottom="1440" w:gutter="0" w:footer="0" w:header="0"/>
        </w:sectPr>
      </w:pPr>
    </w:p>
    <w:bookmarkStart w:id="445" w:name="page446"/>
    <w:bookmarkEnd w:id="445"/>
    <w:p>
      <w:pPr>
        <w:ind w:left="920" w:hanging="912"/>
        <w:spacing w:after="0"/>
        <w:tabs>
          <w:tab w:leader="none" w:pos="920" w:val="left"/>
        </w:tabs>
        <w:numPr>
          <w:ilvl w:val="0"/>
          <w:numId w:val="448"/>
        </w:numPr>
        <w:rPr>
          <w:rFonts w:ascii="Arial" w:cs="Arial" w:eastAsia="Arial" w:hAnsi="Arial"/>
          <w:sz w:val="22"/>
          <w:szCs w:val="22"/>
          <w:b w:val="1"/>
          <w:bCs w:val="1"/>
          <w:color w:val="auto"/>
        </w:rPr>
      </w:pPr>
      <w:r>
        <w:rPr>
          <w:rFonts w:ascii="Arial" w:cs="Arial" w:eastAsia="Arial" w:hAnsi="Arial"/>
          <w:sz w:val="22"/>
          <w:szCs w:val="22"/>
          <w:b w:val="1"/>
          <w:bCs w:val="1"/>
          <w:color w:val="auto"/>
        </w:rPr>
        <w:t>Choice of Law.</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law of the state of Delaware shall govern all questions concerning the construction, validity and interpretation of this Plan, without regard to that state’s conflict of laws rules.</w:t>
      </w:r>
    </w:p>
    <w:p>
      <w:pPr>
        <w:spacing w:after="0" w:line="169" w:lineRule="exact"/>
        <w:rPr>
          <w:sz w:val="20"/>
          <w:szCs w:val="20"/>
          <w:color w:val="auto"/>
        </w:rPr>
      </w:pPr>
    </w:p>
    <w:p>
      <w:pPr>
        <w:ind w:left="920" w:hanging="912"/>
        <w:spacing w:after="0"/>
        <w:tabs>
          <w:tab w:leader="none" w:pos="920" w:val="left"/>
        </w:tabs>
        <w:numPr>
          <w:ilvl w:val="0"/>
          <w:numId w:val="449"/>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used in the Plan, the following definitions shall apply to the capitalized terms indicated below:</w:t>
      </w:r>
    </w:p>
    <w:p>
      <w:pPr>
        <w:spacing w:after="0" w:line="220" w:lineRule="exact"/>
        <w:rPr>
          <w:sz w:val="20"/>
          <w:szCs w:val="20"/>
          <w:color w:val="auto"/>
        </w:rPr>
      </w:pPr>
    </w:p>
    <w:p>
      <w:pPr>
        <w:ind w:left="1560" w:hanging="904"/>
        <w:spacing w:after="0"/>
        <w:tabs>
          <w:tab w:leader="none" w:pos="1560" w:val="left"/>
        </w:tabs>
        <w:numPr>
          <w:ilvl w:val="0"/>
          <w:numId w:val="45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Accountant</w:t>
      </w:r>
      <w:r>
        <w:rPr>
          <w:rFonts w:ascii="Arial" w:cs="Arial" w:eastAsia="Arial" w:hAnsi="Arial"/>
          <w:sz w:val="22"/>
          <w:szCs w:val="22"/>
          <w:color w:val="auto"/>
        </w:rPr>
        <w:t>” means the independent public accountants of the Company.</w:t>
      </w:r>
    </w:p>
    <w:p>
      <w:pPr>
        <w:spacing w:after="0" w:line="219" w:lineRule="exact"/>
        <w:rPr>
          <w:rFonts w:ascii="Arial" w:cs="Arial" w:eastAsia="Arial" w:hAnsi="Arial"/>
          <w:sz w:val="22"/>
          <w:szCs w:val="22"/>
          <w:b w:val="1"/>
          <w:bCs w:val="1"/>
          <w:color w:val="auto"/>
        </w:rPr>
      </w:pPr>
    </w:p>
    <w:p>
      <w:pPr>
        <w:jc w:val="both"/>
        <w:ind w:firstLine="656"/>
        <w:spacing w:after="0" w:line="253" w:lineRule="auto"/>
        <w:tabs>
          <w:tab w:leader="none" w:pos="1561" w:val="left"/>
        </w:tabs>
        <w:numPr>
          <w:ilvl w:val="0"/>
          <w:numId w:val="45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means, at the time of determination, any “parent” or “subsidiary” of the Company as such terms are defined in Rule 405 of the Securities Act. The Board shall have the authority to determine the time or times at which “parent” or “subsidiary” status is determined within the foregoing definition.</w:t>
      </w:r>
    </w:p>
    <w:p>
      <w:pPr>
        <w:spacing w:after="0" w:line="185" w:lineRule="exact"/>
        <w:rPr>
          <w:rFonts w:ascii="Arial" w:cs="Arial" w:eastAsia="Arial" w:hAnsi="Arial"/>
          <w:sz w:val="22"/>
          <w:szCs w:val="22"/>
          <w:b w:val="1"/>
          <w:bCs w:val="1"/>
          <w:color w:val="auto"/>
        </w:rPr>
      </w:pPr>
    </w:p>
    <w:p>
      <w:pPr>
        <w:ind w:firstLine="656"/>
        <w:spacing w:after="0" w:line="343" w:lineRule="auto"/>
        <w:tabs>
          <w:tab w:leader="none" w:pos="1536" w:val="left"/>
        </w:tabs>
        <w:numPr>
          <w:ilvl w:val="0"/>
          <w:numId w:val="450"/>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Award Agreement</w:t>
      </w:r>
      <w:r>
        <w:rPr>
          <w:rFonts w:ascii="Arial" w:cs="Arial" w:eastAsia="Arial" w:hAnsi="Arial"/>
          <w:sz w:val="19"/>
          <w:szCs w:val="19"/>
          <w:color w:val="auto"/>
        </w:rPr>
        <w:t>” means a written agreement between the Company and a Non-Employee Director evidencing the terms and conditions of a Stock Award grant. Each Award Agreement shall be subject to the terms and conditions of the Plan.</w:t>
      </w:r>
    </w:p>
    <w:p>
      <w:pPr>
        <w:spacing w:after="0" w:line="104" w:lineRule="exact"/>
        <w:rPr>
          <w:rFonts w:ascii="Arial" w:cs="Arial" w:eastAsia="Arial" w:hAnsi="Arial"/>
          <w:sz w:val="19"/>
          <w:szCs w:val="19"/>
          <w:b w:val="1"/>
          <w:bCs w:val="1"/>
          <w:color w:val="auto"/>
        </w:rPr>
      </w:pPr>
    </w:p>
    <w:p>
      <w:pPr>
        <w:ind w:left="1560" w:hanging="904"/>
        <w:spacing w:after="0"/>
        <w:tabs>
          <w:tab w:leader="none" w:pos="1560" w:val="left"/>
        </w:tabs>
        <w:numPr>
          <w:ilvl w:val="0"/>
          <w:numId w:val="45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19" w:lineRule="exact"/>
        <w:rPr>
          <w:rFonts w:ascii="Arial" w:cs="Arial" w:eastAsia="Arial" w:hAnsi="Arial"/>
          <w:sz w:val="22"/>
          <w:szCs w:val="22"/>
          <w:b w:val="1"/>
          <w:bCs w:val="1"/>
          <w:color w:val="auto"/>
        </w:rPr>
      </w:pPr>
    </w:p>
    <w:p>
      <w:pPr>
        <w:jc w:val="both"/>
        <w:ind w:firstLine="656"/>
        <w:spacing w:after="0" w:line="259" w:lineRule="auto"/>
        <w:tabs>
          <w:tab w:leader="none" w:pos="1536" w:val="left"/>
        </w:tabs>
        <w:numPr>
          <w:ilvl w:val="0"/>
          <w:numId w:val="450"/>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Capitalization Adjustment</w:t>
      </w:r>
      <w:r>
        <w:rPr>
          <w:rFonts w:ascii="Arial" w:cs="Arial" w:eastAsia="Arial" w:hAnsi="Arial"/>
          <w:sz w:val="21"/>
          <w:szCs w:val="21"/>
          <w:color w:val="auto"/>
        </w:rPr>
        <w:t>” means any change that is made in, or other events that occur with respect to, the Ordinary Shares subject to the Plan or subject to any Stock Award after the Effective Date without the receipt of consideration by the Company through merger, consolidation, reorganization, recapitalization, reincorporation, share dividend, dividend in property other than cash, large nonrecurring cash dividend, share split, liquidating dividend, combination of shares, exchange of shares, change in corporate structure or any similar equity restructuring transaction, as that term is used in Financial Accounting Standards Board Accounting Standards Codification Topic 718 (or any successor thereto), including, for the avoidance of doubt, capitalization of profits or reserves, capital distribution, rights issue, the conversion of one class of share to another or reduction of capital or otherwise. Notwithstanding the foregoing, the conversion of any convertible securities of the Company shall not be treated as a Capitalization Adjustment.</w:t>
      </w:r>
    </w:p>
    <w:p>
      <w:pPr>
        <w:spacing w:after="0" w:line="180" w:lineRule="exact"/>
        <w:rPr>
          <w:rFonts w:ascii="Arial" w:cs="Arial" w:eastAsia="Arial" w:hAnsi="Arial"/>
          <w:sz w:val="21"/>
          <w:szCs w:val="21"/>
          <w:b w:val="1"/>
          <w:bCs w:val="1"/>
          <w:color w:val="auto"/>
        </w:rPr>
      </w:pPr>
    </w:p>
    <w:p>
      <w:pPr>
        <w:ind w:firstLine="656"/>
        <w:spacing w:after="0" w:line="263" w:lineRule="auto"/>
        <w:tabs>
          <w:tab w:leader="none" w:pos="1512" w:val="left"/>
        </w:tabs>
        <w:numPr>
          <w:ilvl w:val="0"/>
          <w:numId w:val="45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 the occurrence, in a single transaction or in a series of related transactions, of any one or more of the following events:</w:t>
      </w:r>
    </w:p>
    <w:p>
      <w:pPr>
        <w:spacing w:after="0" w:line="174" w:lineRule="exact"/>
        <w:rPr>
          <w:rFonts w:ascii="Arial" w:cs="Arial" w:eastAsia="Arial" w:hAnsi="Arial"/>
          <w:sz w:val="22"/>
          <w:szCs w:val="22"/>
          <w:b w:val="1"/>
          <w:bCs w:val="1"/>
          <w:color w:val="auto"/>
        </w:rPr>
      </w:pPr>
    </w:p>
    <w:p>
      <w:pPr>
        <w:jc w:val="both"/>
        <w:ind w:firstLine="1305"/>
        <w:spacing w:after="0" w:line="260" w:lineRule="auto"/>
        <w:tabs>
          <w:tab w:leader="none" w:pos="2149" w:val="left"/>
        </w:tabs>
        <w:numPr>
          <w:ilvl w:val="1"/>
          <w:numId w:val="450"/>
        </w:numPr>
        <w:rPr>
          <w:rFonts w:ascii="Arial" w:cs="Arial" w:eastAsia="Arial" w:hAnsi="Arial"/>
          <w:sz w:val="21"/>
          <w:szCs w:val="21"/>
          <w:b w:val="1"/>
          <w:bCs w:val="1"/>
          <w:color w:val="auto"/>
        </w:rPr>
      </w:pPr>
      <w:r>
        <w:rPr>
          <w:rFonts w:ascii="Arial" w:cs="Arial" w:eastAsia="Arial" w:hAnsi="Arial"/>
          <w:sz w:val="21"/>
          <w:szCs w:val="21"/>
          <w:color w:val="auto"/>
        </w:rPr>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by an investor, any affiliate thereof or any other Exchange Act Person from the Company in a transaction or series of related transactions the primary purpose of which is to obtain financing for the Company through the issuance of equity securities or (B) solely because the level of Ownership held by any Exchange Act Person (the “</w:t>
      </w:r>
      <w:r>
        <w:rPr>
          <w:rFonts w:ascii="Arial" w:cs="Arial" w:eastAsia="Arial" w:hAnsi="Arial"/>
          <w:sz w:val="21"/>
          <w:szCs w:val="21"/>
          <w:b w:val="1"/>
          <w:bCs w:val="1"/>
          <w:i w:val="1"/>
          <w:iCs w:val="1"/>
          <w:color w:val="auto"/>
        </w:rPr>
        <w:t>Subject Person</w:t>
      </w:r>
      <w:r>
        <w:rPr>
          <w:rFonts w:ascii="Arial" w:cs="Arial" w:eastAsia="Arial" w:hAnsi="Arial"/>
          <w:sz w:val="21"/>
          <w:szCs w:val="21"/>
          <w:color w:val="auto"/>
        </w:rPr>
        <w:t>”) exceeds the designated</w:t>
      </w:r>
    </w:p>
    <w:p>
      <w:pPr>
        <w:spacing w:after="0" w:line="200" w:lineRule="exact"/>
        <w:rPr>
          <w:sz w:val="20"/>
          <w:szCs w:val="20"/>
          <w:color w:val="auto"/>
        </w:rPr>
      </w:pPr>
    </w:p>
    <w:p>
      <w:pPr>
        <w:spacing w:after="0" w:line="22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41" w:right="239" w:bottom="1440" w:gutter="0" w:footer="0" w:header="0"/>
        </w:sectPr>
      </w:pPr>
    </w:p>
    <w:bookmarkStart w:id="446" w:name="page447"/>
    <w:bookmarkEnd w:id="446"/>
    <w:p>
      <w:pPr>
        <w:jc w:val="both"/>
        <w:spacing w:after="0" w:line="294" w:lineRule="auto"/>
        <w:rPr>
          <w:sz w:val="20"/>
          <w:szCs w:val="20"/>
          <w:color w:val="auto"/>
        </w:rPr>
      </w:pPr>
      <w:r>
        <w:rPr>
          <w:rFonts w:ascii="Arial" w:cs="Arial" w:eastAsia="Arial" w:hAnsi="Arial"/>
          <w:sz w:val="19"/>
          <w:szCs w:val="19"/>
          <w:color w:val="auto"/>
        </w:rPr>
        <w:t>percentage threshold of the outstanding voting securities as a result of a repurchase or other acquisition of voting securities by the Company or any Affiliate reducing the number of shares outstanding, provided that if a Change in Control would occur (but for the operation of this sentence) as a result of the acquisition of voting securities by the Company or any Affiliate,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50" w:lineRule="exact"/>
        <w:rPr>
          <w:sz w:val="20"/>
          <w:szCs w:val="20"/>
          <w:color w:val="auto"/>
        </w:rPr>
      </w:pPr>
    </w:p>
    <w:p>
      <w:pPr>
        <w:jc w:val="both"/>
        <w:ind w:firstLine="1305"/>
        <w:spacing w:after="0" w:line="292" w:lineRule="auto"/>
        <w:tabs>
          <w:tab w:leader="none" w:pos="2209" w:val="left"/>
        </w:tabs>
        <w:numPr>
          <w:ilvl w:val="0"/>
          <w:numId w:val="451"/>
        </w:numPr>
        <w:rPr>
          <w:rFonts w:ascii="Arial" w:cs="Arial" w:eastAsia="Arial" w:hAnsi="Arial"/>
          <w:sz w:val="19"/>
          <w:szCs w:val="19"/>
          <w:b w:val="1"/>
          <w:bCs w:val="1"/>
          <w:color w:val="auto"/>
        </w:rPr>
      </w:pPr>
      <w:r>
        <w:rPr>
          <w:rFonts w:ascii="Arial" w:cs="Arial" w:eastAsia="Arial" w:hAnsi="Arial"/>
          <w:sz w:val="19"/>
          <w:szCs w:val="19"/>
          <w:color w:val="auto"/>
        </w:rPr>
        <w:t>there is consummated a merger, consolidation or similar transaction involving (directly or indirectly) the Company and, immediately after the consummation of such merger, consolidation or similar transaction, the shareholders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51" w:lineRule="exact"/>
        <w:rPr>
          <w:rFonts w:ascii="Arial" w:cs="Arial" w:eastAsia="Arial" w:hAnsi="Arial"/>
          <w:sz w:val="19"/>
          <w:szCs w:val="19"/>
          <w:b w:val="1"/>
          <w:bCs w:val="1"/>
          <w:color w:val="auto"/>
        </w:rPr>
      </w:pPr>
    </w:p>
    <w:p>
      <w:pPr>
        <w:jc w:val="both"/>
        <w:ind w:firstLine="1305"/>
        <w:spacing w:after="0" w:line="253" w:lineRule="auto"/>
        <w:tabs>
          <w:tab w:leader="none" w:pos="2269" w:val="left"/>
        </w:tabs>
        <w:numPr>
          <w:ilvl w:val="0"/>
          <w:numId w:val="451"/>
        </w:numPr>
        <w:rPr>
          <w:rFonts w:ascii="Arial" w:cs="Arial" w:eastAsia="Arial" w:hAnsi="Arial"/>
          <w:sz w:val="22"/>
          <w:szCs w:val="22"/>
          <w:b w:val="1"/>
          <w:bCs w:val="1"/>
          <w:color w:val="auto"/>
        </w:rPr>
      </w:pPr>
      <w:r>
        <w:rPr>
          <w:rFonts w:ascii="Arial" w:cs="Arial" w:eastAsia="Arial" w:hAnsi="Arial"/>
          <w:sz w:val="22"/>
          <w:szCs w:val="22"/>
          <w:color w:val="auto"/>
        </w:rPr>
        <w:t>the shareholders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85" w:lineRule="exact"/>
        <w:rPr>
          <w:rFonts w:ascii="Arial" w:cs="Arial" w:eastAsia="Arial" w:hAnsi="Arial"/>
          <w:sz w:val="22"/>
          <w:szCs w:val="22"/>
          <w:b w:val="1"/>
          <w:bCs w:val="1"/>
          <w:color w:val="auto"/>
        </w:rPr>
      </w:pPr>
    </w:p>
    <w:p>
      <w:pPr>
        <w:jc w:val="both"/>
        <w:ind w:firstLine="1305"/>
        <w:spacing w:after="0" w:line="247" w:lineRule="auto"/>
        <w:tabs>
          <w:tab w:leader="none" w:pos="2257" w:val="left"/>
        </w:tabs>
        <w:numPr>
          <w:ilvl w:val="0"/>
          <w:numId w:val="451"/>
        </w:numPr>
        <w:rPr>
          <w:rFonts w:ascii="Arial" w:cs="Arial" w:eastAsia="Arial" w:hAnsi="Arial"/>
          <w:sz w:val="22"/>
          <w:szCs w:val="22"/>
          <w:b w:val="1"/>
          <w:bCs w:val="1"/>
          <w:color w:val="auto"/>
        </w:rPr>
      </w:pPr>
      <w:r>
        <w:rPr>
          <w:rFonts w:ascii="Arial" w:cs="Arial" w:eastAsia="Arial" w:hAnsi="Arial"/>
          <w:sz w:val="22"/>
          <w:szCs w:val="22"/>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 outstanding voting securities of the Company immediately prior to such sale, lease, license or other disposition; or</w:t>
      </w:r>
    </w:p>
    <w:p>
      <w:pPr>
        <w:spacing w:after="0" w:line="193" w:lineRule="exact"/>
        <w:rPr>
          <w:rFonts w:ascii="Arial" w:cs="Arial" w:eastAsia="Arial" w:hAnsi="Arial"/>
          <w:sz w:val="22"/>
          <w:szCs w:val="22"/>
          <w:b w:val="1"/>
          <w:bCs w:val="1"/>
          <w:color w:val="auto"/>
        </w:rPr>
      </w:pPr>
    </w:p>
    <w:p>
      <w:pPr>
        <w:jc w:val="both"/>
        <w:ind w:firstLine="1305"/>
        <w:spacing w:after="0" w:line="248" w:lineRule="auto"/>
        <w:tabs>
          <w:tab w:leader="none" w:pos="2197" w:val="left"/>
        </w:tabs>
        <w:numPr>
          <w:ilvl w:val="0"/>
          <w:numId w:val="451"/>
        </w:numPr>
        <w:rPr>
          <w:rFonts w:ascii="Arial" w:cs="Arial" w:eastAsia="Arial" w:hAnsi="Arial"/>
          <w:sz w:val="22"/>
          <w:szCs w:val="22"/>
          <w:b w:val="1"/>
          <w:bCs w:val="1"/>
          <w:color w:val="auto"/>
        </w:rPr>
      </w:pPr>
      <w:r>
        <w:rPr>
          <w:rFonts w:ascii="Arial" w:cs="Arial" w:eastAsia="Arial" w:hAnsi="Arial"/>
          <w:sz w:val="22"/>
          <w:szCs w:val="22"/>
          <w:color w:val="auto"/>
        </w:rPr>
        <w:t>individuals who, on the date the Plan is adopted by the Board, are members of the Board (the “</w:t>
      </w:r>
      <w:r>
        <w:rPr>
          <w:rFonts w:ascii="Arial" w:cs="Arial" w:eastAsia="Arial" w:hAnsi="Arial"/>
          <w:sz w:val="22"/>
          <w:szCs w:val="22"/>
          <w:b w:val="1"/>
          <w:bCs w:val="1"/>
          <w:i w:val="1"/>
          <w:iCs w:val="1"/>
          <w:color w:val="auto"/>
        </w:rPr>
        <w:t>Incumbent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cease for any reason to constitute at least a majority of the members of the Board;</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provided, however,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that if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appointment or election (or nomination for election) of any new Board member was approved or recommended by a majority vote of the members of the Incumbent Board then still in office, such new member shall, for purposes of the Plan, be considered as a member of the Incumbent Board.</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the avoidance of doubt, any one or more of the above events may be effected pursuant to (A) a compromise or arrangement sanctioned by the court under section 201 of the Companies Act 1963 of the Republic of Ireland or (B) section 204 of the Companies Act 1963 of the Republic of Ireland.</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the foregoing or any other provision of this Plan, the term Change in Control shall not include (1) a sale of assets, merger or other transaction effected exclusively for the purpose of changing the domicile of the Company or (2) unless the Board determines</w:t>
      </w:r>
    </w:p>
    <w:p>
      <w:pPr>
        <w:spacing w:after="0" w:line="200" w:lineRule="exact"/>
        <w:rPr>
          <w:sz w:val="20"/>
          <w:szCs w:val="20"/>
          <w:color w:val="auto"/>
        </w:rPr>
      </w:pPr>
    </w:p>
    <w:p>
      <w:pPr>
        <w:spacing w:after="0" w:line="229"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848" w:right="239" w:bottom="1440" w:gutter="0" w:footer="0" w:header="0"/>
        </w:sectPr>
      </w:pPr>
    </w:p>
    <w:bookmarkStart w:id="447" w:name="page448"/>
    <w:bookmarkEnd w:id="447"/>
    <w:p>
      <w:pPr>
        <w:jc w:val="both"/>
        <w:spacing w:after="0" w:line="259" w:lineRule="auto"/>
        <w:rPr>
          <w:sz w:val="20"/>
          <w:szCs w:val="20"/>
          <w:color w:val="auto"/>
        </w:rPr>
      </w:pPr>
      <w:r>
        <w:rPr>
          <w:rFonts w:ascii="Arial" w:cs="Arial" w:eastAsia="Arial" w:hAnsi="Arial"/>
          <w:sz w:val="21"/>
          <w:szCs w:val="21"/>
          <w:color w:val="auto"/>
        </w:rPr>
        <w:t>otherwise, the creation of a new holding company where the Company becomes a wholly-owned subsidiary of that holding company and the holding company will be owned in substantially the same proportions by the persons who held the Company’s issued shares immediately before such transaction, in which case Stock Awards granted hereunder will be treated as if they were in all respects awards over shares in the holding company but so that (i) the new award shall vest in the same manner as the Stock Award, (ii) the total market value of the new shares subject to the new award shall, immediately after such reorganization, be equal to the total market value of the Ordinary Shares comprised in the Stock Award immediately prior to such reorganization, (iii) the new shares shall have the same rights attaching thereto as the Ordinary Shares, and (iv) the new award shall be deemed to have been granted as at the date of grant of the Stock Award.</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Notwithstanding the foregoing or any other provision of the Plan, the definition of Change in Control (or any analogous term) in an individual written agreement between the Company or any Affiliate and the Awardholder shall supersede the foregoing definition with respect to Stock Awards subject to such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no definition of Change in Control or any analogous term is set forth in such an individual written agreement, the foregoing definition shall apply.</w:t>
      </w:r>
    </w:p>
    <w:p>
      <w:pPr>
        <w:spacing w:after="0" w:line="143"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Board may, in its sole discretion and without an Awardholder’s consent, amend the definition of “Change in Control” to conform to the definition of “Change in Control” under Section 409A of the Code, and the regulations thereunder.</w:t>
      </w:r>
    </w:p>
    <w:p>
      <w:pPr>
        <w:spacing w:after="0" w:line="105" w:lineRule="exact"/>
        <w:rPr>
          <w:sz w:val="20"/>
          <w:szCs w:val="20"/>
          <w:color w:val="auto"/>
        </w:rPr>
      </w:pPr>
    </w:p>
    <w:p>
      <w:pPr>
        <w:ind w:left="1560" w:hanging="904"/>
        <w:spacing w:after="0"/>
        <w:tabs>
          <w:tab w:leader="none" w:pos="1560" w:val="left"/>
        </w:tabs>
        <w:numPr>
          <w:ilvl w:val="0"/>
          <w:numId w:val="45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w:t>
      </w:r>
    </w:p>
    <w:p>
      <w:pPr>
        <w:spacing w:after="0" w:line="219" w:lineRule="exact"/>
        <w:rPr>
          <w:rFonts w:ascii="Arial" w:cs="Arial" w:eastAsia="Arial" w:hAnsi="Arial"/>
          <w:sz w:val="22"/>
          <w:szCs w:val="22"/>
          <w:b w:val="1"/>
          <w:bCs w:val="1"/>
          <w:color w:val="auto"/>
        </w:rPr>
      </w:pPr>
    </w:p>
    <w:p>
      <w:pPr>
        <w:ind w:left="1560" w:hanging="904"/>
        <w:spacing w:after="0"/>
        <w:tabs>
          <w:tab w:leader="none" w:pos="1560" w:val="left"/>
        </w:tabs>
        <w:numPr>
          <w:ilvl w:val="0"/>
          <w:numId w:val="45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Jazz Pharmaceuticals plc, a company formed under the laws of Ireland.</w:t>
      </w:r>
    </w:p>
    <w:p>
      <w:pPr>
        <w:spacing w:after="0" w:line="219" w:lineRule="exact"/>
        <w:rPr>
          <w:rFonts w:ascii="Arial" w:cs="Arial" w:eastAsia="Arial" w:hAnsi="Arial"/>
          <w:sz w:val="22"/>
          <w:szCs w:val="22"/>
          <w:b w:val="1"/>
          <w:bCs w:val="1"/>
          <w:color w:val="auto"/>
        </w:rPr>
      </w:pPr>
    </w:p>
    <w:p>
      <w:pPr>
        <w:jc w:val="both"/>
        <w:ind w:firstLine="656"/>
        <w:spacing w:after="0" w:line="265" w:lineRule="auto"/>
        <w:tabs>
          <w:tab w:leader="none" w:pos="1500" w:val="left"/>
        </w:tabs>
        <w:numPr>
          <w:ilvl w:val="0"/>
          <w:numId w:val="452"/>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Consultant</w:t>
      </w:r>
      <w:r>
        <w:rPr>
          <w:rFonts w:ascii="Arial" w:cs="Arial" w:eastAsia="Arial" w:hAnsi="Arial"/>
          <w:sz w:val="21"/>
          <w:szCs w:val="21"/>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w:t>
      </w:r>
    </w:p>
    <w:p>
      <w:pPr>
        <w:spacing w:after="0" w:line="175" w:lineRule="exact"/>
        <w:rPr>
          <w:rFonts w:ascii="Arial" w:cs="Arial" w:eastAsia="Arial" w:hAnsi="Arial"/>
          <w:sz w:val="21"/>
          <w:szCs w:val="21"/>
          <w:b w:val="1"/>
          <w:bCs w:val="1"/>
          <w:color w:val="auto"/>
        </w:rPr>
      </w:pPr>
    </w:p>
    <w:p>
      <w:pPr>
        <w:jc w:val="both"/>
        <w:ind w:firstLine="656"/>
        <w:spacing w:after="0" w:line="258" w:lineRule="auto"/>
        <w:tabs>
          <w:tab w:leader="none" w:pos="1512" w:val="left"/>
        </w:tabs>
        <w:numPr>
          <w:ilvl w:val="0"/>
          <w:numId w:val="452"/>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Continuous Service</w:t>
      </w:r>
      <w:r>
        <w:rPr>
          <w:rFonts w:ascii="Arial" w:cs="Arial" w:eastAsia="Arial" w:hAnsi="Arial"/>
          <w:sz w:val="21"/>
          <w:szCs w:val="21"/>
          <w:color w:val="auto"/>
        </w:rPr>
        <w:t xml:space="preserve">” means that the Awardholder’s service with the Company or an Affiliate, whether as an Employee, Director or Consultant, is not interrupted or terminated. A change in the capacity in which the Awardholder renders service to the Company or an Affiliate as an Employee, Consultant or Director or a change in the entity for which the Awardholder renders such service, provided that there is no interruption or termination of the Awardholder’s service with the Company or an Affiliate, shall not terminate an Awardholder’s Continuous Service; </w:t>
      </w:r>
      <w:r>
        <w:rPr>
          <w:rFonts w:ascii="Arial" w:cs="Arial" w:eastAsia="Arial" w:hAnsi="Arial"/>
          <w:sz w:val="21"/>
          <w:szCs w:val="21"/>
          <w:i w:val="1"/>
          <w:iCs w:val="1"/>
          <w:color w:val="auto"/>
        </w:rPr>
        <w:t>provided, however</w:t>
      </w:r>
      <w:r>
        <w:rPr>
          <w:rFonts w:ascii="Arial" w:cs="Arial" w:eastAsia="Arial" w:hAnsi="Arial"/>
          <w:sz w:val="21"/>
          <w:szCs w:val="21"/>
          <w:color w:val="auto"/>
        </w:rPr>
        <w:t>, if the corporation for which an Awardholder is rendering service ceases to qualify as an Affiliate, as determined by the Board in its sole discretion, such Awardholder’s Continuous Service shall be considered to have terminated on the date such corporation ceases to qualify as an Affiliate. For example, a change in status from a Non-Employee Director of the Company to a Consultant of an Affiliate or an Employee of the Company will not constitute an interruption of Continuous Service. To the extent permitted by law, the Board or the chief executive officer of the Company, in that party’s sole discretion, may determine whether Continuous Service shall be considered interrupted in the case of any leave of</w:t>
      </w:r>
    </w:p>
    <w:p>
      <w:pPr>
        <w:spacing w:after="0" w:line="200" w:lineRule="exact"/>
        <w:rPr>
          <w:sz w:val="20"/>
          <w:szCs w:val="20"/>
          <w:color w:val="auto"/>
        </w:rPr>
      </w:pPr>
    </w:p>
    <w:p>
      <w:pPr>
        <w:spacing w:after="0" w:line="22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847" w:right="239" w:bottom="1440" w:gutter="0" w:footer="0" w:header="0"/>
        </w:sectPr>
      </w:pPr>
    </w:p>
    <w:bookmarkStart w:id="448" w:name="page449"/>
    <w:bookmarkEnd w:id="448"/>
    <w:p>
      <w:pPr>
        <w:jc w:val="both"/>
        <w:ind w:right="20"/>
        <w:spacing w:after="0" w:line="312" w:lineRule="auto"/>
        <w:rPr>
          <w:sz w:val="20"/>
          <w:szCs w:val="20"/>
          <w:color w:val="auto"/>
        </w:rPr>
      </w:pPr>
      <w:r>
        <w:rPr>
          <w:rFonts w:ascii="Arial" w:cs="Arial" w:eastAsia="Arial" w:hAnsi="Arial"/>
          <w:sz w:val="19"/>
          <w:szCs w:val="19"/>
          <w:color w:val="auto"/>
        </w:rPr>
        <w:t>absence approved by that party, including sick leave, military leave or any other personal leave. Notwithstanding the foregoing, a leave of absence shall be treated as Continuous Service for purposes of vesting in a Stock Award only to such extent as may be provided in the Company’s leave of absence policy or in the written terms of the Awardholder’s leave of absence.</w:t>
      </w:r>
    </w:p>
    <w:p>
      <w:pPr>
        <w:spacing w:after="0" w:line="134" w:lineRule="exact"/>
        <w:rPr>
          <w:sz w:val="20"/>
          <w:szCs w:val="20"/>
          <w:color w:val="auto"/>
        </w:rPr>
      </w:pPr>
    </w:p>
    <w:p>
      <w:pPr>
        <w:ind w:firstLine="656"/>
        <w:spacing w:after="0" w:line="263" w:lineRule="auto"/>
        <w:tabs>
          <w:tab w:leader="none" w:pos="1561" w:val="left"/>
        </w:tabs>
        <w:numPr>
          <w:ilvl w:val="0"/>
          <w:numId w:val="4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Corporate Transaction</w:t>
      </w:r>
      <w:r>
        <w:rPr>
          <w:rFonts w:ascii="Arial" w:cs="Arial" w:eastAsia="Arial" w:hAnsi="Arial"/>
          <w:sz w:val="22"/>
          <w:szCs w:val="22"/>
          <w:color w:val="auto"/>
        </w:rPr>
        <w:t>” means the consummation, in a single transaction or in a series of related transactions, of any one or more of the following events:</w:t>
      </w:r>
    </w:p>
    <w:p>
      <w:pPr>
        <w:spacing w:after="0" w:line="174" w:lineRule="exact"/>
        <w:rPr>
          <w:rFonts w:ascii="Arial" w:cs="Arial" w:eastAsia="Arial" w:hAnsi="Arial"/>
          <w:sz w:val="22"/>
          <w:szCs w:val="22"/>
          <w:b w:val="1"/>
          <w:bCs w:val="1"/>
          <w:color w:val="auto"/>
        </w:rPr>
      </w:pPr>
    </w:p>
    <w:p>
      <w:pPr>
        <w:ind w:firstLine="1305"/>
        <w:spacing w:after="0" w:line="263" w:lineRule="auto"/>
        <w:tabs>
          <w:tab w:leader="none" w:pos="2149" w:val="left"/>
        </w:tabs>
        <w:numPr>
          <w:ilvl w:val="1"/>
          <w:numId w:val="453"/>
        </w:numPr>
        <w:rPr>
          <w:rFonts w:ascii="Arial" w:cs="Arial" w:eastAsia="Arial" w:hAnsi="Arial"/>
          <w:sz w:val="22"/>
          <w:szCs w:val="22"/>
          <w:b w:val="1"/>
          <w:bCs w:val="1"/>
          <w:color w:val="auto"/>
        </w:rPr>
      </w:pPr>
      <w:r>
        <w:rPr>
          <w:rFonts w:ascii="Arial" w:cs="Arial" w:eastAsia="Arial" w:hAnsi="Arial"/>
          <w:sz w:val="22"/>
          <w:szCs w:val="22"/>
          <w:color w:val="auto"/>
        </w:rPr>
        <w:t>a sale or other disposition of all or substantially all, as determined by the Board in its sole discretion, of the consolidated assets of the Company and its Subsidiaries;</w:t>
      </w:r>
    </w:p>
    <w:p>
      <w:pPr>
        <w:spacing w:after="0" w:line="168" w:lineRule="exact"/>
        <w:rPr>
          <w:rFonts w:ascii="Arial" w:cs="Arial" w:eastAsia="Arial" w:hAnsi="Arial"/>
          <w:sz w:val="22"/>
          <w:szCs w:val="22"/>
          <w:b w:val="1"/>
          <w:bCs w:val="1"/>
          <w:color w:val="auto"/>
        </w:rPr>
      </w:pPr>
    </w:p>
    <w:p>
      <w:pPr>
        <w:ind w:left="2220" w:hanging="915"/>
        <w:spacing w:after="0"/>
        <w:tabs>
          <w:tab w:leader="none" w:pos="2220" w:val="left"/>
        </w:tabs>
        <w:numPr>
          <w:ilvl w:val="1"/>
          <w:numId w:val="453"/>
        </w:numPr>
        <w:rPr>
          <w:rFonts w:ascii="Arial" w:cs="Arial" w:eastAsia="Arial" w:hAnsi="Arial"/>
          <w:sz w:val="19"/>
          <w:szCs w:val="19"/>
          <w:b w:val="1"/>
          <w:bCs w:val="1"/>
          <w:color w:val="auto"/>
        </w:rPr>
      </w:pPr>
      <w:r>
        <w:rPr>
          <w:rFonts w:ascii="Arial" w:cs="Arial" w:eastAsia="Arial" w:hAnsi="Arial"/>
          <w:sz w:val="19"/>
          <w:szCs w:val="19"/>
          <w:color w:val="auto"/>
        </w:rPr>
        <w:t>a sale or other disposition of at least ninety percent (90%</w:t>
      </w:r>
      <w:r>
        <w:rPr>
          <w:rFonts w:ascii="Arial" w:cs="Arial" w:eastAsia="Arial" w:hAnsi="Arial"/>
          <w:sz w:val="19"/>
          <w:szCs w:val="19"/>
          <w:b w:val="1"/>
          <w:bCs w:val="1"/>
          <w:color w:val="auto"/>
        </w:rPr>
        <w:t>)</w:t>
      </w:r>
      <w:r>
        <w:rPr>
          <w:rFonts w:ascii="Arial" w:cs="Arial" w:eastAsia="Arial" w:hAnsi="Arial"/>
          <w:sz w:val="19"/>
          <w:szCs w:val="19"/>
          <w:color w:val="auto"/>
        </w:rPr>
        <w:t xml:space="preserve"> of the outstanding securities of the Company;</w:t>
      </w:r>
    </w:p>
    <w:p>
      <w:pPr>
        <w:spacing w:after="0" w:line="260" w:lineRule="exact"/>
        <w:rPr>
          <w:rFonts w:ascii="Arial" w:cs="Arial" w:eastAsia="Arial" w:hAnsi="Arial"/>
          <w:sz w:val="19"/>
          <w:szCs w:val="19"/>
          <w:b w:val="1"/>
          <w:bCs w:val="1"/>
          <w:color w:val="auto"/>
        </w:rPr>
      </w:pPr>
    </w:p>
    <w:p>
      <w:pPr>
        <w:ind w:left="2280" w:hanging="975"/>
        <w:spacing w:after="0"/>
        <w:tabs>
          <w:tab w:leader="none" w:pos="2280" w:val="left"/>
        </w:tabs>
        <w:numPr>
          <w:ilvl w:val="1"/>
          <w:numId w:val="453"/>
        </w:numPr>
        <w:rPr>
          <w:rFonts w:ascii="Arial" w:cs="Arial" w:eastAsia="Arial" w:hAnsi="Arial"/>
          <w:sz w:val="21"/>
          <w:szCs w:val="21"/>
          <w:b w:val="1"/>
          <w:bCs w:val="1"/>
          <w:color w:val="auto"/>
        </w:rPr>
      </w:pPr>
      <w:r>
        <w:rPr>
          <w:rFonts w:ascii="Arial" w:cs="Arial" w:eastAsia="Arial" w:hAnsi="Arial"/>
          <w:sz w:val="21"/>
          <w:szCs w:val="21"/>
          <w:color w:val="auto"/>
        </w:rPr>
        <w:t>a merger, consolidation or similar transaction following which the Company is not the surviving</w:t>
      </w:r>
    </w:p>
    <w:p>
      <w:pPr>
        <w:spacing w:after="0" w:line="33"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corporation; or</w:t>
      </w:r>
    </w:p>
    <w:p>
      <w:pPr>
        <w:spacing w:after="0" w:line="201" w:lineRule="exact"/>
        <w:rPr>
          <w:rFonts w:ascii="Arial" w:cs="Arial" w:eastAsia="Arial" w:hAnsi="Arial"/>
          <w:sz w:val="21"/>
          <w:szCs w:val="21"/>
          <w:b w:val="1"/>
          <w:bCs w:val="1"/>
          <w:color w:val="auto"/>
        </w:rPr>
      </w:pPr>
    </w:p>
    <w:p>
      <w:pPr>
        <w:jc w:val="both"/>
        <w:ind w:firstLine="1305"/>
        <w:spacing w:after="0" w:line="250" w:lineRule="auto"/>
        <w:tabs>
          <w:tab w:leader="none" w:pos="2257" w:val="left"/>
        </w:tabs>
        <w:numPr>
          <w:ilvl w:val="1"/>
          <w:numId w:val="453"/>
        </w:numPr>
        <w:rPr>
          <w:rFonts w:ascii="Arial" w:cs="Arial" w:eastAsia="Arial" w:hAnsi="Arial"/>
          <w:sz w:val="22"/>
          <w:szCs w:val="22"/>
          <w:b w:val="1"/>
          <w:bCs w:val="1"/>
          <w:color w:val="auto"/>
        </w:rPr>
      </w:pPr>
      <w:r>
        <w:rPr>
          <w:rFonts w:ascii="Arial" w:cs="Arial" w:eastAsia="Arial" w:hAnsi="Arial"/>
          <w:sz w:val="22"/>
          <w:szCs w:val="22"/>
          <w:color w:val="auto"/>
        </w:rPr>
        <w:t>a merger, consolidation or similar transaction following which the Company is the surviving corporation but the Ordinary Shares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the avoidance of doubt, any one or more of the above events may be effected pursuant to (A) a compromise or arrangement sanctioned by the court under section 201 of the Companies Act 1963 of the Republic of Ireland or (B) section 204 of the Companies Act 1963 of the Republic of Ireland.</w:t>
      </w:r>
    </w:p>
    <w:p>
      <w:pPr>
        <w:spacing w:after="0" w:line="18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Notwithstanding the foregoing or any other provision of this Plan, unless the Board determines otherwise, the term Corporate Transaction shall not include the creation of a new holding company where the Company becomes a wholly-owned subsidiary of that holding company and the holding company will be owned in substantially the same proportions by the persons who held the Company’s issued shares immediately before such transaction (in which case Stock Awards granted hereunder will be treated as set out in the second paragraph after part (v) of the definition of Change in Control above).</w:t>
      </w:r>
    </w:p>
    <w:p>
      <w:pPr>
        <w:spacing w:after="0" w:line="147" w:lineRule="exact"/>
        <w:rPr>
          <w:sz w:val="20"/>
          <w:szCs w:val="20"/>
          <w:color w:val="auto"/>
        </w:rPr>
      </w:pPr>
    </w:p>
    <w:p>
      <w:pPr>
        <w:ind w:left="1500" w:hanging="844"/>
        <w:spacing w:after="0"/>
        <w:tabs>
          <w:tab w:leader="none" w:pos="1500" w:val="left"/>
        </w:tabs>
        <w:numPr>
          <w:ilvl w:val="0"/>
          <w:numId w:val="45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19" w:lineRule="exact"/>
        <w:rPr>
          <w:rFonts w:ascii="Arial" w:cs="Arial" w:eastAsia="Arial" w:hAnsi="Arial"/>
          <w:sz w:val="22"/>
          <w:szCs w:val="22"/>
          <w:b w:val="1"/>
          <w:bCs w:val="1"/>
          <w:color w:val="auto"/>
        </w:rPr>
      </w:pPr>
    </w:p>
    <w:p>
      <w:pPr>
        <w:jc w:val="both"/>
        <w:ind w:firstLine="656"/>
        <w:spacing w:after="0" w:line="288" w:lineRule="auto"/>
        <w:tabs>
          <w:tab w:leader="none" w:pos="1620" w:val="left"/>
        </w:tabs>
        <w:numPr>
          <w:ilvl w:val="0"/>
          <w:numId w:val="45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means, with respect to an Awardholder, the inability of such Awardholder to engage in any substantial gainful activity by reason of any medically determinable physical or mental impairment which can be expected to result in death or can be expected to last for a continuous period of not less than 12 months, as provided in Section 22(e)(3) and 409A(a)</w:t>
      </w:r>
    </w:p>
    <w:p>
      <w:pPr>
        <w:spacing w:after="0" w:line="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(2)(c)(i) of the Code.</w:t>
      </w:r>
    </w:p>
    <w:p>
      <w:pPr>
        <w:spacing w:after="0" w:line="201" w:lineRule="exact"/>
        <w:rPr>
          <w:rFonts w:ascii="Arial" w:cs="Arial" w:eastAsia="Arial" w:hAnsi="Arial"/>
          <w:sz w:val="19"/>
          <w:szCs w:val="19"/>
          <w:b w:val="1"/>
          <w:bCs w:val="1"/>
          <w:color w:val="auto"/>
        </w:rPr>
      </w:pPr>
    </w:p>
    <w:p>
      <w:pPr>
        <w:ind w:right="20" w:firstLine="656"/>
        <w:spacing w:after="0" w:line="343" w:lineRule="auto"/>
        <w:tabs>
          <w:tab w:leader="none" w:pos="1561" w:val="left"/>
        </w:tabs>
        <w:numPr>
          <w:ilvl w:val="0"/>
          <w:numId w:val="45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employed by the Company or an Affiliate. However, service solely as a Director, or payment of a fee for such services, shall not cause a Director to be considered an “Employee” for purposes of the Plan.</w:t>
      </w:r>
    </w:p>
    <w:p>
      <w:pPr>
        <w:spacing w:after="0" w:line="348"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847" w:right="239" w:bottom="1440" w:gutter="0" w:footer="0" w:header="0"/>
        </w:sectPr>
      </w:pPr>
    </w:p>
    <w:bookmarkStart w:id="449" w:name="page450"/>
    <w:bookmarkEnd w:id="449"/>
    <w:p>
      <w:pPr>
        <w:ind w:left="904" w:hanging="904"/>
        <w:spacing w:after="0"/>
        <w:tabs>
          <w:tab w:leader="none" w:pos="904" w:val="left"/>
        </w:tabs>
        <w:numPr>
          <w:ilvl w:val="0"/>
          <w:numId w:val="45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19" w:lineRule="exact"/>
        <w:rPr>
          <w:rFonts w:ascii="Arial" w:cs="Arial" w:eastAsia="Arial" w:hAnsi="Arial"/>
          <w:sz w:val="22"/>
          <w:szCs w:val="22"/>
          <w:b w:val="1"/>
          <w:bCs w:val="1"/>
          <w:color w:val="auto"/>
        </w:rPr>
      </w:pPr>
    </w:p>
    <w:p>
      <w:pPr>
        <w:ind w:left="904" w:hanging="904"/>
        <w:spacing w:after="0"/>
        <w:tabs>
          <w:tab w:leader="none" w:pos="904" w:val="left"/>
        </w:tabs>
        <w:numPr>
          <w:ilvl w:val="0"/>
          <w:numId w:val="45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w:t>
      </w:r>
    </w:p>
    <w:p>
      <w:pPr>
        <w:spacing w:after="0" w:line="219" w:lineRule="exact"/>
        <w:rPr>
          <w:rFonts w:ascii="Arial" w:cs="Arial" w:eastAsia="Arial" w:hAnsi="Arial"/>
          <w:sz w:val="22"/>
          <w:szCs w:val="22"/>
          <w:b w:val="1"/>
          <w:bCs w:val="1"/>
          <w:color w:val="auto"/>
        </w:rPr>
      </w:pPr>
    </w:p>
    <w:p>
      <w:pPr>
        <w:jc w:val="both"/>
        <w:ind w:left="-656" w:firstLine="656"/>
        <w:spacing w:after="0" w:line="259" w:lineRule="auto"/>
        <w:tabs>
          <w:tab w:leader="none" w:pos="904" w:val="left"/>
        </w:tabs>
        <w:numPr>
          <w:ilvl w:val="0"/>
          <w:numId w:val="455"/>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Exchange Act Person</w:t>
      </w:r>
      <w:r>
        <w:rPr>
          <w:rFonts w:ascii="Arial" w:cs="Arial" w:eastAsia="Arial" w:hAnsi="Arial"/>
          <w:sz w:val="21"/>
          <w:szCs w:val="21"/>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shareholders of the Company in substantially the same proportions as their Ownership of shares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80" w:lineRule="exact"/>
        <w:rPr>
          <w:rFonts w:ascii="Arial" w:cs="Arial" w:eastAsia="Arial" w:hAnsi="Arial"/>
          <w:sz w:val="21"/>
          <w:szCs w:val="21"/>
          <w:b w:val="1"/>
          <w:bCs w:val="1"/>
          <w:color w:val="auto"/>
        </w:rPr>
      </w:pPr>
    </w:p>
    <w:p>
      <w:pPr>
        <w:ind w:left="884" w:hanging="884"/>
        <w:spacing w:after="0"/>
        <w:tabs>
          <w:tab w:leader="none" w:pos="884" w:val="left"/>
        </w:tabs>
        <w:numPr>
          <w:ilvl w:val="0"/>
          <w:numId w:val="45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means, as of any date, the value of the Ordinary Shares determined as follows:</w:t>
      </w:r>
    </w:p>
    <w:p>
      <w:pPr>
        <w:spacing w:after="0" w:line="219" w:lineRule="exact"/>
        <w:rPr>
          <w:rFonts w:ascii="Arial" w:cs="Arial" w:eastAsia="Arial" w:hAnsi="Arial"/>
          <w:sz w:val="22"/>
          <w:szCs w:val="22"/>
          <w:b w:val="1"/>
          <w:bCs w:val="1"/>
          <w:color w:val="auto"/>
        </w:rPr>
      </w:pPr>
    </w:p>
    <w:p>
      <w:pPr>
        <w:jc w:val="both"/>
        <w:ind w:left="-656" w:firstLine="1305"/>
        <w:spacing w:after="0" w:line="248" w:lineRule="auto"/>
        <w:tabs>
          <w:tab w:leader="none" w:pos="1492" w:val="left"/>
        </w:tabs>
        <w:numPr>
          <w:ilvl w:val="1"/>
          <w:numId w:val="455"/>
        </w:numPr>
        <w:rPr>
          <w:rFonts w:ascii="Arial" w:cs="Arial" w:eastAsia="Arial" w:hAnsi="Arial"/>
          <w:sz w:val="22"/>
          <w:szCs w:val="22"/>
          <w:b w:val="1"/>
          <w:bCs w:val="1"/>
          <w:color w:val="auto"/>
        </w:rPr>
      </w:pPr>
      <w:r>
        <w:rPr>
          <w:rFonts w:ascii="Arial" w:cs="Arial" w:eastAsia="Arial" w:hAnsi="Arial"/>
          <w:sz w:val="22"/>
          <w:szCs w:val="22"/>
          <w:color w:val="auto"/>
        </w:rPr>
        <w:t xml:space="preserve">If the Ordinary Shares are listed on any established stock exchange or traded on the Nasdaq Global Select Market or the Nasdaq Global Market, the Fair Market Value of an Ordinary Share shall be the closing sales price for such Ordinary Share (or the closing bid, if no sales were reported) as quoted on such exchange (or the exchange or market with the greatest volume of trading in the Ordinary Shares) on the date of determination,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Board deems reliable.</w:t>
      </w:r>
    </w:p>
    <w:p>
      <w:pPr>
        <w:spacing w:after="0" w:line="192" w:lineRule="exact"/>
        <w:rPr>
          <w:rFonts w:ascii="Arial" w:cs="Arial" w:eastAsia="Arial" w:hAnsi="Arial"/>
          <w:sz w:val="22"/>
          <w:szCs w:val="22"/>
          <w:b w:val="1"/>
          <w:bCs w:val="1"/>
          <w:color w:val="auto"/>
        </w:rPr>
      </w:pPr>
    </w:p>
    <w:p>
      <w:pPr>
        <w:jc w:val="both"/>
        <w:ind w:left="-656" w:firstLine="1305"/>
        <w:spacing w:after="0" w:line="247" w:lineRule="auto"/>
        <w:tabs>
          <w:tab w:leader="none" w:pos="1553" w:val="left"/>
        </w:tabs>
        <w:numPr>
          <w:ilvl w:val="1"/>
          <w:numId w:val="455"/>
        </w:numPr>
        <w:rPr>
          <w:rFonts w:ascii="Arial" w:cs="Arial" w:eastAsia="Arial" w:hAnsi="Arial"/>
          <w:sz w:val="22"/>
          <w:szCs w:val="22"/>
          <w:b w:val="1"/>
          <w:bCs w:val="1"/>
          <w:color w:val="auto"/>
        </w:rPr>
      </w:pPr>
      <w:r>
        <w:rPr>
          <w:rFonts w:ascii="Arial" w:cs="Arial" w:eastAsia="Arial" w:hAnsi="Arial"/>
          <w:sz w:val="22"/>
          <w:szCs w:val="22"/>
          <w:color w:val="auto"/>
        </w:rPr>
        <w:t xml:space="preserve">If the Ordinary Shares are listed or traded on the Nasdaq Capital Market, the Fair Market Value of an Ordinary Share shall be the mean between the bid and asked prices for the Ordinary Shares on the date of determination,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Board deems reliable. Unless otherwise provided by the Board, if there is no closing sales price (or closing bid if no sales were reported) for the Ordinary Shares on the date of determination, then the Fair Market Value shall be the mean between the bid and asked prices for the Ordinary Shares on the last preceding date for which such quotation exists.</w:t>
      </w:r>
    </w:p>
    <w:p>
      <w:pPr>
        <w:spacing w:after="0" w:line="193" w:lineRule="exact"/>
        <w:rPr>
          <w:rFonts w:ascii="Arial" w:cs="Arial" w:eastAsia="Arial" w:hAnsi="Arial"/>
          <w:sz w:val="22"/>
          <w:szCs w:val="22"/>
          <w:b w:val="1"/>
          <w:bCs w:val="1"/>
          <w:color w:val="auto"/>
        </w:rPr>
      </w:pPr>
    </w:p>
    <w:p>
      <w:pPr>
        <w:ind w:left="-656" w:right="20" w:firstLine="1305"/>
        <w:spacing w:after="0" w:line="263" w:lineRule="auto"/>
        <w:tabs>
          <w:tab w:leader="none" w:pos="1613" w:val="left"/>
        </w:tabs>
        <w:numPr>
          <w:ilvl w:val="1"/>
          <w:numId w:val="455"/>
        </w:numPr>
        <w:rPr>
          <w:rFonts w:ascii="Arial" w:cs="Arial" w:eastAsia="Arial" w:hAnsi="Arial"/>
          <w:sz w:val="22"/>
          <w:szCs w:val="22"/>
          <w:b w:val="1"/>
          <w:bCs w:val="1"/>
          <w:color w:val="auto"/>
        </w:rPr>
      </w:pPr>
      <w:r>
        <w:rPr>
          <w:rFonts w:ascii="Arial" w:cs="Arial" w:eastAsia="Arial" w:hAnsi="Arial"/>
          <w:sz w:val="22"/>
          <w:szCs w:val="22"/>
          <w:color w:val="auto"/>
        </w:rPr>
        <w:t>In the absence of such markets for the Ordinary Shares, the Fair Market Value shall be determined by the Board in good faith and in a manner that complies with Section 409A of the Code.</w:t>
      </w:r>
    </w:p>
    <w:p>
      <w:pPr>
        <w:spacing w:after="0" w:line="174" w:lineRule="exact"/>
        <w:rPr>
          <w:rFonts w:ascii="Arial" w:cs="Arial" w:eastAsia="Arial" w:hAnsi="Arial"/>
          <w:sz w:val="22"/>
          <w:szCs w:val="22"/>
          <w:b w:val="1"/>
          <w:bCs w:val="1"/>
          <w:color w:val="auto"/>
        </w:rPr>
      </w:pPr>
    </w:p>
    <w:p>
      <w:pPr>
        <w:ind w:left="884" w:hanging="884"/>
        <w:spacing w:after="0"/>
        <w:tabs>
          <w:tab w:leader="none" w:pos="884" w:val="left"/>
        </w:tabs>
        <w:numPr>
          <w:ilvl w:val="0"/>
          <w:numId w:val="45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Non-Employee Director</w:t>
      </w:r>
      <w:r>
        <w:rPr>
          <w:rFonts w:ascii="Arial" w:cs="Arial" w:eastAsia="Arial" w:hAnsi="Arial"/>
          <w:sz w:val="22"/>
          <w:szCs w:val="22"/>
          <w:color w:val="auto"/>
        </w:rPr>
        <w:t>” means a Director who is not an Employee.</w:t>
      </w:r>
    </w:p>
    <w:p>
      <w:pPr>
        <w:spacing w:after="0" w:line="219" w:lineRule="exact"/>
        <w:rPr>
          <w:rFonts w:ascii="Arial" w:cs="Arial" w:eastAsia="Arial" w:hAnsi="Arial"/>
          <w:sz w:val="22"/>
          <w:szCs w:val="22"/>
          <w:b w:val="1"/>
          <w:bCs w:val="1"/>
          <w:color w:val="auto"/>
        </w:rPr>
      </w:pPr>
    </w:p>
    <w:p>
      <w:pPr>
        <w:ind w:left="-656" w:right="20" w:firstLine="656"/>
        <w:spacing w:after="0" w:line="263" w:lineRule="auto"/>
        <w:tabs>
          <w:tab w:leader="none" w:pos="856" w:val="left"/>
        </w:tabs>
        <w:numPr>
          <w:ilvl w:val="0"/>
          <w:numId w:val="45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Stock Option</w:t>
      </w:r>
      <w:r>
        <w:rPr>
          <w:rFonts w:ascii="Arial" w:cs="Arial" w:eastAsia="Arial" w:hAnsi="Arial"/>
          <w:sz w:val="22"/>
          <w:szCs w:val="22"/>
          <w:color w:val="auto"/>
        </w:rPr>
        <w:t>” means an Option not intended to qualify as an incentive stock option within the meaning of Section 422 of the Code and the regulations promulgated thereunder.</w:t>
      </w:r>
    </w:p>
    <w:p>
      <w:pPr>
        <w:spacing w:after="0" w:line="174" w:lineRule="exact"/>
        <w:rPr>
          <w:rFonts w:ascii="Arial" w:cs="Arial" w:eastAsia="Arial" w:hAnsi="Arial"/>
          <w:sz w:val="22"/>
          <w:szCs w:val="22"/>
          <w:b w:val="1"/>
          <w:bCs w:val="1"/>
          <w:color w:val="auto"/>
        </w:rPr>
      </w:pPr>
    </w:p>
    <w:p>
      <w:pPr>
        <w:ind w:left="-656" w:firstLine="656"/>
        <w:spacing w:after="0" w:line="263" w:lineRule="auto"/>
        <w:tabs>
          <w:tab w:leader="none" w:pos="904" w:val="left"/>
        </w:tabs>
        <w:numPr>
          <w:ilvl w:val="0"/>
          <w:numId w:val="45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Officer</w:t>
      </w:r>
      <w:r>
        <w:rPr>
          <w:rFonts w:ascii="Arial" w:cs="Arial" w:eastAsia="Arial" w:hAnsi="Arial"/>
          <w:sz w:val="22"/>
          <w:szCs w:val="22"/>
          <w:color w:val="auto"/>
        </w:rPr>
        <w:t>” means a person who is an officer of the Company within the meaning of Section 16 of the Exchange Act and the rules and regulations promulgated thereunder.</w:t>
      </w:r>
    </w:p>
    <w:p>
      <w:pPr>
        <w:spacing w:after="0" w:line="200" w:lineRule="exact"/>
        <w:rPr>
          <w:sz w:val="20"/>
          <w:szCs w:val="20"/>
          <w:color w:val="auto"/>
        </w:rPr>
      </w:pPr>
    </w:p>
    <w:p>
      <w:pPr>
        <w:spacing w:after="0" w:line="218" w:lineRule="exact"/>
        <w:rPr>
          <w:sz w:val="20"/>
          <w:szCs w:val="20"/>
          <w:color w:val="auto"/>
        </w:rPr>
      </w:pPr>
    </w:p>
    <w:p>
      <w:pPr>
        <w:ind w:left="5284"/>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764"/>
          </w:cols>
          <w:pgMar w:left="896" w:top="847" w:right="239" w:bottom="1440" w:gutter="0" w:footer="0" w:header="0"/>
        </w:sectPr>
      </w:pPr>
    </w:p>
    <w:bookmarkStart w:id="450" w:name="page451"/>
    <w:bookmarkEnd w:id="450"/>
    <w:p>
      <w:pPr>
        <w:ind w:left="1560" w:hanging="904"/>
        <w:spacing w:after="0"/>
        <w:tabs>
          <w:tab w:leader="none" w:pos="1560" w:val="left"/>
        </w:tabs>
        <w:numPr>
          <w:ilvl w:val="0"/>
          <w:numId w:val="45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means a Nonstatutory Stock Option granted pursuant to the Plan.</w:t>
      </w:r>
    </w:p>
    <w:p>
      <w:pPr>
        <w:spacing w:after="0" w:line="219" w:lineRule="exact"/>
        <w:rPr>
          <w:rFonts w:ascii="Arial" w:cs="Arial" w:eastAsia="Arial" w:hAnsi="Arial"/>
          <w:sz w:val="22"/>
          <w:szCs w:val="22"/>
          <w:b w:val="1"/>
          <w:bCs w:val="1"/>
          <w:color w:val="auto"/>
        </w:rPr>
      </w:pPr>
    </w:p>
    <w:p>
      <w:pPr>
        <w:ind w:firstLine="656"/>
        <w:spacing w:after="0" w:line="263" w:lineRule="auto"/>
        <w:tabs>
          <w:tab w:leader="none" w:pos="1650" w:val="left"/>
        </w:tabs>
        <w:numPr>
          <w:ilvl w:val="0"/>
          <w:numId w:val="45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Optionholder</w:t>
      </w:r>
      <w:r>
        <w:rPr>
          <w:rFonts w:ascii="Arial" w:cs="Arial" w:eastAsia="Arial" w:hAnsi="Arial"/>
          <w:sz w:val="22"/>
          <w:szCs w:val="22"/>
          <w:color w:val="auto"/>
        </w:rPr>
        <w:t>” means a person to whom an Option is granted pursuant to the Plan or, if applicable, such other person who holds an outstanding Option.</w:t>
      </w:r>
    </w:p>
    <w:p>
      <w:pPr>
        <w:spacing w:after="0" w:line="174" w:lineRule="exact"/>
        <w:rPr>
          <w:rFonts w:ascii="Arial" w:cs="Arial" w:eastAsia="Arial" w:hAnsi="Arial"/>
          <w:sz w:val="22"/>
          <w:szCs w:val="22"/>
          <w:b w:val="1"/>
          <w:bCs w:val="1"/>
          <w:color w:val="auto"/>
        </w:rPr>
      </w:pPr>
    </w:p>
    <w:p>
      <w:pPr>
        <w:ind w:left="1560" w:hanging="904"/>
        <w:spacing w:after="0"/>
        <w:tabs>
          <w:tab w:leader="none" w:pos="1560" w:val="left"/>
        </w:tabs>
        <w:numPr>
          <w:ilvl w:val="0"/>
          <w:numId w:val="456"/>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Ordinary Share</w:t>
      </w:r>
      <w:r>
        <w:rPr>
          <w:rFonts w:ascii="Arial" w:cs="Arial" w:eastAsia="Arial" w:hAnsi="Arial"/>
          <w:sz w:val="19"/>
          <w:szCs w:val="19"/>
          <w:color w:val="auto"/>
        </w:rPr>
        <w:t>” or “</w:t>
      </w:r>
      <w:r>
        <w:rPr>
          <w:rFonts w:ascii="Arial" w:cs="Arial" w:eastAsia="Arial" w:hAnsi="Arial"/>
          <w:sz w:val="19"/>
          <w:szCs w:val="19"/>
          <w:b w:val="1"/>
          <w:bCs w:val="1"/>
          <w:i w:val="1"/>
          <w:iCs w:val="1"/>
          <w:color w:val="auto"/>
        </w:rPr>
        <w:t>Ordinary Shares</w:t>
      </w:r>
      <w:r>
        <w:rPr>
          <w:rFonts w:ascii="Arial" w:cs="Arial" w:eastAsia="Arial" w:hAnsi="Arial"/>
          <w:sz w:val="19"/>
          <w:szCs w:val="19"/>
          <w:color w:val="auto"/>
        </w:rPr>
        <w:t>” means the ordinary shares of the Company of nominal value US$0.0001</w:t>
      </w:r>
    </w:p>
    <w:p>
      <w:pPr>
        <w:spacing w:after="0" w:line="56"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per share.</w:t>
      </w:r>
    </w:p>
    <w:p>
      <w:pPr>
        <w:spacing w:after="0" w:line="201" w:lineRule="exact"/>
        <w:rPr>
          <w:rFonts w:ascii="Arial" w:cs="Arial" w:eastAsia="Arial" w:hAnsi="Arial"/>
          <w:sz w:val="19"/>
          <w:szCs w:val="19"/>
          <w:b w:val="1"/>
          <w:bCs w:val="1"/>
          <w:color w:val="auto"/>
        </w:rPr>
      </w:pPr>
    </w:p>
    <w:p>
      <w:pPr>
        <w:ind w:firstLine="656"/>
        <w:spacing w:after="0" w:line="263" w:lineRule="auto"/>
        <w:tabs>
          <w:tab w:leader="none" w:pos="1549" w:val="left"/>
        </w:tabs>
        <w:numPr>
          <w:ilvl w:val="0"/>
          <w:numId w:val="45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Stock Award</w:t>
      </w:r>
      <w:r>
        <w:rPr>
          <w:rFonts w:ascii="Arial" w:cs="Arial" w:eastAsia="Arial" w:hAnsi="Arial"/>
          <w:sz w:val="22"/>
          <w:szCs w:val="22"/>
          <w:color w:val="auto"/>
        </w:rPr>
        <w:t>” means an award based in whole or in part by reference to the Ordinary Shares which is granted pursuant to the terms and conditions of Section 6(c).</w:t>
      </w:r>
    </w:p>
    <w:p>
      <w:pPr>
        <w:spacing w:after="0" w:line="174" w:lineRule="exact"/>
        <w:rPr>
          <w:rFonts w:ascii="Arial" w:cs="Arial" w:eastAsia="Arial" w:hAnsi="Arial"/>
          <w:sz w:val="22"/>
          <w:szCs w:val="22"/>
          <w:b w:val="1"/>
          <w:bCs w:val="1"/>
          <w:color w:val="auto"/>
        </w:rPr>
      </w:pPr>
    </w:p>
    <w:p>
      <w:pPr>
        <w:jc w:val="both"/>
        <w:ind w:firstLine="656"/>
        <w:spacing w:after="0" w:line="250" w:lineRule="auto"/>
        <w:tabs>
          <w:tab w:leader="none" w:pos="1536" w:val="left"/>
        </w:tabs>
        <w:numPr>
          <w:ilvl w:val="0"/>
          <w:numId w:val="45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Own</w:t>
      </w:r>
      <w:r>
        <w:rPr>
          <w:rFonts w:ascii="Arial" w:cs="Arial" w:eastAsia="Arial" w:hAnsi="Arial"/>
          <w:sz w:val="22"/>
          <w:szCs w:val="22"/>
          <w:color w:val="auto"/>
        </w:rPr>
        <w:t>,” “</w:t>
      </w:r>
      <w:r>
        <w:rPr>
          <w:rFonts w:ascii="Arial" w:cs="Arial" w:eastAsia="Arial" w:hAnsi="Arial"/>
          <w:sz w:val="22"/>
          <w:szCs w:val="22"/>
          <w:b w:val="1"/>
          <w:bCs w:val="1"/>
          <w:i w:val="1"/>
          <w:iCs w:val="1"/>
          <w:color w:val="auto"/>
        </w:rPr>
        <w:t>Owned</w:t>
      </w:r>
      <w:r>
        <w:rPr>
          <w:rFonts w:ascii="Arial" w:cs="Arial" w:eastAsia="Arial" w:hAnsi="Arial"/>
          <w:sz w:val="22"/>
          <w:szCs w:val="22"/>
          <w:color w:val="auto"/>
        </w:rPr>
        <w:t>,” “</w:t>
      </w:r>
      <w:r>
        <w:rPr>
          <w:rFonts w:ascii="Arial" w:cs="Arial" w:eastAsia="Arial" w:hAnsi="Arial"/>
          <w:sz w:val="22"/>
          <w:szCs w:val="22"/>
          <w:b w:val="1"/>
          <w:bCs w:val="1"/>
          <w:i w:val="1"/>
          <w:iCs w:val="1"/>
          <w:color w:val="auto"/>
        </w:rPr>
        <w:t>Owner</w:t>
      </w:r>
      <w:r>
        <w:rPr>
          <w:rFonts w:ascii="Arial" w:cs="Arial" w:eastAsia="Arial" w:hAnsi="Arial"/>
          <w:sz w:val="22"/>
          <w:szCs w:val="22"/>
          <w:color w:val="auto"/>
        </w:rPr>
        <w:t>,” “</w:t>
      </w:r>
      <w:r>
        <w:rPr>
          <w:rFonts w:ascii="Arial" w:cs="Arial" w:eastAsia="Arial" w:hAnsi="Arial"/>
          <w:sz w:val="22"/>
          <w:szCs w:val="22"/>
          <w:b w:val="1"/>
          <w:bCs w:val="1"/>
          <w:i w:val="1"/>
          <w:iCs w:val="1"/>
          <w:color w:val="auto"/>
        </w:rPr>
        <w:t>Ownership</w:t>
      </w:r>
      <w:r>
        <w:rPr>
          <w:rFonts w:ascii="Arial" w:cs="Arial" w:eastAsia="Arial" w:hAnsi="Arial"/>
          <w:sz w:val="22"/>
          <w:szCs w:val="22"/>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88" w:lineRule="exact"/>
        <w:rPr>
          <w:sz w:val="20"/>
          <w:szCs w:val="20"/>
          <w:color w:val="auto"/>
        </w:rPr>
      </w:pPr>
    </w:p>
    <w:p>
      <w:pPr>
        <w:ind w:left="1320" w:hanging="664"/>
        <w:spacing w:after="0"/>
        <w:tabs>
          <w:tab w:leader="none" w:pos="1320" w:val="left"/>
        </w:tabs>
        <w:numPr>
          <w:ilvl w:val="0"/>
          <w:numId w:val="457"/>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Plan</w:t>
      </w:r>
      <w:r>
        <w:rPr>
          <w:rFonts w:ascii="Arial" w:cs="Arial" w:eastAsia="Arial" w:hAnsi="Arial"/>
          <w:sz w:val="19"/>
          <w:szCs w:val="19"/>
          <w:color w:val="auto"/>
        </w:rPr>
        <w:t>” means this Jazz Pharmaceuticals plc Amended and Restated 2007 Non-Employee Directors Stock Award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02" w:lineRule="exact"/>
        <w:rPr>
          <w:sz w:val="20"/>
          <w:szCs w:val="20"/>
          <w:color w:val="auto"/>
        </w:rPr>
      </w:pPr>
    </w:p>
    <w:p>
      <w:pPr>
        <w:ind w:right="20" w:firstLine="656"/>
        <w:spacing w:after="0" w:line="263" w:lineRule="auto"/>
        <w:tabs>
          <w:tab w:leader="none" w:pos="1262" w:val="left"/>
        </w:tabs>
        <w:numPr>
          <w:ilvl w:val="0"/>
          <w:numId w:val="4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Award</w:t>
      </w:r>
      <w:r>
        <w:rPr>
          <w:rFonts w:ascii="Arial" w:cs="Arial" w:eastAsia="Arial" w:hAnsi="Arial"/>
          <w:sz w:val="22"/>
          <w:szCs w:val="22"/>
          <w:color w:val="auto"/>
        </w:rPr>
        <w:t>” means an award of Ordinary Shares which is granted pursuant to the terms and conditions of Section 6(a).</w:t>
      </w:r>
    </w:p>
    <w:p>
      <w:pPr>
        <w:spacing w:after="0" w:line="174" w:lineRule="exact"/>
        <w:rPr>
          <w:rFonts w:ascii="Arial" w:cs="Arial" w:eastAsia="Arial" w:hAnsi="Arial"/>
          <w:sz w:val="22"/>
          <w:szCs w:val="22"/>
          <w:b w:val="1"/>
          <w:bCs w:val="1"/>
          <w:color w:val="auto"/>
        </w:rPr>
      </w:pPr>
    </w:p>
    <w:p>
      <w:pPr>
        <w:ind w:firstLine="656"/>
        <w:spacing w:after="0" w:line="263" w:lineRule="auto"/>
        <w:tabs>
          <w:tab w:leader="none" w:pos="1227" w:val="left"/>
        </w:tabs>
        <w:numPr>
          <w:ilvl w:val="0"/>
          <w:numId w:val="4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Unit Award</w:t>
      </w:r>
      <w:r>
        <w:rPr>
          <w:rFonts w:ascii="Arial" w:cs="Arial" w:eastAsia="Arial" w:hAnsi="Arial"/>
          <w:sz w:val="22"/>
          <w:szCs w:val="22"/>
          <w:color w:val="auto"/>
        </w:rPr>
        <w:t>” means a right to receive Ordinary Shares which is granted pursuant to the terms and conditions of Section 6(b).</w:t>
      </w:r>
    </w:p>
    <w:p>
      <w:pPr>
        <w:spacing w:after="0" w:line="174" w:lineRule="exact"/>
        <w:rPr>
          <w:rFonts w:ascii="Arial" w:cs="Arial" w:eastAsia="Arial" w:hAnsi="Arial"/>
          <w:sz w:val="22"/>
          <w:szCs w:val="22"/>
          <w:b w:val="1"/>
          <w:bCs w:val="1"/>
          <w:color w:val="auto"/>
        </w:rPr>
      </w:pPr>
    </w:p>
    <w:p>
      <w:pPr>
        <w:ind w:right="20" w:firstLine="656"/>
        <w:spacing w:after="0" w:line="263" w:lineRule="auto"/>
        <w:tabs>
          <w:tab w:leader="none" w:pos="1303" w:val="left"/>
        </w:tabs>
        <w:numPr>
          <w:ilvl w:val="0"/>
          <w:numId w:val="4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 16b-3</w:t>
      </w:r>
      <w:r>
        <w:rPr>
          <w:rFonts w:ascii="Arial" w:cs="Arial" w:eastAsia="Arial" w:hAnsi="Arial"/>
          <w:sz w:val="22"/>
          <w:szCs w:val="22"/>
          <w:color w:val="auto"/>
        </w:rPr>
        <w:t>” means Rule 16b-3 promulgated under the Exchange Act or any successor to Rule 16b-3, as in effect from time to time.</w:t>
      </w:r>
    </w:p>
    <w:p>
      <w:pPr>
        <w:spacing w:after="0" w:line="174" w:lineRule="exact"/>
        <w:rPr>
          <w:rFonts w:ascii="Arial" w:cs="Arial" w:eastAsia="Arial" w:hAnsi="Arial"/>
          <w:sz w:val="22"/>
          <w:szCs w:val="22"/>
          <w:b w:val="1"/>
          <w:bCs w:val="1"/>
          <w:color w:val="auto"/>
        </w:rPr>
      </w:pPr>
    </w:p>
    <w:p>
      <w:pPr>
        <w:ind w:left="1200" w:hanging="544"/>
        <w:spacing w:after="0"/>
        <w:tabs>
          <w:tab w:leader="none" w:pos="1200" w:val="left"/>
        </w:tabs>
        <w:numPr>
          <w:ilvl w:val="0"/>
          <w:numId w:val="4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means the Securities Act of 1933, as amended.</w:t>
      </w:r>
    </w:p>
    <w:p>
      <w:pPr>
        <w:spacing w:after="0" w:line="219" w:lineRule="exact"/>
        <w:rPr>
          <w:rFonts w:ascii="Arial" w:cs="Arial" w:eastAsia="Arial" w:hAnsi="Arial"/>
          <w:sz w:val="22"/>
          <w:szCs w:val="22"/>
          <w:b w:val="1"/>
          <w:bCs w:val="1"/>
          <w:color w:val="auto"/>
        </w:rPr>
      </w:pPr>
    </w:p>
    <w:p>
      <w:pPr>
        <w:jc w:val="both"/>
        <w:ind w:firstLine="656"/>
        <w:spacing w:after="0" w:line="247" w:lineRule="auto"/>
        <w:tabs>
          <w:tab w:leader="none" w:pos="1179" w:val="left"/>
        </w:tabs>
        <w:numPr>
          <w:ilvl w:val="0"/>
          <w:numId w:val="4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in which the Company has a direct or indirect interest (whether in the form of voting or participation in profits or capital contribution) of more than fifty percent (50%).</w:t>
      </w:r>
    </w:p>
    <w:p>
      <w:pPr>
        <w:spacing w:after="0" w:line="193" w:lineRule="exact"/>
        <w:rPr>
          <w:rFonts w:ascii="Arial" w:cs="Arial" w:eastAsia="Arial" w:hAnsi="Arial"/>
          <w:sz w:val="22"/>
          <w:szCs w:val="22"/>
          <w:b w:val="1"/>
          <w:bCs w:val="1"/>
          <w:color w:val="auto"/>
        </w:rPr>
      </w:pPr>
    </w:p>
    <w:p>
      <w:pPr>
        <w:ind w:firstLine="656"/>
        <w:spacing w:after="0" w:line="263" w:lineRule="auto"/>
        <w:tabs>
          <w:tab w:leader="none" w:pos="1278" w:val="left"/>
        </w:tabs>
        <w:numPr>
          <w:ilvl w:val="0"/>
          <w:numId w:val="4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 Appreciation Right</w:t>
      </w:r>
      <w:r>
        <w:rPr>
          <w:rFonts w:ascii="Arial" w:cs="Arial" w:eastAsia="Arial" w:hAnsi="Arial"/>
          <w:sz w:val="22"/>
          <w:szCs w:val="22"/>
          <w:color w:val="auto"/>
        </w:rPr>
        <w:t>” or “</w:t>
      </w:r>
      <w:r>
        <w:rPr>
          <w:rFonts w:ascii="Arial" w:cs="Arial" w:eastAsia="Arial" w:hAnsi="Arial"/>
          <w:sz w:val="22"/>
          <w:szCs w:val="22"/>
          <w:b w:val="1"/>
          <w:bCs w:val="1"/>
          <w:i w:val="1"/>
          <w:iCs w:val="1"/>
          <w:color w:val="auto"/>
        </w:rPr>
        <w:t>SAR</w:t>
      </w:r>
      <w:r>
        <w:rPr>
          <w:rFonts w:ascii="Arial" w:cs="Arial" w:eastAsia="Arial" w:hAnsi="Arial"/>
          <w:sz w:val="22"/>
          <w:szCs w:val="22"/>
          <w:color w:val="auto"/>
        </w:rPr>
        <w:t>” means a right to receive the appreciation on Ordinary Shares that is granted pursuant to the terms and conditions of Section 5.</w:t>
      </w:r>
    </w:p>
    <w:p>
      <w:pPr>
        <w:spacing w:after="0" w:line="174" w:lineRule="exact"/>
        <w:rPr>
          <w:rFonts w:ascii="Arial" w:cs="Arial" w:eastAsia="Arial" w:hAnsi="Arial"/>
          <w:sz w:val="22"/>
          <w:szCs w:val="22"/>
          <w:b w:val="1"/>
          <w:bCs w:val="1"/>
          <w:color w:val="auto"/>
        </w:rPr>
      </w:pPr>
    </w:p>
    <w:p>
      <w:pPr>
        <w:ind w:firstLine="656"/>
        <w:spacing w:after="0" w:line="343" w:lineRule="auto"/>
        <w:tabs>
          <w:tab w:leader="none" w:pos="1289" w:val="left"/>
        </w:tabs>
        <w:numPr>
          <w:ilvl w:val="0"/>
          <w:numId w:val="458"/>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Stock Award</w:t>
      </w:r>
      <w:r>
        <w:rPr>
          <w:rFonts w:ascii="Arial" w:cs="Arial" w:eastAsia="Arial" w:hAnsi="Arial"/>
          <w:sz w:val="19"/>
          <w:szCs w:val="19"/>
          <w:color w:val="auto"/>
        </w:rPr>
        <w:t>” means any right to receive Ordinary Shares granted under the Plan, including a Nonstatutory Stock Option, a Restricted Stock Award, a Restricted Stock Unit Award, a Stock Appreciation Right or any Other Stock Award.</w:t>
      </w:r>
    </w:p>
    <w:p>
      <w:pPr>
        <w:spacing w:after="0" w:line="348"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847" w:right="239" w:bottom="1440" w:gutter="0" w:footer="0" w:header="0"/>
        </w:sectPr>
      </w:pPr>
    </w:p>
    <w:bookmarkStart w:id="451" w:name="page452"/>
    <w:bookmarkEnd w:id="451"/>
    <w:p>
      <w:pPr>
        <w:spacing w:after="0"/>
        <w:rPr>
          <w:sz w:val="20"/>
          <w:szCs w:val="20"/>
          <w:color w:val="auto"/>
        </w:rPr>
      </w:pPr>
      <w:r>
        <w:rPr>
          <w:rFonts w:ascii="Arial" w:cs="Arial" w:eastAsia="Arial" w:hAnsi="Arial"/>
          <w:sz w:val="22"/>
          <w:szCs w:val="22"/>
          <w:color w:val="auto"/>
        </w:rPr>
        <w:t>Adopted by the Board of Directors of Jazz Pharmaceuticals, Inc. on May 1, 2007.</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Approved by the stockholders of Jazz Pharmaceuticals, Inc. on May 9, 2007.</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Amended and restated by the Board of Directors of Jazz Pharmaceuticals, Inc. on August 11, 2010.</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Amended and restated by the Board of Directors of Jazz Pharmaceuticals, Inc. on October 24, 2011.</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Adopted by the Board of Directors of Azur Pharma plc on December 21, 2011.</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Approved by the shareholders of Azur Pharma plc on January 3, 2012.</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Amended and restated by the Board of Directors of Jazz Pharmaceuticals plc on May 5, 2016.</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Approved by the shareholders of Jazz Pharmaceuticals plc on August 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219"/>
          </w:cols>
          <w:pgMar w:left="240" w:top="848" w:right="1440" w:bottom="1440" w:gutter="0" w:footer="0" w:header="0"/>
        </w:sectPr>
      </w:pPr>
    </w:p>
    <w:bookmarkStart w:id="452" w:name="page453"/>
    <w:bookmarkEnd w:id="4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333" w:lineRule="exact"/>
        <w:rPr>
          <w:sz w:val="20"/>
          <w:szCs w:val="20"/>
          <w:color w:val="auto"/>
        </w:rPr>
      </w:pPr>
    </w:p>
    <w:p>
      <w:pPr>
        <w:ind w:left="340" w:hanging="332"/>
        <w:spacing w:after="0"/>
        <w:tabs>
          <w:tab w:leader="none" w:pos="3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225" w:lineRule="exact"/>
        <w:rPr>
          <w:rFonts w:ascii="Arial" w:cs="Arial" w:eastAsia="Arial" w:hAnsi="Arial"/>
          <w:sz w:val="18"/>
          <w:szCs w:val="18"/>
          <w:color w:val="auto"/>
        </w:rPr>
      </w:pPr>
    </w:p>
    <w:p>
      <w:pPr>
        <w:ind w:left="340" w:right="120" w:hanging="332"/>
        <w:spacing w:after="0" w:line="377" w:lineRule="auto"/>
        <w:tabs>
          <w:tab w:leader="none" w:pos="362" w:val="left"/>
        </w:tabs>
        <w:numPr>
          <w:ilvl w:val="0"/>
          <w:numId w:val="4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4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5720" w:val="left"/>
          <w:tab w:leader="none" w:pos="8040" w:val="left"/>
          <w:tab w:leader="none" w:pos="8400" w:val="left"/>
        </w:tabs>
        <w:rPr>
          <w:sz w:val="20"/>
          <w:szCs w:val="20"/>
          <w:color w:val="auto"/>
        </w:rPr>
      </w:pPr>
      <w:r>
        <w:rPr>
          <w:rFonts w:ascii="Arial" w:cs="Arial" w:eastAsia="Arial" w:hAnsi="Arial"/>
          <w:sz w:val="18"/>
          <w:szCs w:val="18"/>
          <w:color w:val="auto"/>
        </w:rPr>
        <w:t>Date: August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Bruce C. Cozadd</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Chairman and Chief Executive Officer and Director</w:t>
      </w:r>
    </w:p>
    <w:p>
      <w:pPr>
        <w:sectPr>
          <w:pgSz w:w="11900" w:h="16838" w:orient="portrait"/>
          <w:cols w:equalWidth="0" w:num="1">
            <w:col w:w="11420"/>
          </w:cols>
          <w:pgMar w:left="240" w:top="121" w:right="239" w:bottom="1440" w:gutter="0" w:footer="0" w:header="0"/>
        </w:sectPr>
      </w:pPr>
    </w:p>
    <w:bookmarkStart w:id="453" w:name="page454"/>
    <w:bookmarkEnd w:id="4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Matthew P. Young, certify that:</w:t>
      </w:r>
    </w:p>
    <w:p>
      <w:pPr>
        <w:spacing w:after="0" w:line="293" w:lineRule="exact"/>
        <w:rPr>
          <w:sz w:val="20"/>
          <w:szCs w:val="20"/>
          <w:color w:val="auto"/>
        </w:rPr>
      </w:pPr>
    </w:p>
    <w:p>
      <w:pPr>
        <w:ind w:left="340" w:hanging="332"/>
        <w:spacing w:after="0"/>
        <w:tabs>
          <w:tab w:leader="none" w:pos="34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8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4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4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4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4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4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4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5720" w:val="left"/>
          <w:tab w:leader="none" w:pos="8000" w:val="left"/>
          <w:tab w:leader="none" w:pos="8340" w:val="left"/>
        </w:tabs>
        <w:rPr>
          <w:sz w:val="20"/>
          <w:szCs w:val="20"/>
          <w:color w:val="auto"/>
        </w:rPr>
      </w:pPr>
      <w:r>
        <w:rPr>
          <w:rFonts w:ascii="Arial" w:cs="Arial" w:eastAsia="Arial" w:hAnsi="Arial"/>
          <w:sz w:val="18"/>
          <w:szCs w:val="18"/>
          <w:color w:val="auto"/>
        </w:rPr>
        <w:t>Date: August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Matthew 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Matthew P. Young</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454" w:name="page455"/>
    <w:bookmarkEnd w:id="4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25"/>
          <w:szCs w:val="25"/>
          <w:b w:val="1"/>
          <w:bCs w:val="1"/>
          <w:color w:val="auto"/>
          <w:vertAlign w:val="superscript"/>
        </w:rPr>
        <w:t>(1)</w:t>
      </w:r>
    </w:p>
    <w:p>
      <w:pPr>
        <w:spacing w:after="0" w:line="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Matthew P. Young, Executive Vice President and Chief Financial Officer of the Company, each hereby certifies that, to the best of his knowledge:</w:t>
      </w:r>
    </w:p>
    <w:p>
      <w:pPr>
        <w:spacing w:after="0" w:line="254" w:lineRule="exact"/>
        <w:rPr>
          <w:sz w:val="20"/>
          <w:szCs w:val="20"/>
          <w:color w:val="auto"/>
        </w:rPr>
      </w:pPr>
    </w:p>
    <w:p>
      <w:pPr>
        <w:ind w:left="740" w:right="400" w:hanging="327"/>
        <w:spacing w:after="0" w:line="308" w:lineRule="auto"/>
        <w:tabs>
          <w:tab w:leader="none" w:pos="74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2016, to which this Certification is attached as Exhibit 32.1 (the “Periodic Report”), fully complies with the requirements of Section 13(a) or Section 15(d) of the Exchange Act; and</w:t>
      </w:r>
    </w:p>
    <w:p>
      <w:pPr>
        <w:spacing w:after="0" w:line="106" w:lineRule="exact"/>
        <w:rPr>
          <w:rFonts w:ascii="Arial" w:cs="Arial" w:eastAsia="Arial" w:hAnsi="Arial"/>
          <w:sz w:val="17"/>
          <w:szCs w:val="17"/>
          <w:color w:val="auto"/>
        </w:rPr>
      </w:pPr>
    </w:p>
    <w:p>
      <w:pPr>
        <w:ind w:left="740" w:right="380" w:hanging="327"/>
        <w:spacing w:after="0" w:line="277" w:lineRule="auto"/>
        <w:tabs>
          <w:tab w:leader="none" w:pos="74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360" w:lineRule="exact"/>
        <w:rPr>
          <w:sz w:val="20"/>
          <w:szCs w:val="20"/>
          <w:color w:val="auto"/>
        </w:rPr>
      </w:pPr>
    </w:p>
    <w:p>
      <w:pPr>
        <w:jc w:val="center"/>
        <w:ind w:right="68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8988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48"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Bruce C. Cozadd</w:t>
      </w:r>
    </w:p>
    <w:p>
      <w:pPr>
        <w:spacing w:after="0" w:line="42"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Chairman and Chief Executive Officer and Director</w:t>
      </w:r>
    </w:p>
    <w:p>
      <w:pPr>
        <w:spacing w:after="0" w:line="347" w:lineRule="exact"/>
        <w:rPr>
          <w:sz w:val="20"/>
          <w:szCs w:val="20"/>
          <w:color w:val="auto"/>
        </w:rPr>
      </w:pPr>
    </w:p>
    <w:p>
      <w:pPr>
        <w:jc w:val="center"/>
        <w:ind w:right="68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Matthew 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8988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48"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Matthew P. Young</w:t>
      </w:r>
    </w:p>
    <w:p>
      <w:pPr>
        <w:spacing w:after="0" w:line="42"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420" w:right="40" w:hanging="331"/>
        <w:spacing w:after="0" w:line="252" w:lineRule="auto"/>
        <w:tabs>
          <w:tab w:leader="none" w:pos="42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53172F"/>
    <w:multiLevelType w:val="hybridMultilevel"/>
    <w:lvl w:ilvl="0">
      <w:lvlJc w:val="left"/>
      <w:lvlText w:val="☒"/>
      <w:numFmt w:val="bullet"/>
      <w:start w:val="1"/>
    </w:lvl>
  </w:abstractNum>
  <w:abstractNum w:abstractNumId="1">
    <w:nsid w:val="27EDFE3A"/>
    <w:multiLevelType w:val="hybridMultilevel"/>
    <w:lvl w:ilvl="0">
      <w:lvlJc w:val="left"/>
      <w:lvlText w:val="☐"/>
      <w:numFmt w:val="bullet"/>
      <w:start w:val="1"/>
    </w:lvl>
  </w:abstractNum>
  <w:abstractNum w:abstractNumId="2">
    <w:nsid w:val="52AC7DFF"/>
    <w:multiLevelType w:val="hybridMultilevel"/>
    <w:lvl w:ilvl="0">
      <w:lvlJc w:val="left"/>
      <w:lvlText w:val="•"/>
      <w:numFmt w:val="bullet"/>
      <w:start w:val="1"/>
    </w:lvl>
  </w:abstractNum>
  <w:abstractNum w:abstractNumId="3">
    <w:nsid w:val="C4C3AF"/>
    <w:multiLevelType w:val="hybridMultilevel"/>
    <w:lvl w:ilvl="0">
      <w:lvlJc w:val="left"/>
      <w:lvlText w:val="•"/>
      <w:numFmt w:val="bullet"/>
      <w:start w:val="1"/>
    </w:lvl>
  </w:abstractNum>
  <w:abstractNum w:abstractNumId="4">
    <w:nsid w:val="44380727"/>
    <w:multiLevelType w:val="hybridMultilevel"/>
    <w:lvl w:ilvl="0">
      <w:lvlJc w:val="left"/>
      <w:lvlText w:val="•"/>
      <w:numFmt w:val="bullet"/>
      <w:start w:val="1"/>
    </w:lvl>
  </w:abstractNum>
  <w:abstractNum w:abstractNumId="5">
    <w:nsid w:val="6C053B16"/>
    <w:multiLevelType w:val="hybridMultilevel"/>
    <w:lvl w:ilvl="0">
      <w:lvlJc w:val="left"/>
      <w:lvlText w:val="•"/>
      <w:numFmt w:val="bullet"/>
      <w:start w:val="1"/>
    </w:lvl>
  </w:abstractNum>
  <w:abstractNum w:abstractNumId="6">
    <w:nsid w:val="4F294393"/>
    <w:multiLevelType w:val="hybridMultilevel"/>
    <w:lvl w:ilvl="0">
      <w:lvlJc w:val="left"/>
      <w:lvlText w:val="•"/>
      <w:numFmt w:val="bullet"/>
      <w:start w:val="1"/>
    </w:lvl>
  </w:abstractNum>
  <w:abstractNum w:abstractNumId="7">
    <w:nsid w:val="5243BFAC"/>
    <w:multiLevelType w:val="hybridMultilevel"/>
    <w:lvl w:ilvl="0">
      <w:lvlJc w:val="left"/>
      <w:lvlText w:val="•"/>
      <w:numFmt w:val="bullet"/>
      <w:start w:val="1"/>
    </w:lvl>
  </w:abstractNum>
  <w:abstractNum w:abstractNumId="8">
    <w:nsid w:val="425EB207"/>
    <w:multiLevelType w:val="hybridMultilevel"/>
    <w:lvl w:ilvl="0">
      <w:lvlJc w:val="left"/>
      <w:lvlText w:val="(%1)"/>
      <w:numFmt w:val="lowerRoman"/>
      <w:start w:val="3"/>
    </w:lvl>
  </w:abstractNum>
  <w:abstractNum w:abstractNumId="9">
    <w:nsid w:val="334A6F1F"/>
    <w:multiLevelType w:val="hybridMultilevel"/>
    <w:lvl w:ilvl="0">
      <w:lvlJc w:val="left"/>
      <w:lvlText w:val="•"/>
      <w:numFmt w:val="bullet"/>
      <w:start w:val="1"/>
    </w:lvl>
  </w:abstractNum>
  <w:abstractNum w:abstractNumId="10">
    <w:nsid w:val="2E5B12B8"/>
    <w:multiLevelType w:val="hybridMultilevel"/>
    <w:lvl w:ilvl="0">
      <w:lvlJc w:val="left"/>
      <w:lvlText w:val="•"/>
      <w:numFmt w:val="bullet"/>
      <w:start w:val="1"/>
    </w:lvl>
  </w:abstractNum>
  <w:abstractNum w:abstractNumId="11">
    <w:nsid w:val="5C03D76D"/>
    <w:multiLevelType w:val="hybridMultilevel"/>
    <w:lvl w:ilvl="0">
      <w:lvlJc w:val="left"/>
      <w:lvlText w:val="•"/>
      <w:numFmt w:val="bullet"/>
      <w:start w:val="1"/>
    </w:lvl>
  </w:abstractNum>
  <w:abstractNum w:abstractNumId="12">
    <w:nsid w:val="66A48D11"/>
    <w:multiLevelType w:val="hybridMultilevel"/>
    <w:lvl w:ilvl="0">
      <w:lvlJc w:val="left"/>
      <w:lvlText w:val="•"/>
      <w:numFmt w:val="bullet"/>
      <w:start w:val="1"/>
    </w:lvl>
  </w:abstractNum>
  <w:abstractNum w:abstractNumId="13">
    <w:nsid w:val="56C28E34"/>
    <w:multiLevelType w:val="hybridMultilevel"/>
    <w:lvl w:ilvl="0">
      <w:lvlJc w:val="left"/>
      <w:lvlText w:val="•"/>
      <w:numFmt w:val="bullet"/>
      <w:start w:val="1"/>
    </w:lvl>
  </w:abstractNum>
  <w:abstractNum w:abstractNumId="14">
    <w:nsid w:val="13916F2D"/>
    <w:multiLevelType w:val="hybridMultilevel"/>
    <w:lvl w:ilvl="0">
      <w:lvlJc w:val="left"/>
      <w:lvlText w:val="•"/>
      <w:numFmt w:val="bullet"/>
      <w:start w:val="1"/>
    </w:lvl>
  </w:abstractNum>
  <w:abstractNum w:abstractNumId="15">
    <w:nsid w:val="435D38D"/>
    <w:multiLevelType w:val="hybridMultilevel"/>
    <w:lvl w:ilvl="0">
      <w:lvlJc w:val="left"/>
      <w:lvlText w:val="•"/>
      <w:numFmt w:val="bullet"/>
      <w:start w:val="1"/>
    </w:lvl>
    <w:lvl w:ilvl="1">
      <w:lvlJc w:val="left"/>
      <w:lvlText w:val="•"/>
      <w:numFmt w:val="bullet"/>
      <w:start w:val="1"/>
    </w:lvl>
  </w:abstractNum>
  <w:abstractNum w:abstractNumId="16">
    <w:nsid w:val="822C0EF"/>
    <w:multiLevelType w:val="hybridMultilevel"/>
    <w:lvl w:ilvl="0">
      <w:lvlJc w:val="left"/>
      <w:lvlText w:val="•"/>
      <w:numFmt w:val="bullet"/>
      <w:start w:val="1"/>
    </w:lvl>
  </w:abstractNum>
  <w:abstractNum w:abstractNumId="17">
    <w:nsid w:val="57C5BB4F"/>
    <w:multiLevelType w:val="hybridMultilevel"/>
    <w:lvl w:ilvl="0">
      <w:lvlJc w:val="left"/>
      <w:lvlText w:val="(%1)"/>
      <w:numFmt w:val="decimal"/>
      <w:start w:val="1"/>
    </w:lvl>
  </w:abstractNum>
  <w:abstractNum w:abstractNumId="18">
    <w:nsid w:val="1803D089"/>
    <w:multiLevelType w:val="hybridMultilevel"/>
    <w:lvl w:ilvl="0">
      <w:lvlJc w:val="left"/>
      <w:lvlText w:val="(%1)"/>
      <w:numFmt w:val="decimal"/>
      <w:start w:val="5"/>
    </w:lvl>
  </w:abstractNum>
  <w:abstractNum w:abstractNumId="19">
    <w:nsid w:val="4F3A06D4"/>
    <w:multiLevelType w:val="hybridMultilevel"/>
    <w:lvl w:ilvl="0">
      <w:lvlJc w:val="left"/>
      <w:lvlText w:val="•"/>
      <w:numFmt w:val="bullet"/>
      <w:start w:val="1"/>
    </w:lvl>
  </w:abstractNum>
  <w:abstractNum w:abstractNumId="20">
    <w:nsid w:val="59A377B6"/>
    <w:multiLevelType w:val="hybridMultilevel"/>
    <w:lvl w:ilvl="0">
      <w:lvlJc w:val="left"/>
      <w:lvlText w:val="•"/>
      <w:numFmt w:val="bullet"/>
      <w:start w:val="1"/>
    </w:lvl>
  </w:abstractNum>
  <w:abstractNum w:abstractNumId="21">
    <w:nsid w:val="48AEB063"/>
    <w:multiLevelType w:val="hybridMultilevel"/>
    <w:lvl w:ilvl="0">
      <w:lvlJc w:val="left"/>
      <w:lvlText w:val="•"/>
      <w:numFmt w:val="bullet"/>
      <w:start w:val="1"/>
    </w:lvl>
  </w:abstractNum>
  <w:abstractNum w:abstractNumId="22">
    <w:nsid w:val="24E135"/>
    <w:multiLevelType w:val="hybridMultilevel"/>
    <w:lvl w:ilvl="0">
      <w:lvlJc w:val="left"/>
      <w:lvlText w:val="•"/>
      <w:numFmt w:val="bullet"/>
      <w:start w:val="1"/>
    </w:lvl>
  </w:abstractNum>
  <w:abstractNum w:abstractNumId="23">
    <w:nsid w:val="BB13C1"/>
    <w:multiLevelType w:val="hybridMultilevel"/>
    <w:lvl w:ilvl="0">
      <w:lvlJc w:val="left"/>
      <w:lvlText w:val="•"/>
      <w:numFmt w:val="bullet"/>
      <w:start w:val="1"/>
    </w:lvl>
  </w:abstractNum>
  <w:abstractNum w:abstractNumId="24">
    <w:nsid w:val="271210C7"/>
    <w:multiLevelType w:val="hybridMultilevel"/>
    <w:lvl w:ilvl="0">
      <w:lvlJc w:val="left"/>
      <w:lvlText w:val="•"/>
      <w:numFmt w:val="bullet"/>
      <w:start w:val="1"/>
    </w:lvl>
  </w:abstractNum>
  <w:abstractNum w:abstractNumId="25">
    <w:nsid w:val="217B22E4"/>
    <w:multiLevelType w:val="hybridMultilevel"/>
    <w:lvl w:ilvl="0">
      <w:lvlJc w:val="left"/>
      <w:lvlText w:val="•"/>
      <w:numFmt w:val="bullet"/>
      <w:start w:val="1"/>
    </w:lvl>
  </w:abstractNum>
  <w:abstractNum w:abstractNumId="26">
    <w:nsid w:val="53E31A24"/>
    <w:multiLevelType w:val="hybridMultilevel"/>
    <w:lvl w:ilvl="0">
      <w:lvlJc w:val="left"/>
      <w:lvlText w:val="•"/>
      <w:numFmt w:val="bullet"/>
      <w:start w:val="1"/>
    </w:lvl>
  </w:abstractNum>
  <w:abstractNum w:abstractNumId="27">
    <w:nsid w:val="6DC45E83"/>
    <w:multiLevelType w:val="hybridMultilevel"/>
    <w:lvl w:ilvl="0">
      <w:lvlJc w:val="left"/>
      <w:lvlText w:val="•"/>
      <w:numFmt w:val="bullet"/>
      <w:start w:val="1"/>
    </w:lvl>
  </w:abstractNum>
  <w:abstractNum w:abstractNumId="28">
    <w:nsid w:val="17304A67"/>
    <w:multiLevelType w:val="hybridMultilevel"/>
    <w:lvl w:ilvl="0">
      <w:lvlJc w:val="left"/>
      <w:lvlText w:val="•"/>
      <w:numFmt w:val="bullet"/>
      <w:start w:val="1"/>
    </w:lvl>
  </w:abstractNum>
  <w:abstractNum w:abstractNumId="29">
    <w:nsid w:val="2BB180D8"/>
    <w:multiLevelType w:val="hybridMultilevel"/>
    <w:lvl w:ilvl="0">
      <w:lvlJc w:val="left"/>
      <w:lvlText w:val="•"/>
      <w:numFmt w:val="bullet"/>
      <w:start w:val="1"/>
    </w:lvl>
    <w:lvl w:ilvl="1">
      <w:lvlJc w:val="left"/>
      <w:lvlText w:val="•"/>
      <w:numFmt w:val="bullet"/>
      <w:start w:val="1"/>
    </w:lvl>
  </w:abstractNum>
  <w:abstractNum w:abstractNumId="30">
    <w:nsid w:val="556B69ED"/>
    <w:multiLevelType w:val="hybridMultilevel"/>
    <w:lvl w:ilvl="0">
      <w:lvlJc w:val="left"/>
      <w:lvlText w:val="•"/>
      <w:numFmt w:val="bullet"/>
      <w:start w:val="1"/>
    </w:lvl>
  </w:abstractNum>
  <w:abstractNum w:abstractNumId="31">
    <w:nsid w:val="70836196"/>
    <w:multiLevelType w:val="hybridMultilevel"/>
    <w:lvl w:ilvl="0">
      <w:lvlJc w:val="left"/>
      <w:lvlText w:val="•"/>
      <w:numFmt w:val="bullet"/>
      <w:start w:val="1"/>
    </w:lvl>
  </w:abstractNum>
  <w:abstractNum w:abstractNumId="32">
    <w:nsid w:val="539F7F12"/>
    <w:multiLevelType w:val="hybridMultilevel"/>
    <w:lvl w:ilvl="0">
      <w:lvlJc w:val="left"/>
      <w:lvlText w:val="•"/>
      <w:numFmt w:val="bullet"/>
      <w:start w:val="1"/>
    </w:lvl>
  </w:abstractNum>
  <w:abstractNum w:abstractNumId="33">
    <w:nsid w:val="2817E7EC"/>
    <w:multiLevelType w:val="hybridMultilevel"/>
    <w:lvl w:ilvl="0">
      <w:lvlJc w:val="left"/>
      <w:lvlText w:val="•"/>
      <w:numFmt w:val="bullet"/>
      <w:start w:val="1"/>
    </w:lvl>
  </w:abstractNum>
  <w:abstractNum w:abstractNumId="34">
    <w:nsid w:val="71482545"/>
    <w:multiLevelType w:val="hybridMultilevel"/>
    <w:lvl w:ilvl="0">
      <w:lvlJc w:val="left"/>
      <w:lvlText w:val="•"/>
      <w:numFmt w:val="bullet"/>
      <w:start w:val="1"/>
    </w:lvl>
  </w:abstractNum>
  <w:abstractNum w:abstractNumId="35">
    <w:nsid w:val="17D78639"/>
    <w:multiLevelType w:val="hybridMultilevel"/>
    <w:lvl w:ilvl="0">
      <w:lvlJc w:val="left"/>
      <w:lvlText w:val="(%1)"/>
      <w:numFmt w:val="decimal"/>
      <w:start w:val="1"/>
    </w:lvl>
  </w:abstractNum>
  <w:abstractNum w:abstractNumId="36">
    <w:nsid w:val="141D2302"/>
    <w:multiLevelType w:val="hybridMultilevel"/>
    <w:lvl w:ilvl="0">
      <w:lvlJc w:val="left"/>
      <w:lvlText w:val="+"/>
      <w:numFmt w:val="bullet"/>
      <w:start w:val="1"/>
    </w:lvl>
  </w:abstractNum>
  <w:abstractNum w:abstractNumId="37">
    <w:nsid w:val="407168D8"/>
    <w:multiLevelType w:val="hybridMultilevel"/>
    <w:lvl w:ilvl="0">
      <w:lvlJc w:val="left"/>
      <w:lvlText w:val="†"/>
      <w:numFmt w:val="bullet"/>
      <w:start w:val="1"/>
    </w:lvl>
  </w:abstractNum>
  <w:abstractNum w:abstractNumId="38">
    <w:nsid w:val="6A1B45E5"/>
    <w:multiLevelType w:val="hybridMultilevel"/>
    <w:lvl w:ilvl="0">
      <w:lvlJc w:val="left"/>
      <w:lvlText w:val="*"/>
      <w:numFmt w:val="bullet"/>
      <w:start w:val="1"/>
    </w:lvl>
  </w:abstractNum>
  <w:abstractNum w:abstractNumId="39">
    <w:nsid w:val="567BD50A"/>
    <w:multiLevelType w:val="hybridMultilevel"/>
    <w:lvl w:ilvl="0">
      <w:lvlJc w:val="left"/>
      <w:lvlText w:val="+"/>
      <w:numFmt w:val="bullet"/>
      <w:start w:val="1"/>
    </w:lvl>
  </w:abstractNum>
  <w:abstractNum w:abstractNumId="40">
    <w:nsid w:val="73BBD7F8"/>
    <w:multiLevelType w:val="hybridMultilevel"/>
    <w:lvl w:ilvl="0">
      <w:lvlJc w:val="left"/>
      <w:lvlText w:val="†"/>
      <w:numFmt w:val="bullet"/>
      <w:start w:val="1"/>
    </w:lvl>
  </w:abstractNum>
  <w:abstractNum w:abstractNumId="41">
    <w:nsid w:val="1876589D"/>
    <w:multiLevelType w:val="hybridMultilevel"/>
    <w:lvl w:ilvl="0">
      <w:lvlJc w:val="left"/>
      <w:lvlText w:val="*"/>
      <w:numFmt w:val="bullet"/>
      <w:start w:val="1"/>
    </w:lvl>
  </w:abstractNum>
  <w:abstractNum w:abstractNumId="42">
    <w:nsid w:val="327FAC77"/>
    <w:multiLevelType w:val="hybridMultilevel"/>
    <w:lvl w:ilvl="0">
      <w:lvlJc w:val="left"/>
      <w:lvlText w:val="%1."/>
      <w:numFmt w:val="decimal"/>
      <w:start w:val="1"/>
    </w:lvl>
    <w:lvl w:ilvl="1">
      <w:lvlJc w:val="left"/>
      <w:lvlText w:val="(%2)"/>
      <w:numFmt w:val="lowerLetter"/>
      <w:start w:val="1"/>
    </w:lvl>
  </w:abstractNum>
  <w:abstractNum w:abstractNumId="43">
    <w:nsid w:val="5A606509"/>
    <w:multiLevelType w:val="hybridMultilevel"/>
    <w:lvl w:ilvl="0">
      <w:lvlJc w:val="left"/>
      <w:lvlText w:val="(%1)"/>
      <w:numFmt w:val="lowerLetter"/>
      <w:start w:val="7"/>
    </w:lvl>
  </w:abstractNum>
  <w:abstractNum w:abstractNumId="44">
    <w:nsid w:val="6F38E6D1"/>
    <w:multiLevelType w:val="hybridMultilevel"/>
    <w:lvl w:ilvl="0">
      <w:lvlJc w:val="left"/>
      <w:lvlText w:val="(%1)"/>
      <w:numFmt w:val="lowerLetter"/>
      <w:start w:val="17"/>
    </w:lvl>
  </w:abstractNum>
  <w:abstractNum w:abstractNumId="45">
    <w:nsid w:val="46111BA5"/>
    <w:multiLevelType w:val="hybridMultilevel"/>
    <w:lvl w:ilvl="0">
      <w:lvlJc w:val="left"/>
      <w:lvlText w:val="(%1)"/>
      <w:numFmt w:val="lowerLetter"/>
      <w:start w:val="23"/>
    </w:lvl>
    <w:lvl w:ilvl="1">
      <w:lvlJc w:val="left"/>
      <w:lvlText w:val="(%2)"/>
      <w:numFmt w:val="lowerLetter"/>
      <w:start w:val="27"/>
    </w:lvl>
  </w:abstractNum>
  <w:abstractNum w:abstractNumId="46">
    <w:nsid w:val="5E963896"/>
    <w:multiLevelType w:val="hybridMultilevel"/>
    <w:lvl w:ilvl="0">
      <w:lvlJc w:val="left"/>
      <w:lvlText w:val="(%1)"/>
      <w:numFmt w:val="lowerLetter"/>
      <w:start w:val="34"/>
    </w:lvl>
  </w:abstractNum>
  <w:abstractNum w:abstractNumId="47">
    <w:nsid w:val="775BA7C1"/>
    <w:multiLevelType w:val="hybridMultilevel"/>
    <w:lvl w:ilvl="0">
      <w:lvlJc w:val="left"/>
      <w:lvlText w:val="%1."/>
      <w:numFmt w:val="decimal"/>
      <w:start w:val="4"/>
    </w:lvl>
  </w:abstractNum>
  <w:abstractNum w:abstractNumId="48">
    <w:nsid w:val="1DD6D6F4"/>
    <w:multiLevelType w:val="hybridMultilevel"/>
    <w:lvl w:ilvl="0">
      <w:lvlJc w:val="left"/>
      <w:lvlText w:val="%1."/>
      <w:numFmt w:val="decimal"/>
      <w:start w:val="1"/>
    </w:lvl>
  </w:abstractNum>
  <w:abstractNum w:abstractNumId="49">
    <w:nsid w:val="769A091F"/>
    <w:multiLevelType w:val="hybridMultilevel"/>
    <w:lvl w:ilvl="0">
      <w:lvlJc w:val="left"/>
      <w:lvlText w:val="(%1)"/>
      <w:numFmt w:val="lowerLetter"/>
      <w:start w:val="1"/>
    </w:lvl>
  </w:abstractNum>
  <w:abstractNum w:abstractNumId="50">
    <w:nsid w:val="4695AE95"/>
    <w:multiLevelType w:val="hybridMultilevel"/>
    <w:lvl w:ilvl="0">
      <w:lvlJc w:val="left"/>
      <w:lvlText w:val="(%1)"/>
      <w:numFmt w:val="lowerLetter"/>
      <w:start w:val="6"/>
    </w:lvl>
  </w:abstractNum>
  <w:abstractNum w:abstractNumId="51">
    <w:nsid w:val="777A4EAA"/>
    <w:multiLevelType w:val="hybridMultilevel"/>
    <w:lvl w:ilvl="0">
      <w:lvlJc w:val="left"/>
      <w:lvlText w:val="%1."/>
      <w:numFmt w:val="decimal"/>
      <w:start w:val="3"/>
    </w:lvl>
  </w:abstractNum>
  <w:abstractNum w:abstractNumId="52">
    <w:nsid w:val="3F48B982"/>
    <w:multiLevelType w:val="hybridMultilevel"/>
    <w:lvl w:ilvl="0">
      <w:lvlJc w:val="left"/>
      <w:lvlText w:val="%1."/>
      <w:numFmt w:val="decimal"/>
      <w:start w:val="7"/>
    </w:lvl>
  </w:abstractNum>
  <w:abstractNum w:abstractNumId="53">
    <w:nsid w:val="46BA8FCA"/>
    <w:multiLevelType w:val="hybridMultilevel"/>
    <w:lvl w:ilvl="0">
      <w:lvlJc w:val="left"/>
      <w:lvlText w:val="%1."/>
      <w:numFmt w:val="decimal"/>
      <w:start w:val="9"/>
    </w:lvl>
  </w:abstractNum>
  <w:abstractNum w:abstractNumId="54">
    <w:nsid w:val="7835626C"/>
    <w:multiLevelType w:val="hybridMultilevel"/>
    <w:lvl w:ilvl="0">
      <w:lvlJc w:val="left"/>
      <w:lvlText w:val="%1."/>
      <w:numFmt w:val="decimal"/>
      <w:start w:val="12"/>
    </w:lvl>
  </w:abstractNum>
  <w:abstractNum w:abstractNumId="55">
    <w:nsid w:val="665ACA49"/>
    <w:multiLevelType w:val="hybridMultilevel"/>
    <w:lvl w:ilvl="0">
      <w:lvlJc w:val="left"/>
      <w:lvlText w:val="%1."/>
      <w:numFmt w:val="decimal"/>
      <w:start w:val="13"/>
    </w:lvl>
  </w:abstractNum>
  <w:abstractNum w:abstractNumId="56">
    <w:nsid w:val="6835B2AE"/>
    <w:multiLevelType w:val="hybridMultilevel"/>
    <w:lvl w:ilvl="0">
      <w:lvlJc w:val="left"/>
      <w:lvlText w:val="%1."/>
      <w:numFmt w:val="decimal"/>
      <w:start w:val="15"/>
    </w:lvl>
  </w:abstractNum>
  <w:abstractNum w:abstractNumId="57">
    <w:nsid w:val="4C187C90"/>
    <w:multiLevelType w:val="hybridMultilevel"/>
    <w:lvl w:ilvl="0">
      <w:lvlJc w:val="left"/>
      <w:lvlText w:val="%1."/>
      <w:numFmt w:val="decimal"/>
      <w:start w:val="17"/>
    </w:lvl>
  </w:abstractNum>
  <w:abstractNum w:abstractNumId="58">
    <w:nsid w:val="541F28CD"/>
    <w:multiLevelType w:val="hybridMultilevel"/>
    <w:lvl w:ilvl="0">
      <w:lvlJc w:val="left"/>
      <w:lvlText w:val="%1."/>
      <w:numFmt w:val="decimal"/>
      <w:start w:val="18"/>
    </w:lvl>
  </w:abstractNum>
  <w:abstractNum w:abstractNumId="59">
    <w:nsid w:val="7F65FD16"/>
    <w:multiLevelType w:val="hybridMultilevel"/>
    <w:lvl w:ilvl="0">
      <w:lvlJc w:val="left"/>
      <w:lvlText w:val="%1."/>
      <w:numFmt w:val="decimal"/>
      <w:start w:val="20"/>
    </w:lvl>
  </w:abstractNum>
  <w:abstractNum w:abstractNumId="60">
    <w:nsid w:val="77C9FD68"/>
    <w:multiLevelType w:val="hybridMultilevel"/>
    <w:lvl w:ilvl="0">
      <w:lvlJc w:val="left"/>
      <w:lvlText w:val="%1."/>
      <w:numFmt w:val="decimal"/>
      <w:start w:val="21"/>
    </w:lvl>
  </w:abstractNum>
  <w:abstractNum w:abstractNumId="61">
    <w:nsid w:val="298A92BA"/>
    <w:multiLevelType w:val="hybridMultilevel"/>
    <w:lvl w:ilvl="0">
      <w:lvlJc w:val="left"/>
      <w:lvlText w:val="%1."/>
      <w:numFmt w:val="decimal"/>
      <w:start w:val="25"/>
    </w:lvl>
  </w:abstractNum>
  <w:abstractNum w:abstractNumId="62">
    <w:nsid w:val="6FE95EAC"/>
    <w:multiLevelType w:val="hybridMultilevel"/>
    <w:lvl w:ilvl="0">
      <w:lvlJc w:val="left"/>
      <w:lvlText w:val="%1."/>
      <w:numFmt w:val="decimal"/>
      <w:start w:val="27"/>
    </w:lvl>
  </w:abstractNum>
  <w:abstractNum w:abstractNumId="63">
    <w:nsid w:val="4B697C7A"/>
    <w:multiLevelType w:val="hybridMultilevel"/>
    <w:lvl w:ilvl="0">
      <w:lvlJc w:val="left"/>
      <w:lvlText w:val="%1."/>
      <w:numFmt w:val="decimal"/>
      <w:start w:val="28"/>
    </w:lvl>
  </w:abstractNum>
  <w:abstractNum w:abstractNumId="64">
    <w:nsid w:val="51A27AA6"/>
    <w:multiLevelType w:val="hybridMultilevel"/>
    <w:lvl w:ilvl="0">
      <w:lvlJc w:val="left"/>
      <w:lvlText w:val="%1."/>
      <w:numFmt w:val="decimal"/>
      <w:start w:val="31"/>
    </w:lvl>
  </w:abstractNum>
  <w:abstractNum w:abstractNumId="65">
    <w:nsid w:val="613183F2"/>
    <w:multiLevelType w:val="hybridMultilevel"/>
    <w:lvl w:ilvl="0">
      <w:lvlJc w:val="left"/>
      <w:lvlText w:val="%1."/>
      <w:numFmt w:val="decimal"/>
      <w:start w:val="32"/>
    </w:lvl>
  </w:abstractNum>
  <w:abstractNum w:abstractNumId="66">
    <w:nsid w:val="634102B4"/>
    <w:multiLevelType w:val="hybridMultilevel"/>
    <w:lvl w:ilvl="0">
      <w:lvlJc w:val="left"/>
      <w:lvlText w:val="%1."/>
      <w:numFmt w:val="decimal"/>
      <w:start w:val="34"/>
    </w:lvl>
  </w:abstractNum>
  <w:abstractNum w:abstractNumId="67">
    <w:nsid w:val="65BF9DA8"/>
    <w:multiLevelType w:val="hybridMultilevel"/>
    <w:lvl w:ilvl="0">
      <w:lvlJc w:val="left"/>
      <w:lvlText w:val="%1."/>
      <w:numFmt w:val="decimal"/>
      <w:start w:val="37"/>
    </w:lvl>
  </w:abstractNum>
  <w:abstractNum w:abstractNumId="68">
    <w:nsid w:val="21A2ECCA"/>
    <w:multiLevelType w:val="hybridMultilevel"/>
    <w:lvl w:ilvl="0">
      <w:lvlJc w:val="left"/>
      <w:lvlText w:val="%1."/>
      <w:numFmt w:val="decimal"/>
      <w:start w:val="40"/>
    </w:lvl>
  </w:abstractNum>
  <w:abstractNum w:abstractNumId="69">
    <w:nsid w:val="4D5C4899"/>
    <w:multiLevelType w:val="hybridMultilevel"/>
    <w:lvl w:ilvl="0">
      <w:lvlJc w:val="left"/>
      <w:lvlText w:val="%1."/>
      <w:numFmt w:val="decimal"/>
      <w:start w:val="42"/>
    </w:lvl>
  </w:abstractNum>
  <w:abstractNum w:abstractNumId="70">
    <w:nsid w:val="3C3B72B2"/>
    <w:multiLevelType w:val="hybridMultilevel"/>
    <w:lvl w:ilvl="0">
      <w:lvlJc w:val="left"/>
      <w:lvlText w:val="%1."/>
      <w:numFmt w:val="decimal"/>
      <w:start w:val="50"/>
    </w:lvl>
  </w:abstractNum>
  <w:abstractNum w:abstractNumId="71">
    <w:nsid w:val="155EC4C2"/>
    <w:multiLevelType w:val="hybridMultilevel"/>
    <w:lvl w:ilvl="0">
      <w:lvlJc w:val="left"/>
      <w:lvlText w:val="%1."/>
      <w:numFmt w:val="decimal"/>
      <w:start w:val="51"/>
    </w:lvl>
  </w:abstractNum>
  <w:abstractNum w:abstractNumId="72">
    <w:nsid w:val="65D2A137"/>
    <w:multiLevelType w:val="hybridMultilevel"/>
    <w:lvl w:ilvl="0">
      <w:lvlJc w:val="left"/>
      <w:lvlText w:val="%1."/>
      <w:numFmt w:val="decimal"/>
      <w:start w:val="59"/>
    </w:lvl>
  </w:abstractNum>
  <w:abstractNum w:abstractNumId="73">
    <w:nsid w:val="6EBB1F2A"/>
    <w:multiLevelType w:val="hybridMultilevel"/>
    <w:lvl w:ilvl="0">
      <w:lvlJc w:val="left"/>
      <w:lvlText w:val="%1."/>
      <w:numFmt w:val="decimal"/>
      <w:start w:val="60"/>
    </w:lvl>
  </w:abstractNum>
  <w:abstractNum w:abstractNumId="74">
    <w:nsid w:val="6FBF29CB"/>
    <w:multiLevelType w:val="hybridMultilevel"/>
    <w:lvl w:ilvl="0">
      <w:lvlJc w:val="left"/>
      <w:lvlText w:val="%1."/>
      <w:numFmt w:val="decimal"/>
      <w:start w:val="65"/>
    </w:lvl>
  </w:abstractNum>
  <w:abstractNum w:abstractNumId="75">
    <w:nsid w:val="550B8808"/>
    <w:multiLevelType w:val="hybridMultilevel"/>
    <w:lvl w:ilvl="0">
      <w:lvlJc w:val="left"/>
      <w:lvlText w:val="%1."/>
      <w:numFmt w:val="decimal"/>
      <w:start w:val="68"/>
    </w:lvl>
  </w:abstractNum>
  <w:abstractNum w:abstractNumId="76">
    <w:nsid w:val="34CC3ACF"/>
    <w:multiLevelType w:val="hybridMultilevel"/>
    <w:lvl w:ilvl="0">
      <w:lvlJc w:val="left"/>
      <w:lvlText w:val="%1."/>
      <w:numFmt w:val="decimal"/>
      <w:start w:val="71"/>
    </w:lvl>
  </w:abstractNum>
  <w:abstractNum w:abstractNumId="77">
    <w:nsid w:val="4E556261"/>
    <w:multiLevelType w:val="hybridMultilevel"/>
    <w:lvl w:ilvl="0">
      <w:lvlJc w:val="left"/>
      <w:lvlText w:val="%1."/>
      <w:numFmt w:val="decimal"/>
      <w:start w:val="76"/>
    </w:lvl>
  </w:abstractNum>
  <w:abstractNum w:abstractNumId="78">
    <w:nsid w:val="4C672FC9"/>
    <w:multiLevelType w:val="hybridMultilevel"/>
    <w:lvl w:ilvl="0">
      <w:lvlJc w:val="left"/>
      <w:lvlText w:val="%1."/>
      <w:numFmt w:val="decimal"/>
      <w:start w:val="82"/>
    </w:lvl>
  </w:abstractNum>
  <w:abstractNum w:abstractNumId="79">
    <w:nsid w:val="52A311C3"/>
    <w:multiLevelType w:val="hybridMultilevel"/>
    <w:lvl w:ilvl="0">
      <w:lvlJc w:val="left"/>
      <w:lvlText w:val="%1."/>
      <w:numFmt w:val="decimal"/>
      <w:start w:val="83"/>
    </w:lvl>
  </w:abstractNum>
  <w:abstractNum w:abstractNumId="80">
    <w:nsid w:val="44EF6B80"/>
    <w:multiLevelType w:val="hybridMultilevel"/>
    <w:lvl w:ilvl="0">
      <w:lvlJc w:val="left"/>
      <w:lvlText w:val="(%1)"/>
      <w:numFmt w:val="lowerLetter"/>
      <w:start w:val="1"/>
    </w:lvl>
  </w:abstractNum>
  <w:abstractNum w:abstractNumId="81">
    <w:nsid w:val="12FCDE5E"/>
    <w:multiLevelType w:val="hybridMultilevel"/>
    <w:lvl w:ilvl="0">
      <w:lvlJc w:val="left"/>
      <w:lvlText w:val="(%1)"/>
      <w:numFmt w:val="lowerLetter"/>
      <w:start w:val="3"/>
    </w:lvl>
  </w:abstractNum>
  <w:abstractNum w:abstractNumId="82">
    <w:nsid w:val="4A1D606E"/>
    <w:multiLevelType w:val="hybridMultilevel"/>
    <w:lvl w:ilvl="0">
      <w:lvlJc w:val="left"/>
      <w:lvlText w:val="%1."/>
      <w:numFmt w:val="decimal"/>
      <w:start w:val="90"/>
    </w:lvl>
  </w:abstractNum>
  <w:abstractNum w:abstractNumId="83">
    <w:nsid w:val="4382503"/>
    <w:multiLevelType w:val="hybridMultilevel"/>
    <w:lvl w:ilvl="0">
      <w:lvlJc w:val="left"/>
      <w:lvlText w:val="%1."/>
      <w:numFmt w:val="decimal"/>
      <w:start w:val="97"/>
    </w:lvl>
  </w:abstractNum>
  <w:abstractNum w:abstractNumId="84">
    <w:nsid w:val="59B76E28"/>
    <w:multiLevelType w:val="hybridMultilevel"/>
    <w:lvl w:ilvl="0">
      <w:lvlJc w:val="left"/>
      <w:lvlText w:val="%1."/>
      <w:numFmt w:val="decimal"/>
      <w:start w:val="99"/>
    </w:lvl>
  </w:abstractNum>
  <w:abstractNum w:abstractNumId="85">
    <w:nsid w:val="4252C2DA"/>
    <w:multiLevelType w:val="hybridMultilevel"/>
    <w:lvl w:ilvl="0">
      <w:lvlJc w:val="left"/>
      <w:lvlText w:val="%1."/>
      <w:numFmt w:val="decimal"/>
      <w:start w:val="101"/>
    </w:lvl>
  </w:abstractNum>
  <w:abstractNum w:abstractNumId="86">
    <w:nsid w:val="6A92EF4C"/>
    <w:multiLevelType w:val="hybridMultilevel"/>
    <w:lvl w:ilvl="0">
      <w:lvlJc w:val="left"/>
      <w:lvlText w:val="%1."/>
      <w:numFmt w:val="decimal"/>
      <w:start w:val="108"/>
    </w:lvl>
  </w:abstractNum>
  <w:abstractNum w:abstractNumId="87">
    <w:nsid w:val="41ED20D7"/>
    <w:multiLevelType w:val="hybridMultilevel"/>
    <w:lvl w:ilvl="0">
      <w:lvlJc w:val="left"/>
      <w:lvlText w:val="%1."/>
      <w:numFmt w:val="decimal"/>
      <w:start w:val="113"/>
    </w:lvl>
  </w:abstractNum>
  <w:abstractNum w:abstractNumId="88">
    <w:nsid w:val="E6B3F6A"/>
    <w:multiLevelType w:val="hybridMultilevel"/>
    <w:lvl w:ilvl="0">
      <w:lvlJc w:val="left"/>
      <w:lvlText w:val="%1."/>
      <w:numFmt w:val="decimal"/>
      <w:start w:val="116"/>
    </w:lvl>
  </w:abstractNum>
  <w:abstractNum w:abstractNumId="89">
    <w:nsid w:val="3EB21819"/>
    <w:multiLevelType w:val="hybridMultilevel"/>
    <w:lvl w:ilvl="0">
      <w:lvlJc w:val="left"/>
      <w:lvlText w:val="%1."/>
      <w:numFmt w:val="decimal"/>
      <w:start w:val="118"/>
    </w:lvl>
  </w:abstractNum>
  <w:abstractNum w:abstractNumId="90">
    <w:nsid w:val="41531DED"/>
    <w:multiLevelType w:val="hybridMultilevel"/>
    <w:lvl w:ilvl="0">
      <w:lvlJc w:val="left"/>
      <w:lvlText w:val="%1."/>
      <w:numFmt w:val="decimal"/>
      <w:start w:val="123"/>
    </w:lvl>
  </w:abstractNum>
  <w:abstractNum w:abstractNumId="91">
    <w:nsid w:val="6353CD2"/>
    <w:multiLevelType w:val="hybridMultilevel"/>
    <w:lvl w:ilvl="0">
      <w:lvlJc w:val="left"/>
      <w:lvlText w:val="%1."/>
      <w:numFmt w:val="decimal"/>
      <w:start w:val="131"/>
    </w:lvl>
  </w:abstractNum>
  <w:abstractNum w:abstractNumId="92">
    <w:nsid w:val="683CAAD3"/>
    <w:multiLevelType w:val="hybridMultilevel"/>
    <w:lvl w:ilvl="0">
      <w:lvlJc w:val="left"/>
      <w:lvlText w:val="%1."/>
      <w:numFmt w:val="decimal"/>
      <w:start w:val="132"/>
    </w:lvl>
  </w:abstractNum>
  <w:abstractNum w:abstractNumId="93">
    <w:nsid w:val="313C7C99"/>
    <w:multiLevelType w:val="hybridMultilevel"/>
    <w:lvl w:ilvl="0">
      <w:lvlJc w:val="left"/>
      <w:lvlText w:val="%1."/>
      <w:numFmt w:val="decimal"/>
      <w:start w:val="133"/>
    </w:lvl>
  </w:abstractNum>
  <w:abstractNum w:abstractNumId="94">
    <w:nsid w:val="519EB94C"/>
    <w:multiLevelType w:val="hybridMultilevel"/>
    <w:lvl w:ilvl="0">
      <w:lvlJc w:val="left"/>
      <w:lvlText w:val="%1."/>
      <w:numFmt w:val="decimal"/>
      <w:start w:val="136"/>
    </w:lvl>
  </w:abstractNum>
  <w:abstractNum w:abstractNumId="95">
    <w:nsid w:val="39DF2579"/>
    <w:multiLevelType w:val="hybridMultilevel"/>
    <w:lvl w:ilvl="0">
      <w:lvlJc w:val="left"/>
      <w:lvlText w:val="%1."/>
      <w:numFmt w:val="decimal"/>
      <w:start w:val="137"/>
    </w:lvl>
  </w:abstractNum>
  <w:abstractNum w:abstractNumId="96">
    <w:nsid w:val="126E008B"/>
    <w:multiLevelType w:val="hybridMultilevel"/>
    <w:lvl w:ilvl="0">
      <w:lvlJc w:val="left"/>
      <w:lvlText w:val="%1."/>
      <w:numFmt w:val="decimal"/>
      <w:start w:val="138"/>
    </w:lvl>
  </w:abstractNum>
  <w:abstractNum w:abstractNumId="97">
    <w:nsid w:val="34DFBC00"/>
    <w:multiLevelType w:val="hybridMultilevel"/>
    <w:lvl w:ilvl="0">
      <w:lvlJc w:val="left"/>
      <w:lvlText w:val="%1."/>
      <w:numFmt w:val="decimal"/>
      <w:start w:val="146"/>
    </w:lvl>
  </w:abstractNum>
  <w:abstractNum w:abstractNumId="98">
    <w:nsid w:val="1F9EC322"/>
    <w:multiLevelType w:val="hybridMultilevel"/>
    <w:lvl w:ilvl="0">
      <w:lvlJc w:val="left"/>
      <w:lvlText w:val="%1."/>
      <w:numFmt w:val="decimal"/>
      <w:start w:val="147"/>
    </w:lvl>
  </w:abstractNum>
  <w:abstractNum w:abstractNumId="99">
    <w:nsid w:val="3410ED56"/>
    <w:multiLevelType w:val="hybridMultilevel"/>
    <w:lvl w:ilvl="0">
      <w:lvlJc w:val="left"/>
      <w:lvlText w:val="%1."/>
      <w:numFmt w:val="decimal"/>
      <w:start w:val="149"/>
    </w:lvl>
  </w:abstractNum>
  <w:abstractNum w:abstractNumId="100">
    <w:nsid w:val="23C049A"/>
    <w:multiLevelType w:val="hybridMultilevel"/>
    <w:lvl w:ilvl="0">
      <w:lvlJc w:val="left"/>
      <w:lvlText w:val="%1."/>
      <w:numFmt w:val="decimal"/>
      <w:start w:val="151"/>
    </w:lvl>
  </w:abstractNum>
  <w:abstractNum w:abstractNumId="101">
    <w:nsid w:val="5BDA35D4"/>
    <w:multiLevelType w:val="hybridMultilevel"/>
    <w:lvl w:ilvl="0">
      <w:lvlJc w:val="left"/>
      <w:lvlText w:val="%1."/>
      <w:numFmt w:val="decimal"/>
      <w:start w:val="154"/>
    </w:lvl>
  </w:abstractNum>
  <w:abstractNum w:abstractNumId="102">
    <w:nsid w:val="496FB218"/>
    <w:multiLevelType w:val="hybridMultilevel"/>
    <w:lvl w:ilvl="0">
      <w:lvlJc w:val="left"/>
      <w:lvlText w:val="%1."/>
      <w:numFmt w:val="decimal"/>
      <w:start w:val="156"/>
    </w:lvl>
  </w:abstractNum>
  <w:abstractNum w:abstractNumId="103">
    <w:nsid w:val="680EA5D1"/>
    <w:multiLevelType w:val="hybridMultilevel"/>
    <w:lvl w:ilvl="0">
      <w:lvlJc w:val="left"/>
      <w:lvlText w:val="%1."/>
      <w:numFmt w:val="decimal"/>
      <w:start w:val="164"/>
    </w:lvl>
  </w:abstractNum>
  <w:abstractNum w:abstractNumId="104">
    <w:nsid w:val="4A9554FE"/>
    <w:multiLevelType w:val="hybridMultilevel"/>
    <w:lvl w:ilvl="0">
      <w:lvlJc w:val="left"/>
      <w:lvlText w:val="%1."/>
      <w:numFmt w:val="decimal"/>
      <w:start w:val="166"/>
    </w:lvl>
  </w:abstractNum>
  <w:abstractNum w:abstractNumId="105">
    <w:nsid w:val="392EDBE4"/>
    <w:multiLevelType w:val="hybridMultilevel"/>
    <w:lvl w:ilvl="0">
      <w:lvlJc w:val="left"/>
      <w:lvlText w:val="%1."/>
      <w:numFmt w:val="decimal"/>
      <w:start w:val="167"/>
    </w:lvl>
  </w:abstractNum>
  <w:abstractNum w:abstractNumId="106">
    <w:nsid w:val="3D1A2DD9"/>
    <w:multiLevelType w:val="hybridMultilevel"/>
    <w:lvl w:ilvl="0">
      <w:lvlJc w:val="left"/>
      <w:lvlText w:val="%1."/>
      <w:numFmt w:val="decimal"/>
      <w:start w:val="168"/>
    </w:lvl>
  </w:abstractNum>
  <w:abstractNum w:abstractNumId="107">
    <w:nsid w:val="7F618FCD"/>
    <w:multiLevelType w:val="hybridMultilevel"/>
    <w:lvl w:ilvl="0">
      <w:lvlJc w:val="left"/>
      <w:lvlText w:val="%1."/>
      <w:numFmt w:val="decimal"/>
      <w:start w:val="173"/>
    </w:lvl>
  </w:abstractNum>
  <w:abstractNum w:abstractNumId="108">
    <w:nsid w:val="7843E45"/>
    <w:multiLevelType w:val="hybridMultilevel"/>
    <w:lvl w:ilvl="0">
      <w:lvlJc w:val="left"/>
      <w:lvlText w:val="%1."/>
      <w:numFmt w:val="decimal"/>
      <w:start w:val="174"/>
    </w:lvl>
    <w:lvl w:ilvl="1">
      <w:lvlJc w:val="left"/>
      <w:lvlText w:val="(%2)"/>
      <w:numFmt w:val="lowerLetter"/>
      <w:start w:val="1"/>
    </w:lvl>
  </w:abstractNum>
  <w:abstractNum w:abstractNumId="109">
    <w:nsid w:val="9815DA3"/>
    <w:multiLevelType w:val="hybridMultilevel"/>
    <w:lvl w:ilvl="0">
      <w:lvlJc w:val="left"/>
      <w:lvlText w:val="(%1)"/>
      <w:numFmt w:val="lowerLetter"/>
      <w:start w:val="3"/>
    </w:lvl>
  </w:abstractNum>
  <w:abstractNum w:abstractNumId="110">
    <w:nsid w:val="5204A191"/>
    <w:multiLevelType w:val="hybridMultilevel"/>
    <w:lvl w:ilvl="0">
      <w:lvlJc w:val="left"/>
      <w:lvlText w:val="%1."/>
      <w:numFmt w:val="decimal"/>
      <w:start w:val="175"/>
    </w:lvl>
  </w:abstractNum>
  <w:abstractNum w:abstractNumId="111">
    <w:nsid w:val="4C73A9C6"/>
    <w:multiLevelType w:val="hybridMultilevel"/>
    <w:lvl w:ilvl="0">
      <w:lvlJc w:val="left"/>
      <w:lvlText w:val="%1."/>
      <w:numFmt w:val="decimal"/>
      <w:start w:val="177"/>
    </w:lvl>
  </w:abstractNum>
  <w:abstractNum w:abstractNumId="112">
    <w:nsid w:val="1C7E3C01"/>
    <w:multiLevelType w:val="hybridMultilevel"/>
    <w:lvl w:ilvl="0">
      <w:lvlJc w:val="left"/>
      <w:lvlText w:val="(%1)"/>
      <w:numFmt w:val="lowerLetter"/>
      <w:start w:val="1"/>
    </w:lvl>
  </w:abstractNum>
  <w:abstractNum w:abstractNumId="113">
    <w:nsid w:val="1C2201FF"/>
    <w:multiLevelType w:val="hybridMultilevel"/>
    <w:lvl w:ilvl="0">
      <w:lvlJc w:val="left"/>
      <w:lvlText w:val="(%1)"/>
      <w:numFmt w:val="lowerLetter"/>
      <w:start w:val="2"/>
    </w:lvl>
  </w:abstractNum>
  <w:abstractNum w:abstractNumId="114">
    <w:nsid w:val="50ABCEC9"/>
    <w:multiLevelType w:val="hybridMultilevel"/>
    <w:lvl w:ilvl="0">
      <w:lvlJc w:val="left"/>
      <w:lvlText w:val="%1."/>
      <w:numFmt w:val="decimal"/>
      <w:start w:val="180"/>
    </w:lvl>
    <w:lvl w:ilvl="1">
      <w:lvlJc w:val="left"/>
      <w:lvlText w:val="(%2)"/>
      <w:numFmt w:val="lowerLetter"/>
      <w:start w:val="1"/>
    </w:lvl>
  </w:abstractNum>
  <w:abstractNum w:abstractNumId="115">
    <w:nsid w:val="7635AA2A"/>
    <w:multiLevelType w:val="hybridMultilevel"/>
    <w:lvl w:ilvl="0">
      <w:lvlJc w:val="left"/>
      <w:lvlText w:val="%1."/>
      <w:numFmt w:val="decimal"/>
      <w:start w:val="181"/>
    </w:lvl>
  </w:abstractNum>
  <w:abstractNum w:abstractNumId="116">
    <w:nsid w:val="5E74C4D9"/>
    <w:multiLevelType w:val="hybridMultilevel"/>
    <w:lvl w:ilvl="0">
      <w:lvlJc w:val="left"/>
      <w:lvlText w:val="%1."/>
      <w:numFmt w:val="decimal"/>
      <w:start w:val="184"/>
    </w:lvl>
  </w:abstractNum>
  <w:abstractNum w:abstractNumId="117">
    <w:nsid w:val="3B3EBE15"/>
    <w:multiLevelType w:val="hybridMultilevel"/>
    <w:lvl w:ilvl="0">
      <w:lvlJc w:val="left"/>
      <w:lvlText w:val="(%1)"/>
      <w:numFmt w:val="lowerLetter"/>
      <w:start w:val="1"/>
    </w:lvl>
  </w:abstractNum>
  <w:abstractNum w:abstractNumId="118">
    <w:nsid w:val="3822CB01"/>
    <w:multiLevelType w:val="hybridMultilevel"/>
    <w:lvl w:ilvl="0">
      <w:lvlJc w:val="left"/>
      <w:lvlText w:val="(%1)"/>
      <w:numFmt w:val="lowerLetter"/>
      <w:start w:val="1"/>
    </w:lvl>
  </w:abstractNum>
  <w:abstractNum w:abstractNumId="119">
    <w:nsid w:val="6CE00443"/>
    <w:multiLevelType w:val="hybridMultilevel"/>
    <w:lvl w:ilvl="0">
      <w:lvlJc w:val="left"/>
      <w:lvlText w:val="(%1)"/>
      <w:numFmt w:val="lowerLetter"/>
      <w:start w:val="1"/>
    </w:lvl>
  </w:abstractNum>
  <w:abstractNum w:abstractNumId="120">
    <w:nsid w:val="79F0D62F"/>
    <w:multiLevelType w:val="hybridMultilevel"/>
    <w:lvl w:ilvl="0">
      <w:lvlJc w:val="left"/>
      <w:lvlText w:val="(%1)"/>
      <w:numFmt w:val="lowerLetter"/>
      <w:start w:val="1"/>
    </w:lvl>
  </w:abstractNum>
  <w:abstractNum w:abstractNumId="121">
    <w:nsid w:val="7975E8EE"/>
    <w:multiLevelType w:val="hybridMultilevel"/>
    <w:lvl w:ilvl="0">
      <w:lvlJc w:val="left"/>
      <w:lvlText w:val="(%1)"/>
      <w:numFmt w:val="lowerLetter"/>
      <w:start w:val="3"/>
    </w:lvl>
  </w:abstractNum>
  <w:abstractNum w:abstractNumId="122">
    <w:nsid w:val="73154115"/>
    <w:multiLevelType w:val="hybridMultilevel"/>
    <w:lvl w:ilvl="0">
      <w:lvlJc w:val="left"/>
      <w:lvlText w:val="%1"/>
      <w:numFmt w:val="upperLetter"/>
      <w:start w:val="1"/>
    </w:lvl>
    <w:lvl w:ilvl="1">
      <w:lvlJc w:val="left"/>
      <w:lvlText w:val="(%2)"/>
      <w:numFmt w:val="lowerLetter"/>
      <w:start w:val="8"/>
    </w:lvl>
    <w:lvl w:ilvl="2">
      <w:lvlJc w:val="left"/>
      <w:lvlText w:val="%3"/>
      <w:numFmt w:val="decimal"/>
      <w:start w:val="1"/>
    </w:lvl>
  </w:abstractNum>
  <w:abstractNum w:abstractNumId="123">
    <w:nsid w:val="622D8102"/>
    <w:multiLevelType w:val="hybridMultilevel"/>
    <w:lvl w:ilvl="0">
      <w:lvlJc w:val="left"/>
      <w:lvlText w:val="(%1)"/>
      <w:numFmt w:val="upperLetter"/>
      <w:start w:val="3"/>
    </w:lvl>
    <w:lvl w:ilvl="1">
      <w:lvlJc w:val="left"/>
      <w:lvlText w:val="(%2)"/>
      <w:numFmt w:val="lowerLetter"/>
      <w:start w:val="9"/>
    </w:lvl>
    <w:lvl w:ilvl="2">
      <w:lvlJc w:val="left"/>
      <w:lvlText w:val="(%3)"/>
      <w:numFmt w:val="decimal"/>
      <w:start w:val="1"/>
    </w:lvl>
  </w:abstractNum>
  <w:abstractNum w:abstractNumId="124">
    <w:nsid w:val="2AB26587"/>
    <w:multiLevelType w:val="hybridMultilevel"/>
    <w:lvl w:ilvl="0">
      <w:lvlJc w:val="left"/>
      <w:lvlText w:val="%1"/>
      <w:numFmt w:val="lowerLetter"/>
      <w:start w:val="1"/>
    </w:lvl>
    <w:lvl w:ilvl="1">
      <w:lvlJc w:val="left"/>
      <w:lvlText w:val="(%2)"/>
      <w:numFmt w:val="decimal"/>
      <w:start w:val="3"/>
    </w:lvl>
  </w:abstractNum>
  <w:abstractNum w:abstractNumId="125">
    <w:nsid w:val="44B3FA61"/>
    <w:multiLevelType w:val="hybridMultilevel"/>
    <w:lvl w:ilvl="0">
      <w:lvlJc w:val="left"/>
      <w:lvlText w:val="(%1)"/>
      <w:numFmt w:val="lowerLetter"/>
      <w:start w:val="10"/>
    </w:lvl>
    <w:lvl w:ilvl="1">
      <w:lvlJc w:val="left"/>
      <w:lvlText w:val="%2"/>
      <w:numFmt w:val="decimal"/>
      <w:start w:val="1"/>
    </w:lvl>
  </w:abstractNum>
  <w:abstractNum w:abstractNumId="126">
    <w:nsid w:val="1C0CA67C"/>
    <w:multiLevelType w:val="hybridMultilevel"/>
    <w:lvl w:ilvl="0">
      <w:lvlJc w:val="left"/>
      <w:lvlText w:val="(%1)"/>
      <w:numFmt w:val="lowerLetter"/>
      <w:start w:val="11"/>
    </w:lvl>
  </w:abstractNum>
  <w:abstractNum w:abstractNumId="127">
    <w:nsid w:val="3D206613"/>
    <w:multiLevelType w:val="hybridMultilevel"/>
    <w:lvl w:ilvl="0">
      <w:lvlJc w:val="left"/>
      <w:lvlText w:val="(%1)"/>
      <w:numFmt w:val="decimal"/>
      <w:start w:val="2"/>
    </w:lvl>
  </w:abstractNum>
  <w:abstractNum w:abstractNumId="128">
    <w:nsid w:val="7993B662"/>
    <w:multiLevelType w:val="hybridMultilevel"/>
    <w:lvl w:ilvl="0">
      <w:lvlJc w:val="left"/>
      <w:lvlText w:val="(%1)"/>
      <w:numFmt w:val="lowerLetter"/>
      <w:start w:val="1"/>
    </w:lvl>
  </w:abstractNum>
  <w:abstractNum w:abstractNumId="129">
    <w:nsid w:val="3BAB699E"/>
    <w:multiLevelType w:val="hybridMultilevel"/>
    <w:lvl w:ilvl="0">
      <w:lvlJc w:val="left"/>
      <w:lvlText w:val="(%1)"/>
      <w:numFmt w:val="lowerLetter"/>
      <w:start w:val="2"/>
    </w:lvl>
  </w:abstractNum>
  <w:abstractNum w:abstractNumId="130">
    <w:nsid w:val="71315369"/>
    <w:multiLevelType w:val="hybridMultilevel"/>
    <w:lvl w:ilvl="0">
      <w:lvlJc w:val="left"/>
      <w:lvlText w:val="•"/>
      <w:numFmt w:val="bullet"/>
      <w:start w:val="1"/>
    </w:lvl>
  </w:abstractNum>
  <w:abstractNum w:abstractNumId="131">
    <w:nsid w:val="7BCFBAFC"/>
    <w:multiLevelType w:val="hybridMultilevel"/>
    <w:lvl w:ilvl="0">
      <w:lvlJc w:val="left"/>
      <w:lvlText w:val="(%1)"/>
      <w:numFmt w:val="lowerLetter"/>
      <w:start w:val="25"/>
    </w:lvl>
    <w:lvl w:ilvl="1">
      <w:lvlJc w:val="left"/>
      <w:lvlText w:val="-"/>
      <w:numFmt w:val="bullet"/>
      <w:start w:val="1"/>
    </w:lvl>
  </w:abstractNum>
  <w:abstractNum w:abstractNumId="132">
    <w:nsid w:val="17859F72"/>
    <w:multiLevelType w:val="hybridMultilevel"/>
    <w:lvl w:ilvl="0">
      <w:lvlJc w:val="left"/>
      <w:lvlText w:val="(%1)"/>
      <w:numFmt w:val="lowerLetter"/>
      <w:start w:val="1"/>
    </w:lvl>
    <w:lvl w:ilvl="1">
      <w:lvlJc w:val="left"/>
      <w:lvlText w:val="(%2)"/>
      <w:numFmt w:val="lowerRoman"/>
      <w:start w:val="1"/>
    </w:lvl>
  </w:abstractNum>
  <w:abstractNum w:abstractNumId="133">
    <w:nsid w:val="3AA10581"/>
    <w:multiLevelType w:val="hybridMultilevel"/>
    <w:lvl w:ilvl="0">
      <w:lvlJc w:val="left"/>
      <w:lvlText w:val="(%1)"/>
      <w:numFmt w:val="lowerLetter"/>
      <w:start w:val="2"/>
    </w:lvl>
  </w:abstractNum>
  <w:abstractNum w:abstractNumId="134">
    <w:nsid w:val="63DE60CD"/>
    <w:multiLevelType w:val="hybridMultilevel"/>
    <w:lvl w:ilvl="0">
      <w:lvlJc w:val="left"/>
      <w:lvlText w:val="(%1)"/>
      <w:numFmt w:val="lowerRoman"/>
      <w:start w:val="3"/>
    </w:lvl>
  </w:abstractNum>
  <w:abstractNum w:abstractNumId="135">
    <w:nsid w:val="621AF471"/>
    <w:multiLevelType w:val="hybridMultilevel"/>
    <w:lvl w:ilvl="0">
      <w:lvlJc w:val="left"/>
      <w:lvlText w:val="(%1)"/>
      <w:numFmt w:val="lowerRoman"/>
      <w:start w:val="3"/>
    </w:lvl>
    <w:lvl w:ilvl="1">
      <w:lvlJc w:val="left"/>
      <w:lvlText w:val="-"/>
      <w:numFmt w:val="bullet"/>
      <w:start w:val="1"/>
    </w:lvl>
  </w:abstractNum>
  <w:abstractNum w:abstractNumId="136">
    <w:nsid w:val="73CFE165"/>
    <w:multiLevelType w:val="hybridMultilevel"/>
    <w:lvl w:ilvl="0">
      <w:lvlJc w:val="left"/>
      <w:lvlText w:val="(%1)"/>
      <w:numFmt w:val="lowerRoman"/>
      <w:start w:val="2"/>
    </w:lvl>
  </w:abstractNum>
  <w:abstractNum w:abstractNumId="137">
    <w:nsid w:val="20F88EA6"/>
    <w:multiLevelType w:val="hybridMultilevel"/>
    <w:lvl w:ilvl="0">
      <w:lvlJc w:val="left"/>
      <w:lvlText w:val="(%1)"/>
      <w:numFmt w:val="lowerRoman"/>
      <w:start w:val="1"/>
    </w:lvl>
  </w:abstractNum>
  <w:abstractNum w:abstractNumId="138">
    <w:nsid w:val="617C843E"/>
    <w:multiLevelType w:val="hybridMultilevel"/>
    <w:lvl w:ilvl="0">
      <w:lvlJc w:val="left"/>
      <w:lvlText w:val="(%1)"/>
      <w:numFmt w:val="lowerRoman"/>
      <w:start w:val="1"/>
    </w:lvl>
    <w:lvl w:ilvl="1">
      <w:lvlJc w:val="left"/>
      <w:lvlText w:val="-"/>
      <w:numFmt w:val="bullet"/>
      <w:start w:val="1"/>
    </w:lvl>
  </w:abstractNum>
  <w:abstractNum w:abstractNumId="139">
    <w:nsid w:val="7B541FAB"/>
    <w:multiLevelType w:val="hybridMultilevel"/>
    <w:lvl w:ilvl="0">
      <w:lvlJc w:val="left"/>
      <w:lvlText w:val="(%1)"/>
      <w:numFmt w:val="lowerRoman"/>
      <w:start w:val="6"/>
    </w:lvl>
  </w:abstractNum>
  <w:abstractNum w:abstractNumId="140">
    <w:nsid w:val="2A79EC49"/>
    <w:multiLevelType w:val="hybridMultilevel"/>
    <w:lvl w:ilvl="0">
      <w:lvlJc w:val="left"/>
      <w:lvlText w:val="(%1)"/>
      <w:numFmt w:val="lowerLetter"/>
      <w:start w:val="1"/>
    </w:lvl>
  </w:abstractNum>
  <w:abstractNum w:abstractNumId="141">
    <w:nsid w:val="338125C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42">
    <w:nsid w:val="47C7C971"/>
    <w:multiLevelType w:val="hybridMultilevel"/>
    <w:lvl w:ilvl="0">
      <w:lvlJc w:val="left"/>
      <w:lvlText w:val="(%1)"/>
      <w:numFmt w:val="lowerRoman"/>
      <w:start w:val="2"/>
    </w:lvl>
  </w:abstractNum>
  <w:abstractNum w:abstractNumId="143">
    <w:nsid w:val="46F8284B"/>
    <w:multiLevelType w:val="hybridMultilevel"/>
    <w:lvl w:ilvl="0">
      <w:lvlJc w:val="left"/>
      <w:lvlText w:val="(%1)"/>
      <w:numFmt w:val="lowerLetter"/>
      <w:start w:val="1"/>
    </w:lvl>
  </w:abstractNum>
  <w:abstractNum w:abstractNumId="144">
    <w:nsid w:val="4FA327CE"/>
    <w:multiLevelType w:val="hybridMultilevel"/>
    <w:lvl w:ilvl="0">
      <w:lvlJc w:val="left"/>
      <w:lvlText w:val="(%1)"/>
      <w:numFmt w:val="lowerLetter"/>
      <w:start w:val="1"/>
    </w:lvl>
    <w:lvl w:ilvl="1">
      <w:lvlJc w:val="left"/>
      <w:lvlText w:val="-"/>
      <w:numFmt w:val="bullet"/>
      <w:start w:val="1"/>
    </w:lvl>
  </w:abstractNum>
  <w:abstractNum w:abstractNumId="145">
    <w:nsid w:val="1873983A"/>
    <w:multiLevelType w:val="hybridMultilevel"/>
    <w:lvl w:ilvl="0">
      <w:lvlJc w:val="left"/>
      <w:lvlText w:val="(%1)"/>
      <w:numFmt w:val="lowerLetter"/>
      <w:start w:val="4"/>
    </w:lvl>
  </w:abstractNum>
  <w:abstractNum w:abstractNumId="146">
    <w:nsid w:val="3D2DD275"/>
    <w:multiLevelType w:val="hybridMultilevel"/>
    <w:lvl w:ilvl="0">
      <w:lvlJc w:val="left"/>
      <w:lvlText w:val="(%1)"/>
      <w:numFmt w:val="lowerRoman"/>
      <w:start w:val="3"/>
    </w:lvl>
  </w:abstractNum>
  <w:abstractNum w:abstractNumId="147">
    <w:nsid w:val="2E17ECA7"/>
    <w:multiLevelType w:val="hybridMultilevel"/>
    <w:lvl w:ilvl="0">
      <w:lvlJc w:val="left"/>
      <w:lvlText w:val="(%1)"/>
      <w:numFmt w:val="lowerRoman"/>
      <w:start w:val="1"/>
    </w:lvl>
  </w:abstractNum>
  <w:abstractNum w:abstractNumId="148">
    <w:nsid w:val="53B2564F"/>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4"/>
    </w:lvl>
  </w:abstractNum>
  <w:abstractNum w:abstractNumId="149">
    <w:nsid w:val="75509D76"/>
    <w:multiLevelType w:val="hybridMultilevel"/>
    <w:lvl w:ilvl="0">
      <w:lvlJc w:val="left"/>
      <w:lvlText w:val="(%1)"/>
      <w:numFmt w:val="lowerLetter"/>
      <w:start w:val="5"/>
    </w:lvl>
    <w:lvl w:ilvl="1">
      <w:lvlJc w:val="left"/>
      <w:lvlText w:val="-"/>
      <w:numFmt w:val="bullet"/>
      <w:start w:val="1"/>
    </w:lvl>
  </w:abstractNum>
  <w:abstractNum w:abstractNumId="150">
    <w:nsid w:val="1AF7F0EA"/>
    <w:multiLevelType w:val="hybridMultilevel"/>
    <w:lvl w:ilvl="0">
      <w:lvlJc w:val="left"/>
      <w:lvlText w:val="(%1)"/>
      <w:numFmt w:val="lowerLetter"/>
      <w:start w:val="8"/>
    </w:lvl>
    <w:lvl w:ilvl="1">
      <w:lvlJc w:val="left"/>
      <w:lvlText w:val="(%2)"/>
      <w:numFmt w:val="lowerRoman"/>
      <w:start w:val="1"/>
    </w:lvl>
  </w:abstractNum>
  <w:abstractNum w:abstractNumId="151">
    <w:nsid w:val="4DA32C7E"/>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152">
    <w:nsid w:val="6EC68664"/>
    <w:multiLevelType w:val="hybridMultilevel"/>
    <w:lvl w:ilvl="0">
      <w:lvlJc w:val="left"/>
      <w:lvlText w:val="(%1)"/>
      <w:numFmt w:val="decimal"/>
      <w:start w:val="6"/>
    </w:lvl>
    <w:lvl w:ilvl="1">
      <w:lvlJc w:val="left"/>
      <w:lvlText w:val="(%2)"/>
      <w:numFmt w:val="lowerRoman"/>
      <w:start w:val="2"/>
    </w:lvl>
    <w:lvl w:ilvl="2">
      <w:lvlJc w:val="left"/>
      <w:lvlText w:val="-"/>
      <w:numFmt w:val="bullet"/>
      <w:start w:val="1"/>
    </w:lvl>
  </w:abstractNum>
  <w:abstractNum w:abstractNumId="153">
    <w:nsid w:val="E0D31FF"/>
    <w:multiLevelType w:val="hybridMultilevel"/>
    <w:lvl w:ilvl="0">
      <w:lvlJc w:val="left"/>
      <w:lvlText w:val="(%1)"/>
      <w:numFmt w:val="lowerLetter"/>
      <w:start w:val="4"/>
    </w:lvl>
    <w:lvl w:ilvl="1">
      <w:lvlJc w:val="left"/>
      <w:lvlText w:val="-"/>
      <w:numFmt w:val="bullet"/>
      <w:start w:val="1"/>
    </w:lvl>
  </w:abstractNum>
  <w:abstractNum w:abstractNumId="154">
    <w:nsid w:val="2FD0AD81"/>
    <w:multiLevelType w:val="hybridMultilevel"/>
    <w:lvl w:ilvl="0">
      <w:lvlJc w:val="left"/>
      <w:lvlText w:val="(%1)"/>
      <w:numFmt w:val="lowerLetter"/>
      <w:start w:val="1"/>
    </w:lvl>
  </w:abstractNum>
  <w:abstractNum w:abstractNumId="155">
    <w:nsid w:val="1978EBEB"/>
    <w:multiLevelType w:val="hybridMultilevel"/>
    <w:lvl w:ilvl="0">
      <w:lvlJc w:val="left"/>
      <w:lvlText w:val="(%1)"/>
      <w:numFmt w:val="lowerLetter"/>
      <w:start w:val="1"/>
    </w:lvl>
    <w:lvl w:ilvl="1">
      <w:lvlJc w:val="left"/>
      <w:lvlText w:val="-"/>
      <w:numFmt w:val="bullet"/>
      <w:start w:val="1"/>
    </w:lvl>
  </w:abstractNum>
  <w:abstractNum w:abstractNumId="156">
    <w:nsid w:val="52C12C61"/>
    <w:multiLevelType w:val="hybridMultilevel"/>
    <w:lvl w:ilvl="0">
      <w:lvlJc w:val="left"/>
      <w:lvlText w:val="%1"/>
      <w:numFmt w:val="lowerLetter"/>
      <w:start w:val="1"/>
    </w:lvl>
    <w:lvl w:ilvl="1">
      <w:lvlJc w:val="left"/>
      <w:lvlText w:val="(%2)"/>
      <w:numFmt w:val="lowerLetter"/>
      <w:start w:val="6"/>
    </w:lvl>
  </w:abstractNum>
  <w:abstractNum w:abstractNumId="157">
    <w:nsid w:val="4BDD53FD"/>
    <w:multiLevelType w:val="hybridMultilevel"/>
    <w:lvl w:ilvl="0">
      <w:lvlJc w:val="left"/>
      <w:lvlText w:val="(%1)"/>
      <w:numFmt w:val="lowerLetter"/>
      <w:start w:val="6"/>
    </w:lvl>
    <w:lvl w:ilvl="1">
      <w:lvlJc w:val="left"/>
      <w:lvlText w:val="(%2)"/>
      <w:numFmt w:val="lowerLetter"/>
      <w:start w:val="8"/>
    </w:lvl>
  </w:abstractNum>
  <w:abstractNum w:abstractNumId="158">
    <w:nsid w:val="569951FE"/>
    <w:multiLevelType w:val="hybridMultilevel"/>
    <w:lvl w:ilvl="0">
      <w:lvlJc w:val="left"/>
      <w:lvlText w:val="(%1)"/>
      <w:numFmt w:val="lowerRoman"/>
      <w:start w:val="1"/>
    </w:lvl>
  </w:abstractNum>
  <w:abstractNum w:abstractNumId="159">
    <w:nsid w:val="4C54E2C3"/>
    <w:multiLevelType w:val="hybridMultilevel"/>
    <w:lvl w:ilvl="0">
      <w:lvlJc w:val="left"/>
      <w:lvlText w:val="(%1)"/>
      <w:numFmt w:val="lowerRoman"/>
      <w:start w:val="1"/>
    </w:lvl>
  </w:abstractNum>
  <w:abstractNum w:abstractNumId="160">
    <w:nsid w:val="788BD9B"/>
    <w:multiLevelType w:val="hybridMultilevel"/>
    <w:lvl w:ilvl="0">
      <w:lvlJc w:val="left"/>
      <w:lvlText w:val="(%1)"/>
      <w:numFmt w:val="lowerRoman"/>
      <w:start w:val="1"/>
    </w:lvl>
    <w:lvl w:ilvl="1">
      <w:lvlJc w:val="left"/>
      <w:lvlText w:val="-"/>
      <w:numFmt w:val="bullet"/>
      <w:start w:val="1"/>
    </w:lvl>
  </w:abstractNum>
  <w:abstractNum w:abstractNumId="161">
    <w:nsid w:val="47CAA567"/>
    <w:multiLevelType w:val="hybridMultilevel"/>
    <w:lvl w:ilvl="0">
      <w:lvlJc w:val="left"/>
      <w:lvlText w:val="(%1)"/>
      <w:numFmt w:val="lowerRoman"/>
      <w:start w:val="1"/>
    </w:lvl>
    <w:lvl w:ilvl="1">
      <w:lvlJc w:val="left"/>
      <w:lvlText w:val="-"/>
      <w:numFmt w:val="bullet"/>
      <w:start w:val="1"/>
    </w:lvl>
  </w:abstractNum>
  <w:abstractNum w:abstractNumId="162">
    <w:nsid w:val="48249DBF"/>
    <w:multiLevelType w:val="hybridMultilevel"/>
    <w:lvl w:ilvl="0">
      <w:lvlJc w:val="left"/>
      <w:lvlText w:val="(%1)"/>
      <w:numFmt w:val="lowerLetter"/>
      <w:start w:val="1"/>
    </w:lvl>
  </w:abstractNum>
  <w:abstractNum w:abstractNumId="163">
    <w:nsid w:val="1F0E5D0D"/>
    <w:multiLevelType w:val="hybridMultilevel"/>
    <w:lvl w:ilvl="0">
      <w:lvlJc w:val="left"/>
      <w:lvlText w:val="(%1)"/>
      <w:numFmt w:val="lowerRoman"/>
      <w:start w:val="1"/>
    </w:lvl>
  </w:abstractNum>
  <w:abstractNum w:abstractNumId="164">
    <w:nsid w:val="26BAAE9"/>
    <w:multiLevelType w:val="hybridMultilevel"/>
    <w:lvl w:ilvl="0">
      <w:lvlJc w:val="left"/>
      <w:lvlText w:val="(%1)"/>
      <w:numFmt w:val="lowerLetter"/>
      <w:start w:val="1"/>
    </w:lvl>
  </w:abstractNum>
  <w:abstractNum w:abstractNumId="165">
    <w:nsid w:val="2C02FE8C"/>
    <w:multiLevelType w:val="hybridMultilevel"/>
    <w:lvl w:ilvl="0">
      <w:lvlJc w:val="left"/>
      <w:lvlText w:val="(%1)"/>
      <w:numFmt w:val="lowerLetter"/>
      <w:start w:val="1"/>
    </w:lvl>
    <w:lvl w:ilvl="1">
      <w:lvlJc w:val="left"/>
      <w:lvlText w:val="-"/>
      <w:numFmt w:val="bullet"/>
      <w:start w:val="1"/>
    </w:lvl>
  </w:abstractNum>
  <w:abstractNum w:abstractNumId="166">
    <w:nsid w:val="129517E"/>
    <w:multiLevelType w:val="hybridMultilevel"/>
    <w:lvl w:ilvl="0">
      <w:lvlJc w:val="left"/>
      <w:lvlText w:val="(%1)"/>
      <w:numFmt w:val="lowerLetter"/>
      <w:start w:val="2"/>
    </w:lvl>
  </w:abstractNum>
  <w:abstractNum w:abstractNumId="167">
    <w:nsid w:val="763B8C4E"/>
    <w:multiLevelType w:val="hybridMultilevel"/>
    <w:lvl w:ilvl="0">
      <w:lvlJc w:val="left"/>
      <w:lvlText w:val="(%1)"/>
      <w:numFmt w:val="lowerLetter"/>
      <w:start w:val="1"/>
    </w:lvl>
    <w:lvl w:ilvl="1">
      <w:lvlJc w:val="left"/>
      <w:lvlText w:val="-"/>
      <w:numFmt w:val="bullet"/>
      <w:start w:val="1"/>
    </w:lvl>
  </w:abstractNum>
  <w:abstractNum w:abstractNumId="168">
    <w:nsid w:val="4CFB8D32"/>
    <w:multiLevelType w:val="hybridMultilevel"/>
    <w:lvl w:ilvl="0">
      <w:lvlJc w:val="left"/>
      <w:lvlText w:val="(%1)"/>
      <w:numFmt w:val="lowerLetter"/>
      <w:start w:val="4"/>
    </w:lvl>
    <w:lvl w:ilvl="1">
      <w:lvlJc w:val="left"/>
      <w:lvlText w:val="(%2)"/>
      <w:numFmt w:val="lowerRoman"/>
      <w:start w:val="1"/>
    </w:lvl>
  </w:abstractNum>
  <w:abstractNum w:abstractNumId="169">
    <w:nsid w:val="62A5D5BD"/>
    <w:multiLevelType w:val="hybridMultilevel"/>
    <w:lvl w:ilvl="0">
      <w:lvlJc w:val="left"/>
      <w:lvlText w:val="(%1)"/>
      <w:numFmt w:val="lowerLetter"/>
      <w:start w:val="1"/>
    </w:lvl>
  </w:abstractNum>
  <w:abstractNum w:abstractNumId="170">
    <w:nsid w:val="718FABF9"/>
    <w:multiLevelType w:val="hybridMultilevel"/>
    <w:lvl w:ilvl="0">
      <w:lvlJc w:val="left"/>
      <w:lvlText w:val="(%1)"/>
      <w:numFmt w:val="lowerLetter"/>
      <w:start w:val="1"/>
    </w:lvl>
    <w:lvl w:ilvl="1">
      <w:lvlJc w:val="left"/>
      <w:lvlText w:val="-"/>
      <w:numFmt w:val="bullet"/>
      <w:start w:val="1"/>
    </w:lvl>
  </w:abstractNum>
  <w:abstractNum w:abstractNumId="171">
    <w:nsid w:val="7775797C"/>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72">
    <w:nsid w:val="1626FB8C"/>
    <w:multiLevelType w:val="hybridMultilevel"/>
    <w:lvl w:ilvl="0">
      <w:lvlJc w:val="left"/>
      <w:lvlText w:val="(%1)"/>
      <w:numFmt w:val="lowerRoman"/>
      <w:start w:val="2"/>
    </w:lvl>
    <w:lvl w:ilvl="1">
      <w:lvlJc w:val="left"/>
      <w:lvlText w:val="-"/>
      <w:numFmt w:val="bullet"/>
      <w:start w:val="1"/>
    </w:lvl>
  </w:abstractNum>
  <w:abstractNum w:abstractNumId="173">
    <w:nsid w:val="3957756A"/>
    <w:multiLevelType w:val="hybridMultilevel"/>
    <w:lvl w:ilvl="0">
      <w:lvlJc w:val="left"/>
      <w:lvlText w:val="(%1)"/>
      <w:numFmt w:val="lowerRoman"/>
      <w:start w:val="7"/>
    </w:lvl>
  </w:abstractNum>
  <w:abstractNum w:abstractNumId="174">
    <w:nsid w:val="3E6DA1C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75">
    <w:nsid w:val="65CA235B"/>
    <w:multiLevelType w:val="hybridMultilevel"/>
    <w:lvl w:ilvl="0">
      <w:lvlJc w:val="left"/>
      <w:lvlText w:val="(%1)"/>
      <w:numFmt w:val="lowerRoman"/>
      <w:start w:val="4"/>
    </w:lvl>
  </w:abstractNum>
  <w:abstractNum w:abstractNumId="176">
    <w:nsid w:val="51CB0DA4"/>
    <w:multiLevelType w:val="hybridMultilevel"/>
    <w:lvl w:ilvl="0">
      <w:lvlJc w:val="left"/>
      <w:lvlText w:val="(%1)"/>
      <w:numFmt w:val="lowerLetter"/>
      <w:start w:val="2"/>
    </w:lvl>
  </w:abstractNum>
  <w:abstractNum w:abstractNumId="177">
    <w:nsid w:val="7B9B743C"/>
    <w:multiLevelType w:val="hybridMultilevel"/>
    <w:lvl w:ilvl="0">
      <w:lvlJc w:val="left"/>
      <w:lvlText w:val="(%1)"/>
      <w:numFmt w:val="lowerLetter"/>
      <w:start w:val="1"/>
    </w:lvl>
    <w:lvl w:ilvl="1">
      <w:lvlJc w:val="left"/>
      <w:lvlText w:val="-"/>
      <w:numFmt w:val="bullet"/>
      <w:start w:val="1"/>
    </w:lvl>
  </w:abstractNum>
  <w:abstractNum w:abstractNumId="178">
    <w:nsid w:val="13E21002"/>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79">
    <w:nsid w:val="257D63F4"/>
    <w:multiLevelType w:val="hybridMultilevel"/>
    <w:lvl w:ilvl="0">
      <w:lvlJc w:val="left"/>
      <w:lvlText w:val="(%1)"/>
      <w:numFmt w:val="lowerLetter"/>
      <w:start w:val="4"/>
    </w:lvl>
  </w:abstractNum>
  <w:abstractNum w:abstractNumId="180">
    <w:nsid w:val="70EC11B2"/>
    <w:multiLevelType w:val="hybridMultilevel"/>
    <w:lvl w:ilvl="0">
      <w:lvlJc w:val="left"/>
      <w:lvlText w:val="(%1)"/>
      <w:numFmt w:val="lowerLetter"/>
      <w:start w:val="1"/>
    </w:lvl>
    <w:lvl w:ilvl="1">
      <w:lvlJc w:val="left"/>
      <w:lvlText w:val="-"/>
      <w:numFmt w:val="bullet"/>
      <w:start w:val="1"/>
    </w:lvl>
  </w:abstractNum>
  <w:abstractNum w:abstractNumId="181">
    <w:nsid w:val="2EDA00ED"/>
    <w:multiLevelType w:val="hybridMultilevel"/>
    <w:lvl w:ilvl="0">
      <w:lvlJc w:val="left"/>
      <w:lvlText w:val="(%1)"/>
      <w:numFmt w:val="lowerLetter"/>
      <w:start w:val="2"/>
    </w:lvl>
  </w:abstractNum>
  <w:abstractNum w:abstractNumId="182">
    <w:nsid w:val="73209072"/>
    <w:multiLevelType w:val="hybridMultilevel"/>
    <w:lvl w:ilvl="0">
      <w:lvlJc w:val="left"/>
      <w:lvlText w:val="(%1)"/>
      <w:numFmt w:val="lowerLetter"/>
      <w:start w:val="1"/>
    </w:lvl>
    <w:lvl w:ilvl="1">
      <w:lvlJc w:val="left"/>
      <w:lvlText w:val="-"/>
      <w:numFmt w:val="bullet"/>
      <w:start w:val="1"/>
    </w:lvl>
  </w:abstractNum>
  <w:abstractNum w:abstractNumId="183">
    <w:nsid w:val="5FB29816"/>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84">
    <w:nsid w:val="3CE732EC"/>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185">
    <w:nsid w:val="22F13DF3"/>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86">
    <w:nsid w:val="792B8401"/>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187">
    <w:nsid w:val="FA85F4D"/>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4"/>
    </w:lvl>
    <w:lvl w:ilvl="3">
      <w:lvlJc w:val="left"/>
      <w:lvlText w:val="-"/>
      <w:numFmt w:val="bullet"/>
      <w:start w:val="1"/>
    </w:lvl>
  </w:abstractNum>
  <w:abstractNum w:abstractNumId="188">
    <w:nsid w:val="6ECE91F0"/>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189">
    <w:nsid w:val="4FC4D600"/>
    <w:multiLevelType w:val="hybridMultilevel"/>
    <w:lvl w:ilvl="0">
      <w:lvlJc w:val="left"/>
      <w:lvlText w:val="%1"/>
      <w:numFmt w:val="lowerRoman"/>
      <w:start w:val="1"/>
    </w:lvl>
    <w:lvl w:ilvl="1">
      <w:lvlJc w:val="left"/>
      <w:lvlText w:val="(%2)"/>
      <w:numFmt w:val="lowerRoman"/>
      <w:start w:val="6"/>
    </w:lvl>
    <w:lvl w:ilvl="2">
      <w:lvlJc w:val="left"/>
      <w:lvlText w:val="-"/>
      <w:numFmt w:val="bullet"/>
      <w:start w:val="1"/>
    </w:lvl>
  </w:abstractNum>
  <w:abstractNum w:abstractNumId="190">
    <w:nsid w:val="5BFD4210"/>
    <w:multiLevelType w:val="hybridMultilevel"/>
    <w:lvl w:ilvl="0">
      <w:lvlJc w:val="left"/>
      <w:lvlText w:val="(%1)"/>
      <w:numFmt w:val="lowerRoman"/>
      <w:start w:val="4"/>
    </w:lvl>
    <w:lvl w:ilvl="1">
      <w:lvlJc w:val="left"/>
      <w:lvlText w:val="%2"/>
      <w:numFmt w:val="lowerRoman"/>
      <w:start w:val="1"/>
    </w:lvl>
    <w:lvl w:ilvl="2">
      <w:lvlJc w:val="left"/>
      <w:lvlText w:val="-"/>
      <w:numFmt w:val="bullet"/>
      <w:start w:val="1"/>
    </w:lvl>
  </w:abstractNum>
  <w:abstractNum w:abstractNumId="191">
    <w:nsid w:val="76574F8B"/>
    <w:multiLevelType w:val="hybridMultilevel"/>
    <w:lvl w:ilvl="0">
      <w:lvlJc w:val="left"/>
      <w:lvlText w:val="(%1)"/>
      <w:numFmt w:val="lowerRoman"/>
      <w:start w:val="2"/>
    </w:lvl>
    <w:lvl w:ilvl="1">
      <w:lvlJc w:val="left"/>
      <w:lvlText w:val="(%2)"/>
      <w:numFmt w:val="lowerRoman"/>
      <w:start w:val="7"/>
    </w:lvl>
    <w:lvl w:ilvl="2">
      <w:lvlJc w:val="left"/>
      <w:lvlText w:val="-"/>
      <w:numFmt w:val="bullet"/>
      <w:start w:val="1"/>
    </w:lvl>
  </w:abstractNum>
  <w:abstractNum w:abstractNumId="192">
    <w:nsid w:val="178F7B67"/>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193">
    <w:nsid w:val="2421DFCF"/>
    <w:multiLevelType w:val="hybridMultilevel"/>
    <w:lvl w:ilvl="0">
      <w:lvlJc w:val="left"/>
      <w:lvlText w:val="(%1)"/>
      <w:numFmt w:val="lowerRoman"/>
      <w:start w:val="4"/>
    </w:lvl>
  </w:abstractNum>
  <w:abstractNum w:abstractNumId="194">
    <w:nsid w:val="1565AC99"/>
    <w:multiLevelType w:val="hybridMultilevel"/>
    <w:lvl w:ilvl="0">
      <w:lvlJc w:val="left"/>
      <w:lvlText w:val="(%1)"/>
      <w:numFmt w:val="lowerRoman"/>
      <w:start w:val="5"/>
    </w:lvl>
  </w:abstractNum>
  <w:abstractNum w:abstractNumId="195">
    <w:nsid w:val="19FB2650"/>
    <w:multiLevelType w:val="hybridMultilevel"/>
    <w:lvl w:ilvl="0">
      <w:lvlJc w:val="left"/>
      <w:lvlText w:val="(%1)"/>
      <w:numFmt w:val="lowerLetter"/>
      <w:start w:val="8"/>
    </w:lvl>
    <w:lvl w:ilvl="1">
      <w:lvlJc w:val="left"/>
      <w:lvlText w:val="-"/>
      <w:numFmt w:val="bullet"/>
      <w:start w:val="1"/>
    </w:lvl>
  </w:abstractNum>
  <w:abstractNum w:abstractNumId="196">
    <w:nsid w:val="5024DE5B"/>
    <w:multiLevelType w:val="hybridMultilevel"/>
    <w:lvl w:ilvl="0">
      <w:lvlJc w:val="left"/>
      <w:lvlText w:val="(%1)"/>
      <w:numFmt w:val="lowerLetter"/>
      <w:start w:val="11"/>
    </w:lvl>
    <w:lvl w:ilvl="1">
      <w:lvlJc w:val="left"/>
      <w:lvlText w:val="(%2)"/>
      <w:numFmt w:val="lowerRoman"/>
      <w:start w:val="1"/>
    </w:lvl>
    <w:lvl w:ilvl="2">
      <w:lvlJc w:val="left"/>
      <w:lvlText w:val="-"/>
      <w:numFmt w:val="bullet"/>
      <w:start w:val="1"/>
    </w:lvl>
  </w:abstractNum>
  <w:abstractNum w:abstractNumId="197">
    <w:nsid w:val="168EFE17"/>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2"/>
    </w:lvl>
    <w:lvl w:ilvl="3">
      <w:lvlJc w:val="left"/>
      <w:lvlText w:val="-"/>
      <w:numFmt w:val="bullet"/>
      <w:start w:val="1"/>
    </w:lvl>
  </w:abstractNum>
  <w:abstractNum w:abstractNumId="198">
    <w:nsid w:val="1036B29F"/>
    <w:multiLevelType w:val="hybridMultilevel"/>
    <w:lvl w:ilvl="0">
      <w:lvlJc w:val="left"/>
      <w:lvlText w:val="%1"/>
      <w:numFmt w:val="lowerRoman"/>
      <w:start w:val="1"/>
    </w:lvl>
    <w:lvl w:ilvl="1">
      <w:lvlJc w:val="left"/>
      <w:lvlText w:val="(%2)"/>
      <w:numFmt w:val="lowerLetter"/>
      <w:start w:val="13"/>
    </w:lvl>
    <w:lvl w:ilvl="2">
      <w:lvlJc w:val="left"/>
      <w:lvlText w:val="%3"/>
      <w:numFmt w:val="lowerLetter"/>
      <w:start w:val="1"/>
    </w:lvl>
    <w:lvl w:ilvl="3">
      <w:lvlJc w:val="left"/>
      <w:lvlText w:val="-"/>
      <w:numFmt w:val="bullet"/>
      <w:start w:val="1"/>
    </w:lvl>
  </w:abstractNum>
  <w:abstractNum w:abstractNumId="199">
    <w:nsid w:val="1D206B8E"/>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200">
    <w:nsid w:val="7934D3D4"/>
    <w:multiLevelType w:val="hybridMultilevel"/>
    <w:lvl w:ilvl="0">
      <w:lvlJc w:val="left"/>
      <w:lvlText w:val="(%1)"/>
      <w:numFmt w:val="lowerRoman"/>
      <w:start w:val="4"/>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201">
    <w:nsid w:val="1C65E98"/>
    <w:multiLevelType w:val="hybridMultilevel"/>
    <w:lvl w:ilvl="0">
      <w:lvlJc w:val="left"/>
      <w:lvlText w:val="(%1)"/>
      <w:numFmt w:val="lowerLetter"/>
      <w:start w:val="1"/>
    </w:lvl>
  </w:abstractNum>
  <w:abstractNum w:abstractNumId="202">
    <w:nsid w:val="1495E50A"/>
    <w:multiLevelType w:val="hybridMultilevel"/>
    <w:lvl w:ilvl="0">
      <w:lvlJc w:val="left"/>
      <w:lvlText w:val="(%1)"/>
      <w:numFmt w:val="lowerLetter"/>
      <w:start w:val="1"/>
    </w:lvl>
    <w:lvl w:ilvl="1">
      <w:lvlJc w:val="left"/>
      <w:lvlText w:val="-"/>
      <w:numFmt w:val="bullet"/>
      <w:start w:val="1"/>
    </w:lvl>
  </w:abstractNum>
  <w:abstractNum w:abstractNumId="203">
    <w:nsid w:val="F5BCF61"/>
    <w:multiLevelType w:val="hybridMultilevel"/>
    <w:lvl w:ilvl="0">
      <w:lvlJc w:val="left"/>
      <w:lvlText w:val="(%1)"/>
      <w:numFmt w:val="lowerRoman"/>
      <w:start w:val="1"/>
    </w:lvl>
  </w:abstractNum>
  <w:abstractNum w:abstractNumId="204">
    <w:nsid w:val="3B1DD403"/>
    <w:multiLevelType w:val="hybridMultilevel"/>
    <w:lvl w:ilvl="0">
      <w:lvlJc w:val="left"/>
      <w:lvlText w:val="(%1)"/>
      <w:numFmt w:val="lowerLetter"/>
      <w:start w:val="2"/>
    </w:lvl>
    <w:lvl w:ilvl="1">
      <w:lvlJc w:val="left"/>
      <w:lvlText w:val="(%2)"/>
      <w:numFmt w:val="lowerRoman"/>
      <w:start w:val="1"/>
    </w:lvl>
  </w:abstractNum>
  <w:abstractNum w:abstractNumId="205">
    <w:nsid w:val="530386D1"/>
    <w:multiLevelType w:val="hybridMultilevel"/>
    <w:lvl w:ilvl="0">
      <w:lvlJc w:val="left"/>
      <w:lvlText w:val="(%1)"/>
      <w:numFmt w:val="lowerLetter"/>
      <w:start w:val="3"/>
    </w:lvl>
    <w:lvl w:ilvl="1">
      <w:lvlJc w:val="left"/>
      <w:lvlText w:val="-"/>
      <w:numFmt w:val="bullet"/>
      <w:start w:val="1"/>
    </w:lvl>
  </w:abstractNum>
  <w:abstractNum w:abstractNumId="206">
    <w:nsid w:val="7525F2BC"/>
    <w:multiLevelType w:val="hybridMultilevel"/>
    <w:lvl w:ilvl="0">
      <w:lvlJc w:val="left"/>
      <w:lvlText w:val="(%1)"/>
      <w:numFmt w:val="lowerLetter"/>
      <w:start w:val="4"/>
    </w:lvl>
  </w:abstractNum>
  <w:abstractNum w:abstractNumId="207">
    <w:nsid w:val="CE8E1A7"/>
    <w:multiLevelType w:val="hybridMultilevel"/>
    <w:lvl w:ilvl="0">
      <w:lvlJc w:val="left"/>
      <w:lvlText w:val="(%1)"/>
      <w:numFmt w:val="lowerLetter"/>
      <w:start w:val="1"/>
    </w:lvl>
  </w:abstractNum>
  <w:abstractNum w:abstractNumId="208">
    <w:nsid w:val="4E9EFB0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09">
    <w:nsid w:val="90802BE"/>
    <w:multiLevelType w:val="hybridMultilevel"/>
    <w:lvl w:ilvl="0">
      <w:lvlJc w:val="left"/>
      <w:lvlText w:val="(%1)"/>
      <w:numFmt w:val="lowerRoman"/>
      <w:start w:val="4"/>
    </w:lvl>
  </w:abstractNum>
  <w:abstractNum w:abstractNumId="210">
    <w:nsid w:val="3266459B"/>
    <w:multiLevelType w:val="hybridMultilevel"/>
    <w:lvl w:ilvl="0">
      <w:lvlJc w:val="left"/>
      <w:lvlText w:val="(%1)"/>
      <w:numFmt w:val="upperLetter"/>
      <w:start w:val="1"/>
    </w:lvl>
  </w:abstractNum>
  <w:abstractNum w:abstractNumId="211">
    <w:nsid w:val="3F8B0CBF"/>
    <w:multiLevelType w:val="hybridMultilevel"/>
    <w:lvl w:ilvl="0">
      <w:lvlJc w:val="left"/>
      <w:lvlText w:val="(%1)"/>
      <w:numFmt w:val="lowerLetter"/>
      <w:start w:val="25"/>
    </w:lvl>
    <w:lvl w:ilvl="1">
      <w:lvlJc w:val="left"/>
      <w:lvlText w:val="(%2)"/>
      <w:numFmt w:val="lowerLetter"/>
      <w:start w:val="3"/>
    </w:lvl>
    <w:lvl w:ilvl="2">
      <w:lvlJc w:val="left"/>
      <w:lvlText w:val="(%3)"/>
      <w:numFmt w:val="lowerRoman"/>
      <w:start w:val="6"/>
    </w:lvl>
    <w:lvl w:ilvl="3">
      <w:lvlJc w:val="left"/>
      <w:lvlText w:val="-"/>
      <w:numFmt w:val="bullet"/>
      <w:start w:val="1"/>
    </w:lvl>
  </w:abstractNum>
  <w:abstractNum w:abstractNumId="212">
    <w:nsid w:val="37E203AB"/>
    <w:multiLevelType w:val="hybridMultilevel"/>
    <w:lvl w:ilvl="0">
      <w:lvlJc w:val="left"/>
      <w:lvlText w:val="(%1)"/>
      <w:numFmt w:val="lowerLetter"/>
      <w:start w:val="5"/>
    </w:lvl>
  </w:abstractNum>
  <w:abstractNum w:abstractNumId="213">
    <w:nsid w:val="2586D60E"/>
    <w:multiLevelType w:val="hybridMultilevel"/>
    <w:lvl w:ilvl="0">
      <w:lvlJc w:val="left"/>
      <w:lvlText w:val="(%1)"/>
      <w:numFmt w:val="lowerLetter"/>
      <w:start w:val="1"/>
    </w:lvl>
    <w:lvl w:ilvl="1">
      <w:lvlJc w:val="left"/>
      <w:lvlText w:val="-"/>
      <w:numFmt w:val="bullet"/>
      <w:start w:val="1"/>
    </w:lvl>
  </w:abstractNum>
  <w:abstractNum w:abstractNumId="214">
    <w:nsid w:val="1F3DA4D5"/>
    <w:multiLevelType w:val="hybridMultilevel"/>
    <w:lvl w:ilvl="0">
      <w:lvlJc w:val="left"/>
      <w:lvlText w:val="(%1)"/>
      <w:numFmt w:val="lowerLetter"/>
      <w:start w:val="2"/>
    </w:lvl>
  </w:abstractNum>
  <w:abstractNum w:abstractNumId="215">
    <w:nsid w:val="74C9369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16">
    <w:nsid w:val="48781401"/>
    <w:multiLevelType w:val="hybridMultilevel"/>
    <w:lvl w:ilvl="0">
      <w:lvlJc w:val="left"/>
      <w:lvlText w:val="%1"/>
      <w:numFmt w:val="lowerLetter"/>
      <w:start w:val="1"/>
    </w:lvl>
    <w:lvl w:ilvl="1">
      <w:lvlJc w:val="left"/>
      <w:lvlText w:val="(%2)"/>
      <w:numFmt w:val="lowerRoman"/>
      <w:start w:val="2"/>
    </w:lvl>
  </w:abstractNum>
  <w:abstractNum w:abstractNumId="217">
    <w:nsid w:val="186928D6"/>
    <w:multiLevelType w:val="hybridMultilevel"/>
    <w:lvl w:ilvl="0">
      <w:lvlJc w:val="left"/>
      <w:lvlText w:val="(%1)"/>
      <w:numFmt w:val="lowerLetter"/>
      <w:start w:val="3"/>
    </w:lvl>
    <w:lvl w:ilvl="1">
      <w:lvlJc w:val="left"/>
      <w:lvlText w:val="%2"/>
      <w:numFmt w:val="lowerRoman"/>
      <w:start w:val="1"/>
    </w:lvl>
  </w:abstractNum>
  <w:abstractNum w:abstractNumId="218">
    <w:nsid w:val="47195E5"/>
    <w:multiLevelType w:val="hybridMultilevel"/>
    <w:lvl w:ilvl="0">
      <w:lvlJc w:val="left"/>
      <w:lvlText w:val="(%1)"/>
      <w:numFmt w:val="lowerLetter"/>
      <w:start w:val="1"/>
    </w:lvl>
    <w:lvl w:ilvl="1">
      <w:lvlJc w:val="left"/>
      <w:lvlText w:val="-"/>
      <w:numFmt w:val="bullet"/>
      <w:start w:val="1"/>
    </w:lvl>
  </w:abstractNum>
  <w:abstractNum w:abstractNumId="219">
    <w:nsid w:val="3746A5F2"/>
    <w:multiLevelType w:val="hybridMultilevel"/>
    <w:lvl w:ilvl="0">
      <w:lvlJc w:val="left"/>
      <w:lvlText w:val="(%1)"/>
      <w:numFmt w:val="lowerRoman"/>
      <w:start w:val="1"/>
    </w:lvl>
  </w:abstractNum>
  <w:abstractNum w:abstractNumId="220">
    <w:nsid w:val="682DFED6"/>
    <w:multiLevelType w:val="hybridMultilevel"/>
    <w:lvl w:ilvl="0">
      <w:lvlJc w:val="left"/>
      <w:lvlText w:val="(%1)"/>
      <w:numFmt w:val="lowerLetter"/>
      <w:start w:val="1"/>
    </w:lvl>
    <w:lvl w:ilvl="1">
      <w:lvlJc w:val="left"/>
      <w:lvlText w:val="-"/>
      <w:numFmt w:val="bullet"/>
      <w:start w:val="1"/>
    </w:lvl>
  </w:abstractNum>
  <w:abstractNum w:abstractNumId="221">
    <w:nsid w:val="606ED7F6"/>
    <w:multiLevelType w:val="hybridMultilevel"/>
    <w:lvl w:ilvl="0">
      <w:lvlJc w:val="left"/>
      <w:lvlText w:val="(%1)"/>
      <w:numFmt w:val="lowerLetter"/>
      <w:start w:val="2"/>
    </w:lvl>
    <w:lvl w:ilvl="1">
      <w:lvlJc w:val="left"/>
      <w:lvlText w:val="-"/>
      <w:numFmt w:val="bullet"/>
      <w:start w:val="1"/>
    </w:lvl>
  </w:abstractNum>
  <w:abstractNum w:abstractNumId="222">
    <w:nsid w:val="2D9DF57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23">
    <w:nsid w:val="7FBD7A3E"/>
    <w:multiLevelType w:val="hybridMultilevel"/>
    <w:lvl w:ilvl="0">
      <w:lvlJc w:val="left"/>
      <w:lvlText w:val="(%1)"/>
      <w:numFmt w:val="lowerRoman"/>
      <w:start w:val="1"/>
    </w:lvl>
  </w:abstractNum>
  <w:abstractNum w:abstractNumId="224">
    <w:nsid w:val="490B7C5"/>
    <w:multiLevelType w:val="hybridMultilevel"/>
    <w:lvl w:ilvl="0">
      <w:lvlJc w:val="left"/>
      <w:lvlText w:val="(%1)"/>
      <w:numFmt w:val="lowerLetter"/>
      <w:start w:val="4"/>
    </w:lvl>
    <w:lvl w:ilvl="1">
      <w:lvlJc w:val="left"/>
      <w:lvlText w:val="-"/>
      <w:numFmt w:val="bullet"/>
      <w:start w:val="1"/>
    </w:lvl>
  </w:abstractNum>
  <w:abstractNum w:abstractNumId="225">
    <w:nsid w:val="4303A216"/>
    <w:multiLevelType w:val="hybridMultilevel"/>
    <w:lvl w:ilvl="0">
      <w:lvlJc w:val="left"/>
      <w:lvlText w:val="(%1)"/>
      <w:numFmt w:val="lowerLetter"/>
      <w:start w:val="6"/>
    </w:lvl>
  </w:abstractNum>
  <w:abstractNum w:abstractNumId="226">
    <w:nsid w:val="19B8A08E"/>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227">
    <w:nsid w:val="54B59621"/>
    <w:multiLevelType w:val="hybridMultilevel"/>
    <w:lvl w:ilvl="0">
      <w:lvlJc w:val="left"/>
      <w:lvlText w:val="(%1)"/>
      <w:numFmt w:val="lowerRoman"/>
      <w:start w:val="4"/>
    </w:lvl>
    <w:lvl w:ilvl="1">
      <w:lvlJc w:val="left"/>
      <w:lvlText w:val="(%2)"/>
      <w:numFmt w:val="lowerLetter"/>
      <w:start w:val="2"/>
    </w:lvl>
    <w:lvl w:ilvl="2">
      <w:lvlJc w:val="left"/>
      <w:lvlText w:val="-"/>
      <w:numFmt w:val="bullet"/>
      <w:start w:val="1"/>
    </w:lvl>
  </w:abstractNum>
  <w:abstractNum w:abstractNumId="228">
    <w:nsid w:val="5992A02E"/>
    <w:multiLevelType w:val="hybridMultilevel"/>
    <w:lvl w:ilvl="0">
      <w:lvlJc w:val="left"/>
      <w:lvlText w:val="(%1)"/>
      <w:numFmt w:val="lowerLetter"/>
      <w:start w:val="1"/>
    </w:lvl>
    <w:lvl w:ilvl="1">
      <w:lvlJc w:val="left"/>
      <w:lvlText w:val="(%2)"/>
      <w:numFmt w:val="lowerRoman"/>
      <w:start w:val="1"/>
    </w:lvl>
  </w:abstractNum>
  <w:abstractNum w:abstractNumId="229">
    <w:nsid w:val="29EF532D"/>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230">
    <w:nsid w:val="71D601AF"/>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31">
    <w:nsid w:val="52C77402"/>
    <w:multiLevelType w:val="hybridMultilevel"/>
    <w:lvl w:ilvl="0">
      <w:lvlJc w:val="left"/>
      <w:lvlText w:val="(%1)"/>
      <w:numFmt w:val="lowerLetter"/>
      <w:start w:val="3"/>
    </w:lvl>
  </w:abstractNum>
  <w:abstractNum w:abstractNumId="232">
    <w:nsid w:val="2BB5B1C6"/>
    <w:multiLevelType w:val="hybridMultilevel"/>
    <w:lvl w:ilvl="0">
      <w:lvlJc w:val="left"/>
      <w:lvlText w:val="(%1)"/>
      <w:numFmt w:val="lowerLetter"/>
      <w:start w:val="1"/>
    </w:lvl>
    <w:lvl w:ilvl="1">
      <w:lvlJc w:val="left"/>
      <w:lvlText w:val="-"/>
      <w:numFmt w:val="bullet"/>
      <w:start w:val="1"/>
    </w:lvl>
  </w:abstractNum>
  <w:abstractNum w:abstractNumId="233">
    <w:nsid w:val="66BE6B9"/>
    <w:multiLevelType w:val="hybridMultilevel"/>
    <w:lvl w:ilvl="0">
      <w:lvlJc w:val="left"/>
      <w:lvlText w:val="(%1)"/>
      <w:numFmt w:val="lowerLetter"/>
      <w:start w:val="2"/>
    </w:lvl>
  </w:abstractNum>
  <w:abstractNum w:abstractNumId="234">
    <w:nsid w:val="62234363"/>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35">
    <w:nsid w:val="66D385C9"/>
    <w:multiLevelType w:val="hybridMultilevel"/>
    <w:lvl w:ilvl="0">
      <w:lvlJc w:val="left"/>
      <w:lvlText w:val="(%1)"/>
      <w:numFmt w:val="lowerLetter"/>
      <w:start w:val="2"/>
    </w:lvl>
    <w:lvl w:ilvl="1">
      <w:lvlJc w:val="left"/>
      <w:lvlText w:val="(%2)"/>
      <w:numFmt w:val="lowerLetter"/>
      <w:start w:val="2"/>
    </w:lvl>
    <w:lvl w:ilvl="2">
      <w:lvlJc w:val="left"/>
      <w:lvlText w:val="-"/>
      <w:numFmt w:val="bullet"/>
      <w:start w:val="1"/>
    </w:lvl>
  </w:abstractNum>
  <w:abstractNum w:abstractNumId="236">
    <w:nsid w:val="596F6D8A"/>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237">
    <w:nsid w:val="5749361F"/>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38">
    <w:nsid w:val="73BC6770"/>
    <w:multiLevelType w:val="hybridMultilevel"/>
    <w:lvl w:ilvl="0">
      <w:lvlJc w:val="left"/>
      <w:lvlText w:val="(%1)"/>
      <w:numFmt w:val="lowerRoman"/>
      <w:start w:val="2"/>
    </w:lvl>
    <w:lvl w:ilvl="1">
      <w:lvlJc w:val="left"/>
      <w:lvlText w:val="-"/>
      <w:numFmt w:val="bullet"/>
      <w:start w:val="1"/>
    </w:lvl>
  </w:abstractNum>
  <w:abstractNum w:abstractNumId="239">
    <w:nsid w:val="280E6897"/>
    <w:multiLevelType w:val="hybridMultilevel"/>
    <w:lvl w:ilvl="0">
      <w:lvlJc w:val="left"/>
      <w:lvlText w:val="(%1)"/>
      <w:numFmt w:val="lowerLetter"/>
      <w:start w:val="4"/>
    </w:lvl>
    <w:lvl w:ilvl="1">
      <w:lvlJc w:val="left"/>
      <w:lvlText w:val="(%2)"/>
      <w:numFmt w:val="lowerRoman"/>
      <w:start w:val="2"/>
    </w:lvl>
    <w:lvl w:ilvl="2">
      <w:lvlJc w:val="left"/>
      <w:lvlText w:val="-"/>
      <w:numFmt w:val="bullet"/>
      <w:start w:val="1"/>
    </w:lvl>
  </w:abstractNum>
  <w:abstractNum w:abstractNumId="240">
    <w:nsid w:val="605138DE"/>
    <w:multiLevelType w:val="hybridMultilevel"/>
    <w:lvl w:ilvl="0">
      <w:lvlJc w:val="left"/>
      <w:lvlText w:val="(%1)"/>
      <w:numFmt w:val="lowerRoman"/>
      <w:start w:val="3"/>
    </w:lvl>
    <w:lvl w:ilvl="1">
      <w:lvlJc w:val="left"/>
      <w:lvlText w:val="-"/>
      <w:numFmt w:val="bullet"/>
      <w:start w:val="1"/>
    </w:lvl>
  </w:abstractNum>
  <w:abstractNum w:abstractNumId="241">
    <w:nsid w:val="2622AD0C"/>
    <w:multiLevelType w:val="hybridMultilevel"/>
    <w:lvl w:ilvl="0">
      <w:lvlJc w:val="left"/>
      <w:lvlText w:val="(%1)"/>
      <w:numFmt w:val="lowerLetter"/>
      <w:start w:val="5"/>
    </w:lvl>
    <w:lvl w:ilvl="1">
      <w:lvlJc w:val="left"/>
      <w:lvlText w:val="-"/>
      <w:numFmt w:val="bullet"/>
      <w:start w:val="1"/>
    </w:lvl>
  </w:abstractNum>
  <w:abstractNum w:abstractNumId="242">
    <w:nsid w:val="67997556"/>
    <w:multiLevelType w:val="hybridMultilevel"/>
    <w:lvl w:ilvl="0">
      <w:lvlJc w:val="left"/>
      <w:lvlText w:val="(%1)"/>
      <w:numFmt w:val="lowerLetter"/>
      <w:start w:val="1"/>
    </w:lvl>
    <w:lvl w:ilvl="1">
      <w:lvlJc w:val="left"/>
      <w:lvlText w:val="-"/>
      <w:numFmt w:val="bullet"/>
      <w:start w:val="1"/>
    </w:lvl>
  </w:abstractNum>
  <w:abstractNum w:abstractNumId="243">
    <w:nsid w:val="18333C89"/>
    <w:multiLevelType w:val="hybridMultilevel"/>
    <w:lvl w:ilvl="0">
      <w:lvlJc w:val="left"/>
      <w:lvlText w:val="(%1)"/>
      <w:numFmt w:val="lowerLetter"/>
      <w:start w:val="5"/>
    </w:lvl>
    <w:lvl w:ilvl="1">
      <w:lvlJc w:val="left"/>
      <w:lvlText w:val="(%2)"/>
      <w:numFmt w:val="lowerRoman"/>
      <w:start w:val="1"/>
    </w:lvl>
  </w:abstractNum>
  <w:abstractNum w:abstractNumId="244">
    <w:nsid w:val="4BA9831A"/>
    <w:multiLevelType w:val="hybridMultilevel"/>
    <w:lvl w:ilvl="0">
      <w:lvlJc w:val="left"/>
      <w:lvlText w:val="(%1)"/>
      <w:numFmt w:val="upperLetter"/>
      <w:start w:val="1"/>
    </w:lvl>
    <w:lvl w:ilvl="1">
      <w:lvlJc w:val="left"/>
      <w:lvlText w:val="-"/>
      <w:numFmt w:val="bullet"/>
      <w:start w:val="1"/>
    </w:lvl>
  </w:abstractNum>
  <w:abstractNum w:abstractNumId="245">
    <w:nsid w:val="6D71A2B"/>
    <w:multiLevelType w:val="hybridMultilevel"/>
    <w:lvl w:ilvl="0">
      <w:lvlJc w:val="left"/>
      <w:lvlText w:val="(%1)"/>
      <w:numFmt w:val="upperLetter"/>
      <w:start w:val="4"/>
    </w:lvl>
  </w:abstractNum>
  <w:abstractNum w:abstractNumId="246">
    <w:nsid w:val="CFC7321"/>
    <w:multiLevelType w:val="hybridMultilevel"/>
    <w:lvl w:ilvl="0">
      <w:lvlJc w:val="left"/>
      <w:lvlText w:val="(%1)"/>
      <w:numFmt w:val="lowerRoman"/>
      <w:start w:val="3"/>
    </w:lvl>
    <w:lvl w:ilvl="1">
      <w:lvlJc w:val="left"/>
      <w:lvlText w:val="-"/>
      <w:numFmt w:val="bullet"/>
      <w:start w:val="1"/>
    </w:lvl>
  </w:abstractNum>
  <w:abstractNum w:abstractNumId="247">
    <w:nsid w:val="1421971B"/>
    <w:multiLevelType w:val="hybridMultilevel"/>
    <w:lvl w:ilvl="0">
      <w:lvlJc w:val="left"/>
      <w:lvlText w:val="(%1)"/>
      <w:numFmt w:val="lowerRoman"/>
      <w:start w:val="8"/>
    </w:lvl>
  </w:abstractNum>
  <w:abstractNum w:abstractNumId="248">
    <w:nsid w:val="1F404301"/>
    <w:multiLevelType w:val="hybridMultilevel"/>
    <w:lvl w:ilvl="0">
      <w:lvlJc w:val="left"/>
      <w:lvlText w:val="(%1)"/>
      <w:numFmt w:val="lowerLetter"/>
      <w:start w:val="7"/>
    </w:lvl>
    <w:lvl w:ilvl="1">
      <w:lvlJc w:val="left"/>
      <w:lvlText w:val="(%2)"/>
      <w:numFmt w:val="lowerRoman"/>
      <w:start w:val="1"/>
    </w:lvl>
  </w:abstractNum>
  <w:abstractNum w:abstractNumId="249">
    <w:nsid w:val="116E0907"/>
    <w:multiLevelType w:val="hybridMultilevel"/>
    <w:lvl w:ilvl="0">
      <w:lvlJc w:val="left"/>
      <w:lvlText w:val="(%1)"/>
      <w:numFmt w:val="upperLetter"/>
      <w:start w:val="1"/>
    </w:lvl>
    <w:lvl w:ilvl="1">
      <w:lvlJc w:val="left"/>
      <w:lvlText w:val="-"/>
      <w:numFmt w:val="bullet"/>
      <w:start w:val="1"/>
    </w:lvl>
  </w:abstractNum>
  <w:abstractNum w:abstractNumId="250">
    <w:nsid w:val="4B683D0D"/>
    <w:multiLevelType w:val="hybridMultilevel"/>
    <w:lvl w:ilvl="0">
      <w:lvlJc w:val="left"/>
      <w:lvlText w:val="(%1)"/>
      <w:numFmt w:val="upperLetter"/>
      <w:start w:val="2"/>
    </w:lvl>
  </w:abstractNum>
  <w:abstractNum w:abstractNumId="251">
    <w:nsid w:val="76E41D8"/>
    <w:multiLevelType w:val="hybridMultilevel"/>
    <w:lvl w:ilvl="0">
      <w:lvlJc w:val="left"/>
      <w:lvlText w:val="(%1)"/>
      <w:numFmt w:val="lowerRoman"/>
      <w:start w:val="3"/>
    </w:lvl>
  </w:abstractNum>
  <w:abstractNum w:abstractNumId="252">
    <w:nsid w:val="71DCE0FD"/>
    <w:multiLevelType w:val="hybridMultilevel"/>
    <w:lvl w:ilvl="0">
      <w:lvlJc w:val="left"/>
      <w:lvlText w:val="(%1)"/>
      <w:numFmt w:val="lowerLetter"/>
      <w:start w:val="1"/>
    </w:lvl>
    <w:lvl w:ilvl="1">
      <w:lvlJc w:val="left"/>
      <w:lvlText w:val="(%2)"/>
      <w:numFmt w:val="lowerRoman"/>
      <w:start w:val="1"/>
    </w:lvl>
  </w:abstractNum>
  <w:abstractNum w:abstractNumId="253">
    <w:nsid w:val="7906328B"/>
    <w:multiLevelType w:val="hybridMultilevel"/>
    <w:lvl w:ilvl="0">
      <w:lvlJc w:val="left"/>
      <w:lvlText w:val="(%1)"/>
      <w:numFmt w:val="lowerLetter"/>
      <w:start w:val="2"/>
    </w:lvl>
    <w:lvl w:ilvl="1">
      <w:lvlJc w:val="left"/>
      <w:lvlText w:val="-"/>
      <w:numFmt w:val="bullet"/>
      <w:start w:val="1"/>
    </w:lvl>
  </w:abstractNum>
  <w:abstractNum w:abstractNumId="254">
    <w:nsid w:val="72BBC16"/>
    <w:multiLevelType w:val="hybridMultilevel"/>
    <w:lvl w:ilvl="0">
      <w:lvlJc w:val="left"/>
      <w:lvlText w:val="(%1)"/>
      <w:numFmt w:val="lowerLetter"/>
      <w:start w:val="3"/>
    </w:lvl>
  </w:abstractNum>
  <w:abstractNum w:abstractNumId="255">
    <w:nsid w:val="766D98C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
      <w:numFmt w:val="bullet"/>
      <w:start w:val="1"/>
    </w:lvl>
  </w:abstractNum>
  <w:abstractNum w:abstractNumId="256">
    <w:nsid w:val="3C09D4A1"/>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lvl w:ilvl="3">
      <w:lvlJc w:val="left"/>
      <w:lvlText w:val="-"/>
      <w:numFmt w:val="bullet"/>
      <w:start w:val="1"/>
    </w:lvl>
  </w:abstractNum>
  <w:abstractNum w:abstractNumId="257">
    <w:nsid w:val="20E45CA4"/>
    <w:multiLevelType w:val="hybridMultilevel"/>
    <w:lvl w:ilvl="0">
      <w:lvlJc w:val="left"/>
      <w:lvlText w:val="(%1)"/>
      <w:numFmt w:val="upperLetter"/>
      <w:start w:val="2"/>
    </w:lvl>
  </w:abstractNum>
  <w:abstractNum w:abstractNumId="258">
    <w:nsid w:val="4B232EE3"/>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59">
    <w:nsid w:val="159C74CF"/>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260">
    <w:nsid w:val="4AD3AFD2"/>
    <w:multiLevelType w:val="hybridMultilevel"/>
    <w:lvl w:ilvl="0">
      <w:lvlJc w:val="left"/>
      <w:lvlText w:val="(%1)"/>
      <w:numFmt w:val="lowerLetter"/>
      <w:start w:val="3"/>
    </w:lvl>
  </w:abstractNum>
  <w:abstractNum w:abstractNumId="261">
    <w:nsid w:val="3CF93092"/>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262">
    <w:nsid w:val="6863E8D2"/>
    <w:multiLevelType w:val="hybridMultilevel"/>
    <w:lvl w:ilvl="0">
      <w:lvlJc w:val="left"/>
      <w:lvlText w:val="%1"/>
      <w:numFmt w:val="lowerLetter"/>
      <w:start w:val="1"/>
    </w:lvl>
    <w:lvl w:ilvl="1">
      <w:lvlJc w:val="left"/>
      <w:lvlText w:val="(%2)"/>
      <w:numFmt w:val="lowerRoman"/>
      <w:start w:val="4"/>
    </w:lvl>
  </w:abstractNum>
  <w:abstractNum w:abstractNumId="263">
    <w:nsid w:val="76896198"/>
    <w:multiLevelType w:val="hybridMultilevel"/>
    <w:lvl w:ilvl="0">
      <w:lvlJc w:val="left"/>
      <w:lvlText w:val="(%1)"/>
      <w:numFmt w:val="lowerLetter"/>
      <w:start w:val="8"/>
    </w:lvl>
    <w:lvl w:ilvl="1">
      <w:lvlJc w:val="left"/>
      <w:lvlText w:val="%2"/>
      <w:numFmt w:val="lowerRoman"/>
      <w:start w:val="1"/>
    </w:lvl>
  </w:abstractNum>
  <w:abstractNum w:abstractNumId="264">
    <w:nsid w:val="4365174B"/>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65">
    <w:nsid w:val="4A872C35"/>
    <w:multiLevelType w:val="hybridMultilevel"/>
    <w:lvl w:ilvl="0">
      <w:lvlJc w:val="left"/>
      <w:lvlText w:val="(%1)"/>
      <w:numFmt w:val="lowerLetter"/>
      <w:start w:val="35"/>
    </w:lvl>
    <w:lvl w:ilvl="1">
      <w:lvlJc w:val="left"/>
      <w:lvlText w:val="(%2)"/>
      <w:numFmt w:val="lowerLetter"/>
      <w:start w:val="2"/>
    </w:lvl>
    <w:lvl w:ilvl="2">
      <w:lvlJc w:val="left"/>
      <w:lvlText w:val="-"/>
      <w:numFmt w:val="bullet"/>
      <w:start w:val="1"/>
    </w:lvl>
  </w:abstractNum>
  <w:abstractNum w:abstractNumId="266">
    <w:nsid w:val="5D5CE761"/>
    <w:multiLevelType w:val="hybridMultilevel"/>
    <w:lvl w:ilvl="0">
      <w:lvlJc w:val="left"/>
      <w:lvlText w:val="(%1)"/>
      <w:numFmt w:val="lowerLetter"/>
      <w:start w:val="3"/>
    </w:lvl>
  </w:abstractNum>
  <w:abstractNum w:abstractNumId="267">
    <w:nsid w:val="1CD484D5"/>
    <w:multiLevelType w:val="hybridMultilevel"/>
    <w:lvl w:ilvl="0">
      <w:lvlJc w:val="left"/>
      <w:lvlText w:val="(%1)"/>
      <w:numFmt w:val="lowerLetter"/>
      <w:start w:val="1"/>
    </w:lvl>
  </w:abstractNum>
  <w:abstractNum w:abstractNumId="268">
    <w:nsid w:val="21D06255"/>
    <w:multiLevelType w:val="hybridMultilevel"/>
    <w:lvl w:ilvl="0">
      <w:lvlJc w:val="left"/>
      <w:lvlText w:val="(%1)"/>
      <w:numFmt w:val="lowerLetter"/>
      <w:start w:val="1"/>
    </w:lvl>
    <w:lvl w:ilvl="1">
      <w:lvlJc w:val="left"/>
      <w:lvlText w:val="-"/>
      <w:numFmt w:val="bullet"/>
      <w:start w:val="1"/>
    </w:lvl>
  </w:abstractNum>
  <w:abstractNum w:abstractNumId="269">
    <w:nsid w:val="51194ED1"/>
    <w:multiLevelType w:val="hybridMultilevel"/>
    <w:lvl w:ilvl="0">
      <w:lvlJc w:val="left"/>
      <w:lvlText w:val="(%1)"/>
      <w:numFmt w:val="lowerLetter"/>
      <w:start w:val="2"/>
    </w:lvl>
  </w:abstractNum>
  <w:abstractNum w:abstractNumId="270">
    <w:nsid w:val="44E2ED6C"/>
    <w:multiLevelType w:val="hybridMultilevel"/>
    <w:lvl w:ilvl="0">
      <w:lvlJc w:val="left"/>
      <w:lvlText w:val="(%1)"/>
      <w:numFmt w:val="lowerLetter"/>
      <w:start w:val="1"/>
    </w:lvl>
    <w:lvl w:ilvl="1">
      <w:lvlJc w:val="left"/>
      <w:lvlText w:val="-"/>
      <w:numFmt w:val="bullet"/>
      <w:start w:val="1"/>
    </w:lvl>
  </w:abstractNum>
  <w:abstractNum w:abstractNumId="271">
    <w:nsid w:val="2219B33"/>
    <w:multiLevelType w:val="hybridMultilevel"/>
    <w:lvl w:ilvl="0">
      <w:lvlJc w:val="left"/>
      <w:lvlText w:val="(%1)"/>
      <w:numFmt w:val="lowerLetter"/>
      <w:start w:val="6"/>
    </w:lvl>
  </w:abstractNum>
  <w:abstractNum w:abstractNumId="272">
    <w:nsid w:val="773BFBDD"/>
    <w:multiLevelType w:val="hybridMultilevel"/>
    <w:lvl w:ilvl="0">
      <w:lvlJc w:val="left"/>
      <w:lvlText w:val="(%1)"/>
      <w:numFmt w:val="lowerLetter"/>
      <w:start w:val="1"/>
    </w:lvl>
  </w:abstractNum>
  <w:abstractNum w:abstractNumId="273">
    <w:nsid w:val="2C7C62C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74">
    <w:nsid w:val="1A54D7BC"/>
    <w:multiLevelType w:val="hybridMultilevel"/>
    <w:lvl w:ilvl="0">
      <w:lvlJc w:val="left"/>
      <w:lvlText w:val="%1"/>
      <w:numFmt w:val="lowerLetter"/>
      <w:start w:val="1"/>
    </w:lvl>
    <w:lvl w:ilvl="1">
      <w:lvlJc w:val="left"/>
      <w:lvlText w:val="(%2)"/>
      <w:numFmt w:val="lowerRoman"/>
      <w:start w:val="3"/>
    </w:lvl>
  </w:abstractNum>
  <w:abstractNum w:abstractNumId="275">
    <w:nsid w:val="42E57EF7"/>
    <w:multiLevelType w:val="hybridMultilevel"/>
    <w:lvl w:ilvl="0">
      <w:lvlJc w:val="left"/>
      <w:lvlText w:val="(%1)"/>
      <w:numFmt w:val="lowerLetter"/>
      <w:start w:val="2"/>
    </w:lvl>
    <w:lvl w:ilvl="1">
      <w:lvlJc w:val="left"/>
      <w:lvlText w:val="(%2)"/>
      <w:numFmt w:val="lowerRoman"/>
      <w:start w:val="1"/>
    </w:lvl>
  </w:abstractNum>
  <w:abstractNum w:abstractNumId="276">
    <w:nsid w:val="33537CED"/>
    <w:multiLevelType w:val="hybridMultilevel"/>
    <w:lvl w:ilvl="0">
      <w:lvlJc w:val="left"/>
      <w:lvlText w:val="(%1)"/>
      <w:numFmt w:val="lowerLetter"/>
      <w:start w:val="1"/>
    </w:lvl>
  </w:abstractNum>
  <w:abstractNum w:abstractNumId="277">
    <w:nsid w:val="27514ADE"/>
    <w:multiLevelType w:val="hybridMultilevel"/>
    <w:lvl w:ilvl="0">
      <w:lvlJc w:val="left"/>
      <w:lvlText w:val="(%1)"/>
      <w:numFmt w:val="lowerLetter"/>
      <w:start w:val="1"/>
    </w:lvl>
    <w:lvl w:ilvl="1">
      <w:lvlJc w:val="left"/>
      <w:lvlText w:val="-"/>
      <w:numFmt w:val="bullet"/>
      <w:start w:val="1"/>
    </w:lvl>
  </w:abstractNum>
  <w:abstractNum w:abstractNumId="278">
    <w:nsid w:val="57071613"/>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79">
    <w:nsid w:val="5293BFEF"/>
    <w:multiLevelType w:val="hybridMultilevel"/>
    <w:lvl w:ilvl="0">
      <w:lvlJc w:val="left"/>
      <w:lvlText w:val="(%1)"/>
      <w:numFmt w:val="lowerRoman"/>
      <w:start w:val="3"/>
    </w:lvl>
  </w:abstractNum>
  <w:abstractNum w:abstractNumId="280">
    <w:nsid w:val="38BF53E5"/>
    <w:multiLevelType w:val="hybridMultilevel"/>
    <w:lvl w:ilvl="0">
      <w:lvlJc w:val="left"/>
      <w:lvlText w:val="(%1)"/>
      <w:numFmt w:val="lowerLetter"/>
      <w:start w:val="1"/>
    </w:lvl>
    <w:lvl w:ilvl="1">
      <w:lvlJc w:val="left"/>
      <w:lvlText w:val="-"/>
      <w:numFmt w:val="bullet"/>
      <w:start w:val="1"/>
    </w:lvl>
  </w:abstractNum>
  <w:abstractNum w:abstractNumId="281">
    <w:nsid w:val="226F5320"/>
    <w:multiLevelType w:val="hybridMultilevel"/>
    <w:lvl w:ilvl="0">
      <w:lvlJc w:val="left"/>
      <w:lvlText w:val="(%1)"/>
      <w:numFmt w:val="lowerLetter"/>
      <w:start w:val="2"/>
    </w:lvl>
  </w:abstractNum>
  <w:abstractNum w:abstractNumId="282">
    <w:nsid w:val="5A0201C7"/>
    <w:multiLevelType w:val="hybridMultilevel"/>
    <w:lvl w:ilvl="0">
      <w:lvlJc w:val="left"/>
      <w:lvlText w:val="(%1)"/>
      <w:numFmt w:val="lowerLetter"/>
      <w:start w:val="1"/>
    </w:lvl>
    <w:lvl w:ilvl="1">
      <w:lvlJc w:val="left"/>
      <w:lvlText w:val="-"/>
      <w:numFmt w:val="bullet"/>
      <w:start w:val="1"/>
    </w:lvl>
  </w:abstractNum>
  <w:abstractNum w:abstractNumId="283">
    <w:nsid w:val="2A9C34E2"/>
    <w:multiLevelType w:val="hybridMultilevel"/>
    <w:lvl w:ilvl="0">
      <w:lvlJc w:val="left"/>
      <w:lvlText w:val="(%1)"/>
      <w:numFmt w:val="lowerLetter"/>
      <w:start w:val="3"/>
    </w:lvl>
    <w:lvl w:ilvl="1">
      <w:lvlJc w:val="left"/>
      <w:lvlText w:val="-"/>
      <w:numFmt w:val="bullet"/>
      <w:start w:val="1"/>
    </w:lvl>
  </w:abstractNum>
  <w:abstractNum w:abstractNumId="284">
    <w:nsid w:val="1B7585AB"/>
    <w:multiLevelType w:val="hybridMultilevel"/>
    <w:lvl w:ilvl="0">
      <w:lvlJc w:val="left"/>
      <w:lvlText w:val="(%1)"/>
      <w:numFmt w:val="lowerLetter"/>
      <w:start w:val="1"/>
    </w:lvl>
  </w:abstractNum>
  <w:abstractNum w:abstractNumId="285">
    <w:nsid w:val="612DBDDD"/>
    <w:multiLevelType w:val="hybridMultilevel"/>
    <w:lvl w:ilvl="0">
      <w:lvlJc w:val="left"/>
      <w:lvlText w:val="(%1)"/>
      <w:numFmt w:val="lowerLetter"/>
      <w:start w:val="1"/>
    </w:lvl>
    <w:lvl w:ilvl="1">
      <w:lvlJc w:val="left"/>
      <w:lvlText w:val="-"/>
      <w:numFmt w:val="bullet"/>
      <w:start w:val="1"/>
    </w:lvl>
  </w:abstractNum>
  <w:abstractNum w:abstractNumId="286">
    <w:nsid w:val="2109CDA4"/>
    <w:multiLevelType w:val="hybridMultilevel"/>
    <w:lvl w:ilvl="0">
      <w:lvlJc w:val="left"/>
      <w:lvlText w:val="(%1)"/>
      <w:numFmt w:val="lowerLetter"/>
      <w:start w:val="2"/>
    </w:lvl>
    <w:lvl w:ilvl="1">
      <w:lvlJc w:val="left"/>
      <w:lvlText w:val="-"/>
      <w:numFmt w:val="bullet"/>
      <w:start w:val="1"/>
    </w:lvl>
  </w:abstractNum>
  <w:abstractNum w:abstractNumId="287">
    <w:nsid w:val="577F5A4D"/>
    <w:multiLevelType w:val="hybridMultilevel"/>
    <w:lvl w:ilvl="0">
      <w:lvlJc w:val="left"/>
      <w:lvlText w:val="(%1)"/>
      <w:numFmt w:val="lowerLetter"/>
      <w:start w:val="1"/>
    </w:lvl>
    <w:lvl w:ilvl="1">
      <w:lvlJc w:val="left"/>
      <w:lvlText w:val="-"/>
      <w:numFmt w:val="bullet"/>
      <w:start w:val="1"/>
    </w:lvl>
  </w:abstractNum>
  <w:abstractNum w:abstractNumId="288">
    <w:nsid w:val="2121A81"/>
    <w:multiLevelType w:val="hybridMultilevel"/>
    <w:lvl w:ilvl="0">
      <w:lvlJc w:val="left"/>
      <w:lvlText w:val="(%1)"/>
      <w:numFmt w:val="lowerLetter"/>
      <w:start w:val="4"/>
    </w:lvl>
    <w:lvl w:ilvl="1">
      <w:lvlJc w:val="left"/>
      <w:lvlText w:val="-"/>
      <w:numFmt w:val="bullet"/>
      <w:start w:val="1"/>
    </w:lvl>
  </w:abstractNum>
  <w:abstractNum w:abstractNumId="289">
    <w:nsid w:val="6C2CFC88"/>
    <w:multiLevelType w:val="hybridMultilevel"/>
    <w:lvl w:ilvl="0">
      <w:lvlJc w:val="left"/>
      <w:lvlText w:val="(%1)"/>
      <w:numFmt w:val="lowerLetter"/>
      <w:start w:val="11"/>
    </w:lvl>
  </w:abstractNum>
  <w:abstractNum w:abstractNumId="290">
    <w:nsid w:val="6D1BCF1C"/>
    <w:multiLevelType w:val="hybridMultilevel"/>
    <w:lvl w:ilvl="0">
      <w:lvlJc w:val="left"/>
      <w:lvlText w:val="(%1)"/>
      <w:numFmt w:val="lowerRoman"/>
      <w:start w:val="1"/>
    </w:lvl>
    <w:lvl w:ilvl="1">
      <w:lvlJc w:val="left"/>
      <w:lvlText w:val="-"/>
      <w:numFmt w:val="bullet"/>
      <w:start w:val="1"/>
    </w:lvl>
  </w:abstractNum>
  <w:abstractNum w:abstractNumId="291">
    <w:nsid w:val="4CE5CA53"/>
    <w:multiLevelType w:val="hybridMultilevel"/>
    <w:lvl w:ilvl="0">
      <w:lvlJc w:val="left"/>
      <w:lvlText w:val="(%1)"/>
      <w:numFmt w:val="lowerLetter"/>
      <w:start w:val="1"/>
    </w:lvl>
    <w:lvl w:ilvl="1">
      <w:lvlJc w:val="left"/>
      <w:lvlText w:val="-"/>
      <w:numFmt w:val="bullet"/>
      <w:start w:val="1"/>
    </w:lvl>
  </w:abstractNum>
  <w:abstractNum w:abstractNumId="292">
    <w:nsid w:val="29262D1A"/>
    <w:multiLevelType w:val="hybridMultilevel"/>
    <w:lvl w:ilvl="0">
      <w:lvlJc w:val="left"/>
      <w:lvlText w:val="(%1)"/>
      <w:numFmt w:val="lowerLetter"/>
      <w:start w:val="6"/>
    </w:lvl>
    <w:lvl w:ilvl="1">
      <w:lvlJc w:val="left"/>
      <w:lvlText w:val="-"/>
      <w:numFmt w:val="bullet"/>
      <w:start w:val="1"/>
    </w:lvl>
  </w:abstractNum>
  <w:abstractNum w:abstractNumId="293">
    <w:nsid w:val="557FB7EE"/>
    <w:multiLevelType w:val="hybridMultilevel"/>
    <w:lvl w:ilvl="0">
      <w:lvlJc w:val="left"/>
      <w:lvlText w:val="(%1)"/>
      <w:numFmt w:val="lowerLetter"/>
      <w:start w:val="17"/>
    </w:lvl>
  </w:abstractNum>
  <w:abstractNum w:abstractNumId="294">
    <w:nsid w:val="436F2BE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95">
    <w:nsid w:val="6C8B4466"/>
    <w:multiLevelType w:val="hybridMultilevel"/>
    <w:lvl w:ilvl="0">
      <w:lvlJc w:val="left"/>
      <w:lvlText w:val="(%1)"/>
      <w:numFmt w:val="lowerRoman"/>
      <w:start w:val="4"/>
    </w:lvl>
    <w:lvl w:ilvl="1">
      <w:lvlJc w:val="left"/>
      <w:lvlText w:val="-"/>
      <w:numFmt w:val="bullet"/>
      <w:start w:val="1"/>
    </w:lvl>
  </w:abstractNum>
  <w:abstractNum w:abstractNumId="296">
    <w:nsid w:val="2006E424"/>
    <w:multiLevelType w:val="hybridMultilevel"/>
    <w:lvl w:ilvl="0">
      <w:lvlJc w:val="left"/>
      <w:lvlText w:val="%1"/>
      <w:numFmt w:val="lowerLetter"/>
      <w:start w:val="1"/>
    </w:lvl>
    <w:lvl w:ilvl="1">
      <w:lvlJc w:val="left"/>
      <w:lvlText w:val="(%2)"/>
      <w:numFmt w:val="lowerRoman"/>
      <w:start w:val="16"/>
    </w:lvl>
    <w:lvl w:ilvl="2">
      <w:lvlJc w:val="left"/>
      <w:lvlText w:val="-"/>
      <w:numFmt w:val="bullet"/>
      <w:start w:val="1"/>
    </w:lvl>
  </w:abstractNum>
  <w:abstractNum w:abstractNumId="297">
    <w:nsid w:val="20CC134C"/>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98">
    <w:nsid w:val="95FC93B"/>
    <w:multiLevelType w:val="hybridMultilevel"/>
    <w:lvl w:ilvl="0">
      <w:lvlJc w:val="left"/>
      <w:lvlText w:val="(%1)"/>
      <w:numFmt w:val="lowerLetter"/>
      <w:start w:val="1"/>
    </w:lvl>
    <w:lvl w:ilvl="1">
      <w:lvlJc w:val="left"/>
      <w:lvlText w:val="-"/>
      <w:numFmt w:val="bullet"/>
      <w:start w:val="1"/>
    </w:lvl>
  </w:abstractNum>
  <w:abstractNum w:abstractNumId="299">
    <w:nsid w:val="41D74679"/>
    <w:multiLevelType w:val="hybridMultilevel"/>
    <w:lvl w:ilvl="0">
      <w:lvlJc w:val="left"/>
      <w:lvlText w:val="(%1)"/>
      <w:numFmt w:val="lowerLetter"/>
      <w:start w:val="7"/>
    </w:lvl>
    <w:lvl w:ilvl="1">
      <w:lvlJc w:val="left"/>
      <w:lvlText w:val="-"/>
      <w:numFmt w:val="bullet"/>
      <w:start w:val="1"/>
    </w:lvl>
  </w:abstractNum>
  <w:abstractNum w:abstractNumId="300">
    <w:nsid w:val="71E5621E"/>
    <w:multiLevelType w:val="hybridMultilevel"/>
    <w:lvl w:ilvl="0">
      <w:lvlJc w:val="left"/>
      <w:lvlText w:val="(%1)"/>
      <w:numFmt w:val="lowerLetter"/>
      <w:start w:val="17"/>
    </w:lvl>
  </w:abstractNum>
  <w:abstractNum w:abstractNumId="301">
    <w:nsid w:val="4E42B6A8"/>
    <w:multiLevelType w:val="hybridMultilevel"/>
    <w:lvl w:ilvl="0">
      <w:lvlJc w:val="left"/>
      <w:lvlText w:val="(%1)"/>
      <w:numFmt w:val="lowerLetter"/>
      <w:start w:val="1"/>
    </w:lvl>
    <w:lvl w:ilvl="1">
      <w:lvlJc w:val="left"/>
      <w:lvlText w:val="-"/>
      <w:numFmt w:val="bullet"/>
      <w:start w:val="1"/>
    </w:lvl>
  </w:abstractNum>
  <w:abstractNum w:abstractNumId="302">
    <w:nsid w:val="43F8E1AC"/>
    <w:multiLevelType w:val="hybridMultilevel"/>
    <w:lvl w:ilvl="0">
      <w:lvlJc w:val="left"/>
      <w:lvlText w:val="(%1)"/>
      <w:numFmt w:val="lowerLetter"/>
      <w:start w:val="7"/>
    </w:lvl>
  </w:abstractNum>
  <w:abstractNum w:abstractNumId="303">
    <w:nsid w:val="69215DFB"/>
    <w:multiLevelType w:val="hybridMultilevel"/>
    <w:lvl w:ilvl="0">
      <w:lvlJc w:val="left"/>
      <w:lvlText w:val="(%1)"/>
      <w:numFmt w:val="lowerLetter"/>
      <w:start w:val="11"/>
    </w:lvl>
  </w:abstractNum>
  <w:abstractNum w:abstractNumId="304">
    <w:nsid w:val="7ABF196A"/>
    <w:multiLevelType w:val="hybridMultilevel"/>
    <w:lvl w:ilvl="0">
      <w:lvlJc w:val="left"/>
      <w:lvlText w:val="(%1)"/>
      <w:numFmt w:val="lowerLetter"/>
      <w:start w:val="1"/>
    </w:lvl>
    <w:lvl w:ilvl="1">
      <w:lvlJc w:val="left"/>
      <w:lvlText w:val="-"/>
      <w:numFmt w:val="bullet"/>
      <w:start w:val="1"/>
    </w:lvl>
  </w:abstractNum>
  <w:abstractNum w:abstractNumId="305">
    <w:nsid w:val="5E4DB968"/>
    <w:multiLevelType w:val="hybridMultilevel"/>
    <w:lvl w:ilvl="0">
      <w:lvlJc w:val="left"/>
      <w:lvlText w:val="(%1)"/>
      <w:numFmt w:val="lowerLetter"/>
      <w:start w:val="4"/>
    </w:lvl>
  </w:abstractNum>
  <w:abstractNum w:abstractNumId="306">
    <w:nsid w:val="2C06DCF3"/>
    <w:multiLevelType w:val="hybridMultilevel"/>
    <w:lvl w:ilvl="0">
      <w:lvlJc w:val="left"/>
      <w:lvlText w:val="(%1)"/>
      <w:numFmt w:val="lowerLetter"/>
      <w:start w:val="1"/>
    </w:lvl>
    <w:lvl w:ilvl="1">
      <w:lvlJc w:val="left"/>
      <w:lvlText w:val="-"/>
      <w:numFmt w:val="bullet"/>
      <w:start w:val="1"/>
    </w:lvl>
  </w:abstractNum>
  <w:abstractNum w:abstractNumId="307">
    <w:nsid w:val="2E129658"/>
    <w:multiLevelType w:val="hybridMultilevel"/>
    <w:lvl w:ilvl="0">
      <w:lvlJc w:val="left"/>
      <w:lvlText w:val="(%1)"/>
      <w:numFmt w:val="lowerLetter"/>
      <w:start w:val="2"/>
    </w:lvl>
  </w:abstractNum>
  <w:abstractNum w:abstractNumId="308">
    <w:nsid w:val="59F0446"/>
    <w:multiLevelType w:val="hybridMultilevel"/>
    <w:lvl w:ilvl="0">
      <w:lvlJc w:val="left"/>
      <w:lvlText w:val="(%1)"/>
      <w:numFmt w:val="lowerLetter"/>
      <w:start w:val="1"/>
    </w:lvl>
    <w:lvl w:ilvl="1">
      <w:lvlJc w:val="left"/>
      <w:lvlText w:val="-"/>
      <w:numFmt w:val="bullet"/>
      <w:start w:val="1"/>
    </w:lvl>
  </w:abstractNum>
  <w:abstractNum w:abstractNumId="309">
    <w:nsid w:val="30DF306"/>
    <w:multiLevelType w:val="hybridMultilevel"/>
    <w:lvl w:ilvl="0">
      <w:lvlJc w:val="left"/>
      <w:lvlText w:val="(%1)"/>
      <w:numFmt w:val="lowerLetter"/>
      <w:start w:val="1"/>
    </w:lvl>
    <w:lvl w:ilvl="1">
      <w:lvlJc w:val="left"/>
      <w:lvlText w:val="-"/>
      <w:numFmt w:val="bullet"/>
      <w:start w:val="1"/>
    </w:lvl>
  </w:abstractNum>
  <w:abstractNum w:abstractNumId="310">
    <w:nsid w:val="A65647"/>
    <w:multiLevelType w:val="hybridMultilevel"/>
    <w:lvl w:ilvl="0">
      <w:lvlJc w:val="left"/>
      <w:lvlText w:val="(%1)"/>
      <w:numFmt w:val="lowerLetter"/>
      <w:start w:val="8"/>
    </w:lvl>
    <w:lvl w:ilvl="1">
      <w:lvlJc w:val="left"/>
      <w:lvlText w:val="-"/>
      <w:numFmt w:val="bullet"/>
      <w:start w:val="1"/>
    </w:lvl>
  </w:abstractNum>
  <w:abstractNum w:abstractNumId="311">
    <w:nsid w:val="3E5E582B"/>
    <w:multiLevelType w:val="hybridMultilevel"/>
    <w:lvl w:ilvl="0">
      <w:lvlJc w:val="left"/>
      <w:lvlText w:val="(%1)"/>
      <w:numFmt w:val="lowerLetter"/>
      <w:start w:val="14"/>
    </w:lvl>
  </w:abstractNum>
  <w:abstractNum w:abstractNumId="312">
    <w:nsid w:val="257D4626"/>
    <w:multiLevelType w:val="hybridMultilevel"/>
    <w:lvl w:ilvl="0">
      <w:lvlJc w:val="left"/>
      <w:lvlText w:val="(%1)"/>
      <w:numFmt w:val="lowerLetter"/>
      <w:start w:val="1"/>
    </w:lvl>
    <w:lvl w:ilvl="1">
      <w:lvlJc w:val="left"/>
      <w:lvlText w:val="-"/>
      <w:numFmt w:val="bullet"/>
      <w:start w:val="1"/>
    </w:lvl>
  </w:abstractNum>
  <w:abstractNum w:abstractNumId="313">
    <w:nsid w:val="5AA8580E"/>
    <w:multiLevelType w:val="hybridMultilevel"/>
    <w:lvl w:ilvl="0">
      <w:lvlJc w:val="left"/>
      <w:lvlText w:val="(%1)"/>
      <w:numFmt w:val="lowerLetter"/>
      <w:start w:val="1"/>
    </w:lvl>
  </w:abstractNum>
  <w:abstractNum w:abstractNumId="314">
    <w:nsid w:val="68FA8D0D"/>
    <w:multiLevelType w:val="hybridMultilevel"/>
    <w:lvl w:ilvl="0">
      <w:lvlJc w:val="left"/>
      <w:lvlText w:val="(%1)"/>
      <w:numFmt w:val="lowerLetter"/>
      <w:start w:val="2"/>
    </w:lvl>
    <w:lvl w:ilvl="1">
      <w:lvlJc w:val="left"/>
      <w:lvlText w:val="-"/>
      <w:numFmt w:val="bullet"/>
      <w:start w:val="1"/>
    </w:lvl>
  </w:abstractNum>
  <w:abstractNum w:abstractNumId="315">
    <w:nsid w:val="40F2CBD2"/>
    <w:multiLevelType w:val="hybridMultilevel"/>
    <w:lvl w:ilvl="0">
      <w:lvlJc w:val="left"/>
      <w:lvlText w:val="(%1)"/>
      <w:numFmt w:val="lowerLetter"/>
      <w:start w:val="4"/>
    </w:lvl>
  </w:abstractNum>
  <w:abstractNum w:abstractNumId="316">
    <w:nsid w:val="3BD615EB"/>
    <w:multiLevelType w:val="hybridMultilevel"/>
    <w:lvl w:ilvl="0">
      <w:lvlJc w:val="left"/>
      <w:lvlText w:val="(%1)"/>
      <w:numFmt w:val="lowerLetter"/>
      <w:start w:val="1"/>
    </w:lvl>
    <w:lvl w:ilvl="1">
      <w:lvlJc w:val="left"/>
      <w:lvlText w:val="-"/>
      <w:numFmt w:val="bullet"/>
      <w:start w:val="1"/>
    </w:lvl>
  </w:abstractNum>
  <w:abstractNum w:abstractNumId="317">
    <w:nsid w:val="A045AB2"/>
    <w:multiLevelType w:val="hybridMultilevel"/>
    <w:lvl w:ilvl="0">
      <w:lvlJc w:val="left"/>
      <w:lvlText w:val="(%1)"/>
      <w:numFmt w:val="lowerRoman"/>
      <w:start w:val="1"/>
    </w:lvl>
    <w:lvl w:ilvl="1">
      <w:lvlJc w:val="left"/>
      <w:lvlText w:val="-"/>
      <w:numFmt w:val="bullet"/>
      <w:start w:val="1"/>
    </w:lvl>
  </w:abstractNum>
  <w:abstractNum w:abstractNumId="318">
    <w:nsid w:val="1872261F"/>
    <w:multiLevelType w:val="hybridMultilevel"/>
    <w:lvl w:ilvl="0">
      <w:lvlJc w:val="left"/>
      <w:lvlText w:val="(%1)"/>
      <w:numFmt w:val="lowerRoman"/>
      <w:start w:val="10"/>
    </w:lvl>
  </w:abstractNum>
  <w:abstractNum w:abstractNumId="319">
    <w:nsid w:val="3DE8306C"/>
    <w:multiLevelType w:val="hybridMultilevel"/>
    <w:lvl w:ilvl="0">
      <w:lvlJc w:val="left"/>
      <w:lvlText w:val="(%1)"/>
      <w:numFmt w:val="lowerLetter"/>
      <w:start w:val="1"/>
    </w:lvl>
    <w:lvl w:ilvl="1">
      <w:lvlJc w:val="left"/>
      <w:lvlText w:val="-"/>
      <w:numFmt w:val="bullet"/>
      <w:start w:val="1"/>
    </w:lvl>
  </w:abstractNum>
  <w:abstractNum w:abstractNumId="320">
    <w:nsid w:val="7631573A"/>
    <w:multiLevelType w:val="hybridMultilevel"/>
    <w:lvl w:ilvl="0">
      <w:lvlJc w:val="left"/>
      <w:lvlText w:val="(%1)"/>
      <w:numFmt w:val="lowerLetter"/>
      <w:start w:val="3"/>
    </w:lvl>
  </w:abstractNum>
  <w:abstractNum w:abstractNumId="321">
    <w:nsid w:val="58DF53B"/>
    <w:multiLevelType w:val="hybridMultilevel"/>
    <w:lvl w:ilvl="0">
      <w:lvlJc w:val="left"/>
      <w:lvlText w:val="(%1)"/>
      <w:numFmt w:val="lowerRoman"/>
      <w:start w:val="1"/>
    </w:lvl>
  </w:abstractNum>
  <w:abstractNum w:abstractNumId="322">
    <w:nsid w:val="ACDFAC0"/>
    <w:multiLevelType w:val="hybridMultilevel"/>
    <w:lvl w:ilvl="0">
      <w:lvlJc w:val="left"/>
      <w:lvlText w:val="(%1)"/>
      <w:numFmt w:val="lowerRoman"/>
      <w:start w:val="1"/>
    </w:lvl>
    <w:lvl w:ilvl="1">
      <w:lvlJc w:val="left"/>
      <w:lvlText w:val="-"/>
      <w:numFmt w:val="bullet"/>
      <w:start w:val="1"/>
    </w:lvl>
  </w:abstractNum>
  <w:abstractNum w:abstractNumId="323">
    <w:nsid w:val="1F578454"/>
    <w:multiLevelType w:val="hybridMultilevel"/>
    <w:lvl w:ilvl="0">
      <w:lvlJc w:val="left"/>
      <w:lvlText w:val="(%1)"/>
      <w:numFmt w:val="lowerRoman"/>
      <w:start w:val="4"/>
    </w:lvl>
  </w:abstractNum>
  <w:abstractNum w:abstractNumId="324">
    <w:nsid w:val="5B0DAD2A"/>
    <w:multiLevelType w:val="hybridMultilevel"/>
    <w:lvl w:ilvl="0">
      <w:lvlJc w:val="left"/>
      <w:lvlText w:val="(%1)"/>
      <w:numFmt w:val="lowerLetter"/>
      <w:start w:val="1"/>
    </w:lvl>
    <w:lvl w:ilvl="1">
      <w:lvlJc w:val="left"/>
      <w:lvlText w:val="-"/>
      <w:numFmt w:val="bullet"/>
      <w:start w:val="1"/>
    </w:lvl>
  </w:abstractNum>
  <w:abstractNum w:abstractNumId="325">
    <w:nsid w:val="4E3D26AB"/>
    <w:multiLevelType w:val="hybridMultilevel"/>
    <w:lvl w:ilvl="0">
      <w:lvlJc w:val="left"/>
      <w:lvlText w:val="(%1)"/>
      <w:numFmt w:val="lowerLetter"/>
      <w:start w:val="4"/>
    </w:lvl>
  </w:abstractNum>
  <w:abstractNum w:abstractNumId="326">
    <w:nsid w:val="BE2C8B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27">
    <w:nsid w:val="7B14914E"/>
    <w:multiLevelType w:val="hybridMultilevel"/>
    <w:lvl w:ilvl="0">
      <w:lvlJc w:val="left"/>
      <w:lvlText w:val="%1"/>
      <w:numFmt w:val="upperLetter"/>
      <w:start w:val="1"/>
    </w:lvl>
    <w:lvl w:ilvl="1">
      <w:lvlJc w:val="left"/>
      <w:lvlText w:val="(%2)"/>
      <w:numFmt w:val="lowerRoman"/>
      <w:start w:val="5"/>
    </w:lvl>
    <w:lvl w:ilvl="2">
      <w:lvlJc w:val="left"/>
      <w:lvlText w:val="-"/>
      <w:numFmt w:val="bullet"/>
      <w:start w:val="1"/>
    </w:lvl>
  </w:abstractNum>
  <w:abstractNum w:abstractNumId="328">
    <w:nsid w:val="6F0939F8"/>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329">
    <w:nsid w:val="154291F6"/>
    <w:multiLevelType w:val="hybridMultilevel"/>
    <w:lvl w:ilvl="0">
      <w:lvlJc w:val="left"/>
      <w:lvlText w:val="(%1)"/>
      <w:numFmt w:val="lowerRoman"/>
      <w:start w:val="13"/>
    </w:lvl>
  </w:abstractNum>
  <w:abstractNum w:abstractNumId="330">
    <w:nsid w:val="3CEBD7C7"/>
    <w:multiLevelType w:val="hybridMultilevel"/>
    <w:lvl w:ilvl="0">
      <w:lvlJc w:val="left"/>
      <w:lvlText w:val="(%1)"/>
      <w:numFmt w:val="lowerLetter"/>
      <w:start w:val="1"/>
    </w:lvl>
    <w:lvl w:ilvl="1">
      <w:lvlJc w:val="left"/>
      <w:lvlText w:val="-"/>
      <w:numFmt w:val="bullet"/>
      <w:start w:val="1"/>
    </w:lvl>
  </w:abstractNum>
  <w:abstractNum w:abstractNumId="331">
    <w:nsid w:val="60EE9C16"/>
    <w:multiLevelType w:val="hybridMultilevel"/>
    <w:lvl w:ilvl="0">
      <w:lvlJc w:val="left"/>
      <w:lvlText w:val="(%1)"/>
      <w:numFmt w:val="lowerRoman"/>
      <w:start w:val="1"/>
    </w:lvl>
  </w:abstractNum>
  <w:abstractNum w:abstractNumId="332">
    <w:nsid w:val="6385489E"/>
    <w:multiLevelType w:val="hybridMultilevel"/>
    <w:lvl w:ilvl="0">
      <w:lvlJc w:val="left"/>
      <w:lvlText w:val="(%1)"/>
      <w:numFmt w:val="lowerLetter"/>
      <w:start w:val="2"/>
    </w:lvl>
  </w:abstractNum>
  <w:abstractNum w:abstractNumId="333">
    <w:nsid w:val="E4B973"/>
    <w:multiLevelType w:val="hybridMultilevel"/>
    <w:lvl w:ilvl="0">
      <w:lvlJc w:val="left"/>
      <w:lvlText w:val="(%1)"/>
      <w:numFmt w:val="lowerLetter"/>
      <w:start w:val="3"/>
    </w:lvl>
    <w:lvl w:ilvl="1">
      <w:lvlJc w:val="left"/>
      <w:lvlText w:val="-"/>
      <w:numFmt w:val="bullet"/>
      <w:start w:val="1"/>
    </w:lvl>
  </w:abstractNum>
  <w:abstractNum w:abstractNumId="334">
    <w:nsid w:val="4A0FFA11"/>
    <w:multiLevelType w:val="hybridMultilevel"/>
    <w:lvl w:ilvl="0">
      <w:lvlJc w:val="left"/>
      <w:lvlText w:val="(%1)"/>
      <w:numFmt w:val="lowerLetter"/>
      <w:start w:val="4"/>
    </w:lvl>
  </w:abstractNum>
  <w:abstractNum w:abstractNumId="335">
    <w:nsid w:val="5E446208"/>
    <w:multiLevelType w:val="hybridMultilevel"/>
    <w:lvl w:ilvl="0">
      <w:lvlJc w:val="left"/>
      <w:lvlText w:val="(%1)"/>
      <w:numFmt w:val="lowerLetter"/>
      <w:start w:val="4"/>
    </w:lvl>
    <w:lvl w:ilvl="1">
      <w:lvlJc w:val="left"/>
      <w:lvlText w:val="-"/>
      <w:numFmt w:val="bullet"/>
      <w:start w:val="1"/>
    </w:lvl>
  </w:abstractNum>
  <w:abstractNum w:abstractNumId="336">
    <w:nsid w:val="5F3272DB"/>
    <w:multiLevelType w:val="hybridMultilevel"/>
    <w:lvl w:ilvl="0">
      <w:lvlJc w:val="left"/>
      <w:lvlText w:val="(%1)"/>
      <w:numFmt w:val="lowerLetter"/>
      <w:start w:val="1"/>
    </w:lvl>
    <w:lvl w:ilvl="1">
      <w:lvlJc w:val="left"/>
      <w:lvlText w:val="-"/>
      <w:numFmt w:val="bullet"/>
      <w:start w:val="1"/>
    </w:lvl>
  </w:abstractNum>
  <w:abstractNum w:abstractNumId="337">
    <w:nsid w:val="7616D704"/>
    <w:multiLevelType w:val="hybridMultilevel"/>
    <w:lvl w:ilvl="0">
      <w:lvlJc w:val="left"/>
      <w:lvlText w:val="(%1)"/>
      <w:numFmt w:val="lowerRoman"/>
      <w:start w:val="4"/>
    </w:lvl>
    <w:lvl w:ilvl="1">
      <w:lvlJc w:val="left"/>
      <w:lvlText w:val="(%2)"/>
      <w:numFmt w:val="lowerLetter"/>
      <w:start w:val="3"/>
    </w:lvl>
    <w:lvl w:ilvl="2">
      <w:lvlJc w:val="left"/>
      <w:lvlText w:val="-"/>
      <w:numFmt w:val="bullet"/>
      <w:start w:val="1"/>
    </w:lvl>
  </w:abstractNum>
  <w:abstractNum w:abstractNumId="338">
    <w:nsid w:val="C56F860"/>
    <w:multiLevelType w:val="hybridMultilevel"/>
    <w:lvl w:ilvl="0">
      <w:lvlJc w:val="left"/>
      <w:lvlText w:val="(%1)"/>
      <w:numFmt w:val="lowerLetter"/>
      <w:start w:val="4"/>
    </w:lvl>
  </w:abstractNum>
  <w:abstractNum w:abstractNumId="339">
    <w:nsid w:val="64D17722"/>
    <w:multiLevelType w:val="hybridMultilevel"/>
    <w:lvl w:ilvl="0">
      <w:lvlJc w:val="left"/>
      <w:lvlText w:val="(%1)"/>
      <w:numFmt w:val="lowerLetter"/>
      <w:start w:val="5"/>
    </w:lvl>
  </w:abstractNum>
  <w:abstractNum w:abstractNumId="340">
    <w:nsid w:val="7924CA0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41">
    <w:nsid w:val="CFD4EA7"/>
    <w:multiLevelType w:val="hybridMultilevel"/>
    <w:lvl w:ilvl="0">
      <w:lvlJc w:val="left"/>
      <w:lvlText w:val="(%1)"/>
      <w:numFmt w:val="lowerRoman"/>
      <w:start w:val="2"/>
    </w:lvl>
    <w:lvl w:ilvl="1">
      <w:lvlJc w:val="left"/>
      <w:lvlText w:val="-"/>
      <w:numFmt w:val="bullet"/>
      <w:start w:val="1"/>
    </w:lvl>
  </w:abstractNum>
  <w:abstractNum w:abstractNumId="342">
    <w:nsid w:val="232FCF4D"/>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343">
    <w:nsid w:val="1EA21031"/>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344">
    <w:nsid w:val="67A5A6B5"/>
    <w:multiLevelType w:val="hybridMultilevel"/>
    <w:lvl w:ilvl="0">
      <w:lvlJc w:val="left"/>
      <w:lvlText w:val="(%1)"/>
      <w:numFmt w:val="lowerLetter"/>
      <w:start w:val="5"/>
    </w:lvl>
  </w:abstractNum>
  <w:abstractNum w:abstractNumId="345">
    <w:nsid w:val="C2A5C5B"/>
    <w:multiLevelType w:val="hybridMultilevel"/>
    <w:lvl w:ilvl="0">
      <w:lvlJc w:val="left"/>
      <w:lvlText w:val="(%1)"/>
      <w:numFmt w:val="lowerLetter"/>
      <w:start w:val="5"/>
    </w:lvl>
    <w:lvl w:ilvl="1">
      <w:lvlJc w:val="left"/>
      <w:lvlText w:val="-"/>
      <w:numFmt w:val="bullet"/>
      <w:start w:val="1"/>
    </w:lvl>
  </w:abstractNum>
  <w:abstractNum w:abstractNumId="346">
    <w:nsid w:val="5F94DC03"/>
    <w:multiLevelType w:val="hybridMultilevel"/>
    <w:lvl w:ilvl="0">
      <w:lvlJc w:val="left"/>
      <w:lvlText w:val="(%1)"/>
      <w:numFmt w:val="lowerLetter"/>
      <w:start w:val="6"/>
    </w:lvl>
  </w:abstractNum>
  <w:abstractNum w:abstractNumId="347">
    <w:nsid w:val="237BBCA0"/>
    <w:multiLevelType w:val="hybridMultilevel"/>
    <w:lvl w:ilvl="0">
      <w:lvlJc w:val="left"/>
      <w:lvlText w:val="(%1)"/>
      <w:numFmt w:val="lowerRoman"/>
      <w:start w:val="1"/>
    </w:lvl>
    <w:lvl w:ilvl="1">
      <w:lvlJc w:val="left"/>
      <w:lvlText w:val="-"/>
      <w:numFmt w:val="bullet"/>
      <w:start w:val="1"/>
    </w:lvl>
  </w:abstractNum>
  <w:abstractNum w:abstractNumId="348">
    <w:nsid w:val="162EB70D"/>
    <w:multiLevelType w:val="hybridMultilevel"/>
    <w:lvl w:ilvl="0">
      <w:lvlJc w:val="left"/>
      <w:lvlText w:val="(%1)"/>
      <w:numFmt w:val="lowerRoman"/>
      <w:start w:val="10"/>
    </w:lvl>
    <w:lvl w:ilvl="1">
      <w:lvlJc w:val="left"/>
      <w:lvlText w:val="(%2)"/>
      <w:numFmt w:val="lowerRoman"/>
      <w:start w:val="3"/>
    </w:lvl>
  </w:abstractNum>
  <w:abstractNum w:abstractNumId="349">
    <w:nsid w:val="78070222"/>
    <w:multiLevelType w:val="hybridMultilevel"/>
    <w:lvl w:ilvl="0">
      <w:lvlJc w:val="left"/>
      <w:lvlText w:val="(%1)"/>
      <w:numFmt w:val="lowerLetter"/>
      <w:start w:val="1"/>
    </w:lvl>
    <w:lvl w:ilvl="1">
      <w:lvlJc w:val="left"/>
      <w:lvlText w:val="-"/>
      <w:numFmt w:val="bullet"/>
      <w:start w:val="1"/>
    </w:lvl>
  </w:abstractNum>
  <w:abstractNum w:abstractNumId="350">
    <w:nsid w:val="6163ED0D"/>
    <w:multiLevelType w:val="hybridMultilevel"/>
    <w:lvl w:ilvl="0">
      <w:lvlJc w:val="left"/>
      <w:lvlText w:val="(%1)"/>
      <w:numFmt w:val="lowerLetter"/>
      <w:start w:val="1"/>
    </w:lvl>
  </w:abstractNum>
  <w:abstractNum w:abstractNumId="351">
    <w:nsid w:val="C600E47"/>
    <w:multiLevelType w:val="hybridMultilevel"/>
    <w:lvl w:ilvl="0">
      <w:lvlJc w:val="left"/>
      <w:lvlText w:val="(%1)"/>
      <w:numFmt w:val="lowerLetter"/>
      <w:start w:val="1"/>
    </w:lvl>
    <w:lvl w:ilvl="1">
      <w:lvlJc w:val="left"/>
      <w:lvlText w:val="-"/>
      <w:numFmt w:val="bullet"/>
      <w:start w:val="1"/>
    </w:lvl>
  </w:abstractNum>
  <w:abstractNum w:abstractNumId="352">
    <w:nsid w:val="7D94F75D"/>
    <w:multiLevelType w:val="hybridMultilevel"/>
    <w:lvl w:ilvl="0">
      <w:lvlJc w:val="left"/>
      <w:lvlText w:val="(%1)"/>
      <w:numFmt w:val="lowerLetter"/>
      <w:start w:val="2"/>
    </w:lvl>
  </w:abstractNum>
  <w:abstractNum w:abstractNumId="353">
    <w:nsid w:val="6C31E7CD"/>
    <w:multiLevelType w:val="hybridMultilevel"/>
    <w:lvl w:ilvl="0">
      <w:lvlJc w:val="left"/>
      <w:lvlText w:val="(%1)"/>
      <w:numFmt w:val="lowerLetter"/>
      <w:start w:val="1"/>
    </w:lvl>
    <w:lvl w:ilvl="1">
      <w:lvlJc w:val="left"/>
      <w:lvlText w:val="(%2)"/>
      <w:numFmt w:val="lowerRoman"/>
      <w:start w:val="1"/>
    </w:lvl>
  </w:abstractNum>
  <w:abstractNum w:abstractNumId="354">
    <w:nsid w:val="2BB7929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55">
    <w:nsid w:val="58A2A487"/>
    <w:multiLevelType w:val="hybridMultilevel"/>
    <w:lvl w:ilvl="0">
      <w:lvlJc w:val="left"/>
      <w:lvlText w:val="%1"/>
      <w:numFmt w:val="decimal"/>
      <w:start w:val="1"/>
    </w:lvl>
    <w:lvl w:ilvl="1">
      <w:lvlJc w:val="left"/>
      <w:lvlText w:val="%2."/>
      <w:numFmt w:val="lowerLetter"/>
      <w:start w:val="2"/>
    </w:lvl>
  </w:abstractNum>
  <w:abstractNum w:abstractNumId="356">
    <w:nsid w:val="3A6F0E78"/>
    <w:multiLevelType w:val="hybridMultilevel"/>
    <w:lvl w:ilvl="0">
      <w:lvlJc w:val="left"/>
      <w:lvlText w:val="%1."/>
      <w:numFmt w:val="decimal"/>
      <w:start w:val="3"/>
    </w:lvl>
    <w:lvl w:ilvl="1">
      <w:lvlJc w:val="left"/>
      <w:lvlText w:val="%2."/>
      <w:numFmt w:val="lowerLetter"/>
      <w:start w:val="1"/>
    </w:lvl>
  </w:abstractNum>
  <w:abstractNum w:abstractNumId="357">
    <w:nsid w:val="379A5B56"/>
    <w:multiLevelType w:val="hybridMultilevel"/>
    <w:lvl w:ilvl="0">
      <w:lvlJc w:val="left"/>
      <w:lvlText w:val="%1."/>
      <w:numFmt w:val="lowerLetter"/>
      <w:start w:val="6"/>
    </w:lvl>
    <w:lvl w:ilvl="1">
      <w:lvlJc w:val="left"/>
      <w:lvlText w:val="(%2)"/>
      <w:numFmt w:val="lowerRoman"/>
      <w:start w:val="1"/>
    </w:lvl>
  </w:abstractNum>
  <w:abstractNum w:abstractNumId="358">
    <w:nsid w:val="53B735D5"/>
    <w:multiLevelType w:val="hybridMultilevel"/>
    <w:lvl w:ilvl="0">
      <w:lvlJc w:val="left"/>
      <w:lvlText w:val="%1."/>
      <w:numFmt w:val="lowerLetter"/>
      <w:start w:val="8"/>
    </w:lvl>
  </w:abstractNum>
  <w:abstractNum w:abstractNumId="359">
    <w:nsid w:val="29784870"/>
    <w:multiLevelType w:val="hybridMultilevel"/>
    <w:lvl w:ilvl="0">
      <w:lvlJc w:val="left"/>
      <w:lvlText w:val="%1"/>
      <w:numFmt w:val="decimal"/>
      <w:start w:val="1"/>
    </w:lvl>
    <w:lvl w:ilvl="1">
      <w:lvlJc w:val="left"/>
      <w:lvlText w:val="%2."/>
      <w:numFmt w:val="lowerLetter"/>
      <w:start w:val="16"/>
    </w:lvl>
    <w:lvl w:ilvl="2">
      <w:lvlJc w:val="left"/>
      <w:lvlText w:val="%3."/>
      <w:numFmt w:val="lowerRoman"/>
      <w:start w:val="1"/>
    </w:lvl>
  </w:abstractNum>
  <w:abstractNum w:abstractNumId="360">
    <w:nsid w:val="4CDCED4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61">
    <w:nsid w:val="10A30D9C"/>
    <w:multiLevelType w:val="hybridMultilevel"/>
    <w:lvl w:ilvl="0">
      <w:lvlJc w:val="left"/>
      <w:lvlText w:val="%1."/>
      <w:numFmt w:val="lowerLetter"/>
      <w:start w:val="2"/>
    </w:lvl>
  </w:abstractNum>
  <w:abstractNum w:abstractNumId="362">
    <w:nsid w:val="A66E486"/>
    <w:multiLevelType w:val="hybridMultilevel"/>
    <w:lvl w:ilvl="0">
      <w:lvlJc w:val="left"/>
      <w:lvlText w:val="%1."/>
      <w:numFmt w:val="decimal"/>
      <w:start w:val="1"/>
    </w:lvl>
    <w:lvl w:ilvl="1">
      <w:lvlJc w:val="left"/>
      <w:lvlText w:val="%2."/>
      <w:numFmt w:val="lowerLetter"/>
      <w:start w:val="1"/>
    </w:lvl>
  </w:abstractNum>
  <w:abstractNum w:abstractNumId="363">
    <w:nsid w:val="306235EA"/>
    <w:multiLevelType w:val="hybridMultilevel"/>
    <w:lvl w:ilvl="0">
      <w:lvlJc w:val="left"/>
      <w:lvlText w:val="(%1)"/>
      <w:numFmt w:val="decimal"/>
      <w:start w:val="1"/>
    </w:lvl>
  </w:abstractNum>
  <w:abstractNum w:abstractNumId="364">
    <w:nsid w:val="1187C70F"/>
    <w:multiLevelType w:val="hybridMultilevel"/>
    <w:lvl w:ilvl="0">
      <w:lvlJc w:val="left"/>
      <w:lvlText w:val="%1"/>
      <w:numFmt w:val="decimal"/>
      <w:start w:val="1"/>
    </w:lvl>
    <w:lvl w:ilvl="1">
      <w:lvlJc w:val="left"/>
      <w:lvlText w:val="%2."/>
      <w:numFmt w:val="lowerLetter"/>
      <w:start w:val="2"/>
    </w:lvl>
  </w:abstractNum>
  <w:abstractNum w:abstractNumId="365">
    <w:nsid w:val="5476DE98"/>
    <w:multiLevelType w:val="hybridMultilevel"/>
    <w:lvl w:ilvl="0">
      <w:lvlJc w:val="left"/>
      <w:lvlText w:val="%1."/>
      <w:numFmt w:val="decimal"/>
      <w:start w:val="3"/>
    </w:lvl>
    <w:lvl w:ilvl="1">
      <w:lvlJc w:val="left"/>
      <w:lvlText w:val="%2."/>
      <w:numFmt w:val="lowerLetter"/>
      <w:start w:val="1"/>
    </w:lvl>
  </w:abstractNum>
  <w:abstractNum w:abstractNumId="366">
    <w:nsid w:val="EA697F2"/>
    <w:multiLevelType w:val="hybridMultilevel"/>
    <w:lvl w:ilvl="0">
      <w:lvlJc w:val="left"/>
      <w:lvlText w:val="%1."/>
      <w:numFmt w:val="lowerLetter"/>
      <w:start w:val="4"/>
    </w:lvl>
    <w:lvl w:ilvl="1">
      <w:lvlJc w:val="left"/>
      <w:lvlText w:val="(%2)"/>
      <w:numFmt w:val="lowerRoman"/>
      <w:start w:val="1"/>
    </w:lvl>
  </w:abstractNum>
  <w:abstractNum w:abstractNumId="367">
    <w:nsid w:val="70BA39EB"/>
    <w:multiLevelType w:val="hybridMultilevel"/>
    <w:lvl w:ilvl="0">
      <w:lvlJc w:val="left"/>
      <w:lvlText w:val="%1"/>
      <w:numFmt w:val="lowerLetter"/>
      <w:start w:val="1"/>
    </w:lvl>
    <w:lvl w:ilvl="1">
      <w:lvlJc w:val="left"/>
      <w:lvlText w:val="(%2)"/>
      <w:numFmt w:val="lowerRoman"/>
      <w:start w:val="6"/>
    </w:lvl>
  </w:abstractNum>
  <w:abstractNum w:abstractNumId="368">
    <w:nsid w:val="4A8DB59C"/>
    <w:multiLevelType w:val="hybridMultilevel"/>
    <w:lvl w:ilvl="0">
      <w:lvlJc w:val="left"/>
      <w:lvlText w:val="%1."/>
      <w:numFmt w:val="lowerLetter"/>
      <w:start w:val="7"/>
    </w:lvl>
    <w:lvl w:ilvl="1">
      <w:lvlJc w:val="left"/>
      <w:lvlText w:val="%2"/>
      <w:numFmt w:val="lowerRoman"/>
      <w:start w:val="1"/>
    </w:lvl>
  </w:abstractNum>
  <w:abstractNum w:abstractNumId="369">
    <w:nsid w:val="1AFD9053"/>
    <w:multiLevelType w:val="hybridMultilevel"/>
    <w:lvl w:ilvl="0">
      <w:lvlJc w:val="left"/>
      <w:lvlText w:val="%1."/>
      <w:numFmt w:val="lowerLetter"/>
      <w:start w:val="11"/>
    </w:lvl>
  </w:abstractNum>
  <w:abstractNum w:abstractNumId="370">
    <w:nsid w:val="558BB10D"/>
    <w:multiLevelType w:val="hybridMultilevel"/>
    <w:lvl w:ilvl="0">
      <w:lvlJc w:val="left"/>
      <w:lvlText w:val="%1."/>
      <w:numFmt w:val="lowerLetter"/>
      <w:start w:val="16"/>
    </w:lvl>
    <w:lvl w:ilvl="1">
      <w:lvlJc w:val="left"/>
      <w:lvlText w:val="%2."/>
      <w:numFmt w:val="lowerRoman"/>
      <w:start w:val="1"/>
    </w:lvl>
  </w:abstractNum>
  <w:abstractNum w:abstractNumId="371">
    <w:nsid w:val="43B27FA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72">
    <w:nsid w:val="27FADEFA"/>
    <w:multiLevelType w:val="hybridMultilevel"/>
    <w:lvl w:ilvl="0">
      <w:lvlJc w:val="left"/>
      <w:lvlText w:val="%1"/>
      <w:numFmt w:val="decimal"/>
      <w:start w:val="1"/>
    </w:lvl>
    <w:lvl w:ilvl="1">
      <w:lvlJc w:val="left"/>
      <w:lvlText w:val="%2."/>
      <w:numFmt w:val="lowerLetter"/>
      <w:start w:val="18"/>
    </w:lvl>
    <w:lvl w:ilvl="2">
      <w:lvlJc w:val="left"/>
      <w:lvlText w:val="%3"/>
      <w:numFmt w:val="lowerRoman"/>
      <w:start w:val="1"/>
    </w:lvl>
  </w:abstractNum>
  <w:abstractNum w:abstractNumId="373">
    <w:nsid w:val="78BB805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74">
    <w:nsid w:val="62548FD8"/>
    <w:multiLevelType w:val="hybridMultilevel"/>
    <w:lvl w:ilvl="0">
      <w:lvlJc w:val="left"/>
      <w:lvlText w:val="%1."/>
      <w:numFmt w:val="lowerLetter"/>
      <w:start w:val="3"/>
    </w:lvl>
  </w:abstractNum>
  <w:abstractNum w:abstractNumId="375">
    <w:nsid w:val="FA085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6">
    <w:nsid w:val="4E5DCB5"/>
    <w:multiLevelType w:val="hybridMultilevel"/>
    <w:lvl w:ilvl="0">
      <w:lvlJc w:val="left"/>
      <w:lvlText w:val="%1."/>
      <w:numFmt w:val="lowerRoman"/>
      <w:start w:val="9"/>
    </w:lvl>
  </w:abstractNum>
  <w:abstractNum w:abstractNumId="377">
    <w:nsid w:val="41E96BDB"/>
    <w:multiLevelType w:val="hybridMultilevel"/>
    <w:lvl w:ilvl="0">
      <w:lvlJc w:val="left"/>
      <w:lvlText w:val="%1"/>
      <w:numFmt w:val="decimal"/>
      <w:start w:val="1"/>
    </w:lvl>
    <w:lvl w:ilvl="1">
      <w:lvlJc w:val="left"/>
      <w:lvlText w:val="(%2)"/>
      <w:numFmt w:val="lowerLetter"/>
      <w:start w:val="2"/>
    </w:lvl>
  </w:abstractNum>
  <w:abstractNum w:abstractNumId="378">
    <w:nsid w:val="331C4250"/>
    <w:multiLevelType w:val="hybridMultilevel"/>
    <w:lvl w:ilvl="0">
      <w:lvlJc w:val="left"/>
      <w:lvlText w:val="%1."/>
      <w:numFmt w:val="decimal"/>
      <w:start w:val="2"/>
    </w:lvl>
    <w:lvl w:ilvl="1">
      <w:lvlJc w:val="left"/>
      <w:lvlText w:val="(%2)"/>
      <w:numFmt w:val="lowerLetter"/>
      <w:start w:val="1"/>
    </w:lvl>
  </w:abstractNum>
  <w:abstractNum w:abstractNumId="379">
    <w:nsid w:val="1B1493C2"/>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380">
    <w:nsid w:val="39F06DF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decimal"/>
      <w:start w:val="1"/>
    </w:lvl>
  </w:abstractNum>
  <w:abstractNum w:abstractNumId="381">
    <w:nsid w:val="14802F5D"/>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lvl w:ilvl="3">
      <w:lvlJc w:val="left"/>
      <w:lvlText w:val="(%4)"/>
      <w:numFmt w:val="decimal"/>
      <w:start w:val="1"/>
    </w:lvl>
  </w:abstractNum>
  <w:abstractNum w:abstractNumId="382">
    <w:nsid w:val="2774A209"/>
    <w:multiLevelType w:val="hybridMultilevel"/>
    <w:lvl w:ilvl="0">
      <w:lvlJc w:val="left"/>
      <w:lvlText w:val="(%1)"/>
      <w:numFmt w:val="decimal"/>
      <w:start w:val="2"/>
    </w:lvl>
  </w:abstractNum>
  <w:abstractNum w:abstractNumId="383">
    <w:nsid w:val="378565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84">
    <w:nsid w:val="B2172A"/>
    <w:multiLevelType w:val="hybridMultilevel"/>
    <w:lvl w:ilvl="0">
      <w:lvlJc w:val="left"/>
      <w:lvlText w:val="%1"/>
      <w:numFmt w:val="decimal"/>
      <w:start w:val="1"/>
    </w:lvl>
    <w:lvl w:ilvl="1">
      <w:lvlJc w:val="left"/>
      <w:lvlText w:val="(%2)"/>
      <w:numFmt w:val="lowerRoman"/>
      <w:start w:val="2"/>
    </w:lvl>
  </w:abstractNum>
  <w:abstractNum w:abstractNumId="385">
    <w:nsid w:val="532C34A5"/>
    <w:multiLevelType w:val="hybridMultilevel"/>
    <w:lvl w:ilvl="0">
      <w:lvlJc w:val="left"/>
      <w:lvlText w:val="(%1)"/>
      <w:numFmt w:val="decimal"/>
      <w:start w:val="2"/>
    </w:lvl>
    <w:lvl w:ilvl="1">
      <w:lvlJc w:val="left"/>
      <w:lvlText w:val="(%2)"/>
      <w:numFmt w:val="lowerRoman"/>
      <w:start w:val="8"/>
    </w:lvl>
  </w:abstractNum>
  <w:abstractNum w:abstractNumId="386">
    <w:nsid w:val="102809E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387">
    <w:nsid w:val="3B2125A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88">
    <w:nsid w:val="AC68FF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89">
    <w:nsid w:val="63DF3FB7"/>
    <w:multiLevelType w:val="hybridMultilevel"/>
    <w:lvl w:ilvl="0">
      <w:lvlJc w:val="left"/>
      <w:lvlText w:val="(%1)"/>
      <w:numFmt w:val="decimal"/>
      <w:start w:val="10"/>
    </w:lvl>
    <w:lvl w:ilvl="1">
      <w:lvlJc w:val="left"/>
      <w:lvlText w:val="(%2)"/>
      <w:numFmt w:val="lowerLetter"/>
      <w:start w:val="2"/>
    </w:lvl>
  </w:abstractNum>
  <w:abstractNum w:abstractNumId="390">
    <w:nsid w:val="64996E13"/>
    <w:multiLevelType w:val="hybridMultilevel"/>
    <w:lvl w:ilvl="0">
      <w:lvlJc w:val="left"/>
      <w:lvlText w:val="%1"/>
      <w:numFmt w:val="decimal"/>
      <w:start w:val="1"/>
    </w:lvl>
    <w:lvl w:ilvl="1">
      <w:lvlJc w:val="left"/>
      <w:lvlText w:val="(%2)"/>
      <w:numFmt w:val="lowerLetter"/>
      <w:start w:val="5"/>
    </w:lvl>
  </w:abstractNum>
  <w:abstractNum w:abstractNumId="391">
    <w:nsid w:val="57A37D47"/>
    <w:multiLevelType w:val="hybridMultilevel"/>
    <w:lvl w:ilvl="0">
      <w:lvlJc w:val="left"/>
      <w:lvlText w:val="%1."/>
      <w:numFmt w:val="decimal"/>
      <w:start w:val="4"/>
    </w:lvl>
    <w:lvl w:ilvl="1">
      <w:lvlJc w:val="left"/>
      <w:lvlText w:val="(%2)"/>
      <w:numFmt w:val="lowerLetter"/>
      <w:start w:val="1"/>
    </w:lvl>
  </w:abstractNum>
  <w:abstractNum w:abstractNumId="392">
    <w:nsid w:val="74824D54"/>
    <w:multiLevelType w:val="hybridMultilevel"/>
    <w:lvl w:ilvl="0">
      <w:lvlJc w:val="left"/>
      <w:lvlText w:val="(%1)"/>
      <w:numFmt w:val="lowerLetter"/>
      <w:start w:val="1"/>
    </w:lvl>
  </w:abstractNum>
  <w:abstractNum w:abstractNumId="393">
    <w:nsid w:val="6F00529A"/>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394">
    <w:nsid w:val="805B331"/>
    <w:multiLevelType w:val="hybridMultilevel"/>
    <w:lvl w:ilvl="0">
      <w:lvlJc w:val="left"/>
      <w:lvlText w:val="(%1)"/>
      <w:numFmt w:val="upperLetter"/>
      <w:start w:val="3"/>
    </w:lvl>
    <w:lvl w:ilvl="1">
      <w:lvlJc w:val="left"/>
      <w:lvlText w:val="(%2)"/>
      <w:numFmt w:val="lowerLetter"/>
      <w:start w:val="3"/>
    </w:lvl>
    <w:lvl w:ilvl="2">
      <w:lvlJc w:val="left"/>
      <w:lvlText w:val="(%3)"/>
      <w:numFmt w:val="lowerRoman"/>
      <w:start w:val="5"/>
    </w:lvl>
  </w:abstractNum>
  <w:abstractNum w:abstractNumId="395">
    <w:nsid w:val="60A1463"/>
    <w:multiLevelType w:val="hybridMultilevel"/>
    <w:lvl w:ilvl="0">
      <w:lvlJc w:val="left"/>
      <w:lvlText w:val="%1"/>
      <w:numFmt w:val="lowerLetter"/>
      <w:start w:val="1"/>
    </w:lvl>
    <w:lvl w:ilvl="1">
      <w:lvlJc w:val="left"/>
      <w:lvlText w:val="(%2)"/>
      <w:numFmt w:val="lowerRoman"/>
      <w:start w:val="1"/>
    </w:lvl>
  </w:abstractNum>
  <w:abstractNum w:abstractNumId="396">
    <w:nsid w:val="43773132"/>
    <w:multiLevelType w:val="hybridMultilevel"/>
    <w:lvl w:ilvl="0">
      <w:lvlJc w:val="left"/>
      <w:lvlText w:val="(%1)"/>
      <w:numFmt w:val="lowerLetter"/>
      <w:start w:val="6"/>
    </w:lvl>
    <w:lvl w:ilvl="1">
      <w:lvlJc w:val="left"/>
      <w:lvlText w:val="%2"/>
      <w:numFmt w:val="lowerRoman"/>
      <w:start w:val="1"/>
    </w:lvl>
  </w:abstractNum>
  <w:abstractNum w:abstractNumId="397">
    <w:nsid w:val="16AC4B23"/>
    <w:multiLevelType w:val="hybridMultilevel"/>
    <w:lvl w:ilvl="0">
      <w:lvlJc w:val="left"/>
      <w:lvlText w:val="%1"/>
      <w:numFmt w:val="lowerRoman"/>
      <w:start w:val="1"/>
    </w:lvl>
    <w:lvl w:ilvl="1">
      <w:lvlJc w:val="left"/>
      <w:lvlText w:val="(%2)"/>
      <w:numFmt w:val="lowerLetter"/>
      <w:start w:val="9"/>
    </w:lvl>
  </w:abstractNum>
  <w:abstractNum w:abstractNumId="398">
    <w:nsid w:val="76C44E4E"/>
    <w:multiLevelType w:val="hybridMultilevel"/>
    <w:lvl w:ilvl="0">
      <w:lvlJc w:val="left"/>
      <w:lvlText w:val="(%1)"/>
      <w:numFmt w:val="lowerRoman"/>
      <w:start w:val="4"/>
    </w:lvl>
    <w:lvl w:ilvl="1">
      <w:lvlJc w:val="left"/>
      <w:lvlText w:val="%2"/>
      <w:numFmt w:val="lowerLetter"/>
      <w:start w:val="1"/>
    </w:lvl>
  </w:abstractNum>
  <w:abstractNum w:abstractNumId="399">
    <w:nsid w:val="E04E6C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00">
    <w:nsid w:val="31A9DB76"/>
    <w:multiLevelType w:val="hybridMultilevel"/>
    <w:lvl w:ilvl="0">
      <w:lvlJc w:val="left"/>
      <w:lvlText w:val="%1"/>
      <w:numFmt w:val="lowerLetter"/>
      <w:start w:val="1"/>
    </w:lvl>
    <w:lvl w:ilvl="1">
      <w:lvlJc w:val="left"/>
      <w:lvlText w:val="(%2)"/>
      <w:numFmt w:val="lowerRoman"/>
      <w:start w:val="1"/>
    </w:lvl>
  </w:abstractNum>
  <w:abstractNum w:abstractNumId="401">
    <w:nsid w:val="4C4FFF5B"/>
    <w:multiLevelType w:val="hybridMultilevel"/>
    <w:lvl w:ilvl="0">
      <w:lvlJc w:val="left"/>
      <w:lvlText w:val="(%1)"/>
      <w:numFmt w:val="lowerLetter"/>
      <w:start w:val="3"/>
    </w:lvl>
    <w:lvl w:ilvl="1">
      <w:lvlJc w:val="left"/>
      <w:lvlText w:val="(%2)"/>
      <w:numFmt w:val="lowerRoman"/>
      <w:start w:val="1"/>
    </w:lvl>
  </w:abstractNum>
  <w:abstractNum w:abstractNumId="402">
    <w:nsid w:val="51B76675"/>
    <w:multiLevelType w:val="hybridMultilevel"/>
    <w:lvl w:ilvl="0">
      <w:lvlJc w:val="left"/>
      <w:lvlText w:val="%1"/>
      <w:numFmt w:val="lowerLetter"/>
      <w:start w:val="1"/>
    </w:lvl>
    <w:lvl w:ilvl="1">
      <w:lvlJc w:val="left"/>
      <w:lvlText w:val="(%2)"/>
      <w:numFmt w:val="lowerRoman"/>
      <w:start w:val="2"/>
    </w:lvl>
  </w:abstractNum>
  <w:abstractNum w:abstractNumId="403">
    <w:nsid w:val="59A4BA71"/>
    <w:multiLevelType w:val="hybridMultilevel"/>
    <w:lvl w:ilvl="0">
      <w:lvlJc w:val="left"/>
      <w:lvlText w:val="(%1)"/>
      <w:numFmt w:val="lowerLetter"/>
      <w:start w:val="4"/>
    </w:lvl>
    <w:lvl w:ilvl="1">
      <w:lvlJc w:val="left"/>
      <w:lvlText w:val="%2"/>
      <w:numFmt w:val="lowerRoman"/>
      <w:start w:val="1"/>
    </w:lvl>
  </w:abstractNum>
  <w:abstractNum w:abstractNumId="404">
    <w:nsid w:val="450B7FB6"/>
    <w:multiLevelType w:val="hybridMultilevel"/>
    <w:lvl w:ilvl="0">
      <w:lvlJc w:val="left"/>
      <w:lvlText w:val="%1."/>
      <w:numFmt w:val="decimal"/>
      <w:start w:val="7"/>
    </w:lvl>
    <w:lvl w:ilvl="1">
      <w:lvlJc w:val="left"/>
      <w:lvlText w:val="(%2)"/>
      <w:numFmt w:val="lowerLetter"/>
      <w:start w:val="1"/>
    </w:lvl>
  </w:abstractNum>
  <w:abstractNum w:abstractNumId="405">
    <w:nsid w:val="340BF64D"/>
    <w:multiLevelType w:val="hybridMultilevel"/>
    <w:lvl w:ilvl="0">
      <w:lvlJc w:val="left"/>
      <w:lvlText w:val="(%1)"/>
      <w:numFmt w:val="lowerLetter"/>
      <w:start w:val="5"/>
    </w:lvl>
  </w:abstractNum>
  <w:abstractNum w:abstractNumId="406">
    <w:nsid w:val="69454021"/>
    <w:multiLevelType w:val="hybridMultilevel"/>
    <w:lvl w:ilvl="0">
      <w:lvlJc w:val="left"/>
      <w:lvlText w:val="(%1)"/>
      <w:numFmt w:val="lowerLetter"/>
      <w:start w:val="35"/>
    </w:lvl>
    <w:lvl w:ilvl="1">
      <w:lvlJc w:val="left"/>
      <w:lvlText w:val="(%2)"/>
      <w:numFmt w:val="lowerLetter"/>
      <w:start w:val="8"/>
    </w:lvl>
  </w:abstractNum>
  <w:abstractNum w:abstractNumId="407">
    <w:nsid w:val="49F15C6B"/>
    <w:multiLevelType w:val="hybridMultilevel"/>
    <w:lvl w:ilvl="0">
      <w:lvlJc w:val="left"/>
      <w:lvlText w:val="%1"/>
      <w:numFmt w:val="decimal"/>
      <w:start w:val="1"/>
    </w:lvl>
    <w:lvl w:ilvl="1">
      <w:lvlJc w:val="left"/>
      <w:lvlText w:val="(%2)"/>
      <w:numFmt w:val="lowerLetter"/>
      <w:start w:val="10"/>
    </w:lvl>
  </w:abstractNum>
  <w:abstractNum w:abstractNumId="408">
    <w:nsid w:val="75F56228"/>
    <w:multiLevelType w:val="hybridMultilevel"/>
    <w:lvl w:ilvl="0">
      <w:lvlJc w:val="left"/>
      <w:lvlText w:val="%1."/>
      <w:numFmt w:val="decimal"/>
      <w:start w:val="9"/>
    </w:lvl>
    <w:lvl w:ilvl="1">
      <w:lvlJc w:val="left"/>
      <w:lvlText w:val="(%2)"/>
      <w:numFmt w:val="lowerLetter"/>
      <w:start w:val="1"/>
    </w:lvl>
  </w:abstractNum>
  <w:abstractNum w:abstractNumId="409">
    <w:nsid w:val="1C618271"/>
    <w:multiLevelType w:val="hybridMultilevel"/>
    <w:lvl w:ilvl="0">
      <w:lvlJc w:val="left"/>
      <w:lvlText w:val="(%1)"/>
      <w:numFmt w:val="lowerRoman"/>
      <w:start w:val="1"/>
    </w:lvl>
  </w:abstractNum>
  <w:abstractNum w:abstractNumId="410">
    <w:nsid w:val="6505F02E"/>
    <w:multiLevelType w:val="hybridMultilevel"/>
    <w:lvl w:ilvl="0">
      <w:lvlJc w:val="left"/>
      <w:lvlText w:val="%1"/>
      <w:numFmt w:val="decimal"/>
      <w:start w:val="1"/>
    </w:lvl>
    <w:lvl w:ilvl="1">
      <w:lvlJc w:val="left"/>
      <w:lvlText w:val="(%2)"/>
      <w:numFmt w:val="lowerLetter"/>
      <w:start w:val="4"/>
    </w:lvl>
  </w:abstractNum>
  <w:abstractNum w:abstractNumId="411">
    <w:nsid w:val="2FE5D025"/>
    <w:multiLevelType w:val="hybridMultilevel"/>
    <w:lvl w:ilvl="0">
      <w:lvlJc w:val="left"/>
      <w:lvlText w:val="%1."/>
      <w:numFmt w:val="decimal"/>
      <w:start w:val="10"/>
    </w:lvl>
    <w:lvl w:ilvl="1">
      <w:lvlJc w:val="left"/>
      <w:lvlText w:val="(%2)"/>
      <w:numFmt w:val="lowerLetter"/>
      <w:start w:val="1"/>
    </w:lvl>
  </w:abstractNum>
  <w:abstractNum w:abstractNumId="412">
    <w:nsid w:val="30E1B1CF"/>
    <w:multiLevelType w:val="hybridMultilevel"/>
    <w:lvl w:ilvl="0">
      <w:lvlJc w:val="left"/>
      <w:lvlText w:val="%1."/>
      <w:numFmt w:val="decimal"/>
      <w:start w:val="12"/>
    </w:lvl>
  </w:abstractNum>
  <w:abstractNum w:abstractNumId="413">
    <w:nsid w:val="C7A9237"/>
    <w:multiLevelType w:val="hybridMultilevel"/>
    <w:lvl w:ilvl="0">
      <w:lvlJc w:val="left"/>
      <w:lvlText w:val="%1."/>
      <w:numFmt w:val="decimal"/>
      <w:start w:val="13"/>
    </w:lvl>
    <w:lvl w:ilvl="1">
      <w:lvlJc w:val="left"/>
      <w:lvlText w:val="(%2)"/>
      <w:numFmt w:val="lowerLetter"/>
      <w:start w:val="1"/>
    </w:lvl>
  </w:abstractNum>
  <w:abstractNum w:abstractNumId="414">
    <w:nsid w:val="676B3580"/>
    <w:multiLevelType w:val="hybridMultilevel"/>
    <w:lvl w:ilvl="0">
      <w:lvlJc w:val="left"/>
      <w:lvlText w:val="(%1)"/>
      <w:numFmt w:val="lowerRoman"/>
      <w:start w:val="1"/>
    </w:lvl>
  </w:abstractNum>
  <w:abstractNum w:abstractNumId="415">
    <w:nsid w:val="3193C8F9"/>
    <w:multiLevelType w:val="hybridMultilevel"/>
    <w:lvl w:ilvl="0">
      <w:lvlJc w:val="left"/>
      <w:lvlText w:val="(%1)"/>
      <w:numFmt w:val="lowerLetter"/>
      <w:start w:val="8"/>
    </w:lvl>
  </w:abstractNum>
  <w:abstractNum w:abstractNumId="416">
    <w:nsid w:val="5FA6C6DC"/>
    <w:multiLevelType w:val="hybridMultilevel"/>
    <w:lvl w:ilvl="0">
      <w:lvlJc w:val="left"/>
      <w:lvlText w:val="(%1)"/>
      <w:numFmt w:val="lowerLetter"/>
      <w:start w:val="13"/>
    </w:lvl>
    <w:lvl w:ilvl="1">
      <w:lvlJc w:val="left"/>
      <w:lvlText w:val="(%2)"/>
      <w:numFmt w:val="lowerRoman"/>
      <w:start w:val="1"/>
    </w:lvl>
  </w:abstractNum>
  <w:abstractNum w:abstractNumId="417">
    <w:nsid w:val="77933F62"/>
    <w:multiLevelType w:val="hybridMultilevel"/>
    <w:lvl w:ilvl="0">
      <w:lvlJc w:val="left"/>
      <w:lvlText w:val="(%1)"/>
      <w:numFmt w:val="lowerLetter"/>
      <w:start w:val="14"/>
    </w:lvl>
  </w:abstractNum>
  <w:abstractNum w:abstractNumId="418">
    <w:nsid w:val="6CB4EE9C"/>
    <w:multiLevelType w:val="hybridMultilevel"/>
    <w:lvl w:ilvl="0">
      <w:lvlJc w:val="left"/>
      <w:lvlText w:val="(%1)"/>
      <w:numFmt w:val="lowerLetter"/>
      <w:start w:val="17"/>
    </w:lvl>
    <w:lvl w:ilvl="1">
      <w:lvlJc w:val="left"/>
      <w:lvlText w:val="(%2)"/>
      <w:numFmt w:val="lowerLetter"/>
      <w:start w:val="22"/>
    </w:lvl>
    <w:lvl w:ilvl="2">
      <w:lvlJc w:val="left"/>
      <w:lvlText w:val="(%3)"/>
      <w:numFmt w:val="lowerRoman"/>
      <w:start w:val="1"/>
    </w:lvl>
  </w:abstractNum>
  <w:abstractNum w:abstractNumId="419">
    <w:nsid w:val="6A6D56D7"/>
    <w:multiLevelType w:val="hybridMultilevel"/>
    <w:lvl w:ilvl="0">
      <w:lvlJc w:val="left"/>
      <w:lvlText w:val="(%1)"/>
      <w:numFmt w:val="lowerLetter"/>
      <w:start w:val="25"/>
    </w:lvl>
  </w:abstractNum>
  <w:abstractNum w:abstractNumId="420">
    <w:nsid w:val="5B727F19"/>
    <w:multiLevelType w:val="hybridMultilevel"/>
    <w:lvl w:ilvl="0">
      <w:lvlJc w:val="left"/>
      <w:lvlText w:val="(%1)"/>
      <w:numFmt w:val="lowerLetter"/>
      <w:start w:val="27"/>
    </w:lvl>
  </w:abstractNum>
  <w:abstractNum w:abstractNumId="421">
    <w:nsid w:val="514E5CB0"/>
    <w:multiLevelType w:val="hybridMultilevel"/>
    <w:lvl w:ilvl="0">
      <w:lvlJc w:val="left"/>
      <w:lvlText w:val="(%1)"/>
      <w:numFmt w:val="lowerRoman"/>
      <w:start w:val="2"/>
    </w:lvl>
    <w:lvl w:ilvl="1">
      <w:lvlJc w:val="left"/>
      <w:lvlText w:val="%2"/>
      <w:numFmt w:val="lowerLetter"/>
      <w:start w:val="1"/>
    </w:lvl>
  </w:abstractNum>
  <w:abstractNum w:abstractNumId="422">
    <w:nsid w:val="4210D41E"/>
    <w:multiLevelType w:val="hybridMultilevel"/>
    <w:lvl w:ilvl="0">
      <w:lvlJc w:val="left"/>
      <w:lvlText w:val="(%1)"/>
      <w:numFmt w:val="lowerRoman"/>
      <w:start w:val="22"/>
    </w:lvl>
    <w:lvl w:ilvl="1">
      <w:lvlJc w:val="left"/>
      <w:lvlText w:val="(%2)"/>
      <w:numFmt w:val="lowerLetter"/>
      <w:start w:val="38"/>
    </w:lvl>
  </w:abstractNum>
  <w:abstractNum w:abstractNumId="423">
    <w:nsid w:val="4FF4CC6D"/>
    <w:multiLevelType w:val="hybridMultilevel"/>
    <w:lvl w:ilvl="0">
      <w:lvlJc w:val="left"/>
      <w:lvlText w:val="(%1)"/>
      <w:numFmt w:val="lowerLetter"/>
      <w:start w:val="42"/>
    </w:lvl>
  </w:abstractNum>
  <w:abstractNum w:abstractNumId="424">
    <w:nsid w:val="404EAF4A"/>
    <w:multiLevelType w:val="hybridMultilevel"/>
    <w:lvl w:ilvl="0">
      <w:lvlJc w:val="left"/>
      <w:lvlText w:val="(%1)"/>
      <w:numFmt w:val="lowerLetter"/>
      <w:start w:val="53"/>
    </w:lvl>
  </w:abstractNum>
  <w:abstractNum w:abstractNumId="425">
    <w:nsid w:val="4A16874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26">
    <w:nsid w:val="55FEE0D1"/>
    <w:multiLevelType w:val="hybridMultilevel"/>
    <w:lvl w:ilvl="0">
      <w:lvlJc w:val="left"/>
      <w:lvlText w:val="%1"/>
      <w:numFmt w:val="decimal"/>
      <w:start w:val="1"/>
    </w:lvl>
    <w:lvl w:ilvl="1">
      <w:lvlJc w:val="left"/>
      <w:lvlText w:val="(%2)"/>
      <w:numFmt w:val="lowerLetter"/>
      <w:start w:val="3"/>
    </w:lvl>
  </w:abstractNum>
  <w:abstractNum w:abstractNumId="427">
    <w:nsid w:val="3C5E07C"/>
    <w:multiLevelType w:val="hybridMultilevel"/>
    <w:lvl w:ilvl="0">
      <w:lvlJc w:val="left"/>
      <w:lvlText w:val="%1."/>
      <w:numFmt w:val="decimal"/>
      <w:start w:val="3"/>
    </w:lvl>
    <w:lvl w:ilvl="1">
      <w:lvlJc w:val="left"/>
      <w:lvlText w:val="(%2)"/>
      <w:numFmt w:val="lowerLetter"/>
      <w:start w:val="1"/>
    </w:lvl>
  </w:abstractNum>
  <w:abstractNum w:abstractNumId="428">
    <w:nsid w:val="60C2D273"/>
    <w:multiLevelType w:val="hybridMultilevel"/>
    <w:lvl w:ilvl="0">
      <w:lvlJc w:val="left"/>
      <w:lvlText w:val="%1."/>
      <w:numFmt w:val="decimal"/>
      <w:start w:val="4"/>
    </w:lvl>
  </w:abstractNum>
  <w:abstractNum w:abstractNumId="429">
    <w:nsid w:val="4CC32F1F"/>
    <w:multiLevelType w:val="hybridMultilevel"/>
    <w:lvl w:ilvl="0">
      <w:lvlJc w:val="left"/>
      <w:lvlText w:val="%1."/>
      <w:numFmt w:val="decimal"/>
      <w:start w:val="5"/>
    </w:lvl>
  </w:abstractNum>
  <w:abstractNum w:abstractNumId="430">
    <w:nsid w:val="11CAC74A"/>
    <w:multiLevelType w:val="hybridMultilevel"/>
    <w:lvl w:ilvl="0">
      <w:lvlJc w:val="left"/>
      <w:lvlText w:val="(%1)"/>
      <w:numFmt w:val="lowerLetter"/>
      <w:start w:val="1"/>
    </w:lvl>
  </w:abstractNum>
  <w:abstractNum w:abstractNumId="431">
    <w:nsid w:val="126CADE9"/>
    <w:multiLevelType w:val="hybridMultilevel"/>
    <w:lvl w:ilvl="0">
      <w:lvlJc w:val="left"/>
      <w:lvlText w:val="(%1)"/>
      <w:numFmt w:val="lowerLetter"/>
      <w:start w:val="6"/>
    </w:lvl>
  </w:abstractNum>
  <w:abstractNum w:abstractNumId="432">
    <w:nsid w:val="19132E7B"/>
    <w:multiLevelType w:val="hybridMultilevel"/>
    <w:lvl w:ilvl="0">
      <w:lvlJc w:val="left"/>
      <w:lvlText w:val="%1"/>
      <w:numFmt w:val="decimal"/>
      <w:start w:val="1"/>
    </w:lvl>
    <w:lvl w:ilvl="1">
      <w:lvlJc w:val="left"/>
      <w:lvlText w:val="(%2)"/>
      <w:numFmt w:val="lowerLetter"/>
      <w:start w:val="10"/>
    </w:lvl>
  </w:abstractNum>
  <w:abstractNum w:abstractNumId="433">
    <w:nsid w:val="63822DC0"/>
    <w:multiLevelType w:val="hybridMultilevel"/>
    <w:lvl w:ilvl="0">
      <w:lvlJc w:val="left"/>
      <w:lvlText w:val="%1."/>
      <w:numFmt w:val="decimal"/>
      <w:start w:val="6"/>
    </w:lvl>
    <w:lvl w:ilvl="1">
      <w:lvlJc w:val="left"/>
      <w:lvlText w:val="(%2)"/>
      <w:numFmt w:val="lowerLetter"/>
      <w:start w:val="1"/>
    </w:lvl>
  </w:abstractNum>
  <w:abstractNum w:abstractNumId="434">
    <w:nsid w:val="6C11685A"/>
    <w:multiLevelType w:val="hybridMultilevel"/>
    <w:lvl w:ilvl="0">
      <w:lvlJc w:val="left"/>
      <w:lvlText w:val="%1"/>
      <w:numFmt w:val="lowerLetter"/>
      <w:start w:val="1"/>
    </w:lvl>
    <w:lvl w:ilvl="1">
      <w:lvlJc w:val="left"/>
      <w:lvlText w:val="(%2)"/>
      <w:numFmt w:val="lowerRoman"/>
      <w:start w:val="1"/>
    </w:lvl>
  </w:abstractNum>
  <w:abstractNum w:abstractNumId="435">
    <w:nsid w:val="5E1EAE31"/>
    <w:multiLevelType w:val="hybridMultilevel"/>
    <w:lvl w:ilvl="0">
      <w:lvlJc w:val="left"/>
      <w:lvlText w:val="(%1)"/>
      <w:numFmt w:val="lowerLetter"/>
      <w:start w:val="2"/>
    </w:lvl>
    <w:lvl w:ilvl="1">
      <w:lvlJc w:val="left"/>
      <w:lvlText w:val="(%2)"/>
      <w:numFmt w:val="lowerRoman"/>
      <w:start w:val="1"/>
    </w:lvl>
  </w:abstractNum>
  <w:abstractNum w:abstractNumId="436">
    <w:nsid w:val="178E24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37">
    <w:nsid w:val="5556A87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38">
    <w:nsid w:val="28100A9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39">
    <w:nsid w:val="D838636"/>
    <w:multiLevelType w:val="hybridMultilevel"/>
    <w:lvl w:ilvl="0">
      <w:lvlJc w:val="left"/>
      <w:lvlText w:val="%1."/>
      <w:numFmt w:val="decimal"/>
      <w:start w:val="8"/>
    </w:lvl>
    <w:lvl w:ilvl="1">
      <w:lvlJc w:val="left"/>
      <w:lvlText w:val="(%2)"/>
      <w:numFmt w:val="lowerLetter"/>
      <w:start w:val="1"/>
    </w:lvl>
  </w:abstractNum>
  <w:abstractNum w:abstractNumId="440">
    <w:nsid w:val="71B82AED"/>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441">
    <w:nsid w:val="D15FACA"/>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442">
    <w:nsid w:val="3D69565B"/>
    <w:multiLevelType w:val="hybridMultilevel"/>
    <w:lvl w:ilvl="0">
      <w:lvlJc w:val="left"/>
      <w:lvlText w:val="%1"/>
      <w:numFmt w:val="lowerLetter"/>
      <w:start w:val="1"/>
    </w:lvl>
    <w:lvl w:ilvl="1">
      <w:lvlJc w:val="left"/>
      <w:lvlText w:val="(%2)"/>
      <w:numFmt w:val="lowerRoman"/>
      <w:start w:val="2"/>
    </w:lvl>
  </w:abstractNum>
  <w:abstractNum w:abstractNumId="443">
    <w:nsid w:val="2299DCBC"/>
    <w:multiLevelType w:val="hybridMultilevel"/>
    <w:lvl w:ilvl="0">
      <w:lvlJc w:val="left"/>
      <w:lvlText w:val="(%1)"/>
      <w:numFmt w:val="lowerLetter"/>
      <w:start w:val="4"/>
    </w:lvl>
    <w:lvl w:ilvl="1">
      <w:lvlJc w:val="left"/>
      <w:lvlText w:val="%2"/>
      <w:numFmt w:val="lowerRoman"/>
      <w:start w:val="1"/>
    </w:lvl>
  </w:abstractNum>
  <w:abstractNum w:abstractNumId="444">
    <w:nsid w:val="19908D02"/>
    <w:multiLevelType w:val="hybridMultilevel"/>
    <w:lvl w:ilvl="0">
      <w:lvlJc w:val="left"/>
      <w:lvlText w:val="(%1)"/>
      <w:numFmt w:val="lowerLetter"/>
      <w:start w:val="5"/>
    </w:lvl>
    <w:lvl w:ilvl="1">
      <w:lvlJc w:val="left"/>
      <w:lvlText w:val="(%2)"/>
      <w:numFmt w:val="lowerRoman"/>
      <w:start w:val="1"/>
    </w:lvl>
  </w:abstractNum>
  <w:abstractNum w:abstractNumId="445">
    <w:nsid w:val="24D48B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446">
    <w:nsid w:val="542DA5B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47">
    <w:nsid w:val="793753DE"/>
    <w:multiLevelType w:val="hybridMultilevel"/>
    <w:lvl w:ilvl="0">
      <w:lvlJc w:val="left"/>
      <w:lvlText w:val="%1."/>
      <w:numFmt w:val="decimal"/>
      <w:start w:val="13"/>
    </w:lvl>
  </w:abstractNum>
  <w:abstractNum w:abstractNumId="448">
    <w:nsid w:val="1C67CB3D"/>
    <w:multiLevelType w:val="hybridMultilevel"/>
    <w:lvl w:ilvl="0">
      <w:lvlJc w:val="left"/>
      <w:lvlText w:val="%1."/>
      <w:numFmt w:val="decimal"/>
      <w:start w:val="14"/>
    </w:lvl>
  </w:abstractNum>
  <w:abstractNum w:abstractNumId="449">
    <w:nsid w:val="40E29452"/>
    <w:multiLevelType w:val="hybridMultilevel"/>
    <w:lvl w:ilvl="0">
      <w:lvlJc w:val="left"/>
      <w:lvlText w:val="(%1)"/>
      <w:numFmt w:val="lowerLetter"/>
      <w:start w:val="1"/>
    </w:lvl>
    <w:lvl w:ilvl="1">
      <w:lvlJc w:val="left"/>
      <w:lvlText w:val="(%2)"/>
      <w:numFmt w:val="lowerLetter"/>
      <w:start w:val="9"/>
    </w:lvl>
  </w:abstractNum>
  <w:abstractNum w:abstractNumId="450">
    <w:nsid w:val="63A4AAB6"/>
    <w:multiLevelType w:val="hybridMultilevel"/>
    <w:lvl w:ilvl="0">
      <w:lvlJc w:val="left"/>
      <w:lvlText w:val="(%1)"/>
      <w:numFmt w:val="lowerRoman"/>
      <w:start w:val="2"/>
    </w:lvl>
  </w:abstractNum>
  <w:abstractNum w:abstractNumId="451">
    <w:nsid w:val="77DA4A57"/>
    <w:multiLevelType w:val="hybridMultilevel"/>
    <w:lvl w:ilvl="0">
      <w:lvlJc w:val="left"/>
      <w:lvlText w:val="(%1)"/>
      <w:numFmt w:val="lowerLetter"/>
      <w:start w:val="7"/>
    </w:lvl>
  </w:abstractNum>
  <w:abstractNum w:abstractNumId="452">
    <w:nsid w:val="1230F102"/>
    <w:multiLevelType w:val="hybridMultilevel"/>
    <w:lvl w:ilvl="0">
      <w:lvlJc w:val="left"/>
      <w:lvlText w:val="(%1)"/>
      <w:numFmt w:val="lowerLetter"/>
      <w:start w:val="11"/>
    </w:lvl>
    <w:lvl w:ilvl="1">
      <w:lvlJc w:val="left"/>
      <w:lvlText w:val="(%2)"/>
      <w:numFmt w:val="lowerRoman"/>
      <w:start w:val="1"/>
    </w:lvl>
  </w:abstractNum>
  <w:abstractNum w:abstractNumId="453">
    <w:nsid w:val="25B57ED4"/>
    <w:multiLevelType w:val="hybridMultilevel"/>
    <w:lvl w:ilvl="0">
      <w:lvlJc w:val="left"/>
      <w:lvlText w:val="(%1)"/>
      <w:numFmt w:val="lowerLetter"/>
      <w:start w:val="12"/>
    </w:lvl>
  </w:abstractNum>
  <w:abstractNum w:abstractNumId="454">
    <w:nsid w:val="47CF16C4"/>
    <w:multiLevelType w:val="hybridMultilevel"/>
    <w:lvl w:ilvl="0">
      <w:lvlJc w:val="left"/>
      <w:lvlText w:val="(%1)"/>
      <w:numFmt w:val="lowerLetter"/>
      <w:start w:val="15"/>
    </w:lvl>
    <w:lvl w:ilvl="1">
      <w:lvlJc w:val="left"/>
      <w:lvlText w:val="(%2)"/>
      <w:numFmt w:val="lowerRoman"/>
      <w:start w:val="1"/>
    </w:lvl>
  </w:abstractNum>
  <w:abstractNum w:abstractNumId="455">
    <w:nsid w:val="527FA04C"/>
    <w:multiLevelType w:val="hybridMultilevel"/>
    <w:lvl w:ilvl="0">
      <w:lvlJc w:val="left"/>
      <w:lvlText w:val="(%1)"/>
      <w:numFmt w:val="lowerLetter"/>
      <w:start w:val="22"/>
    </w:lvl>
  </w:abstractNum>
  <w:abstractNum w:abstractNumId="456">
    <w:nsid w:val="6FCC0624"/>
    <w:multiLevelType w:val="hybridMultilevel"/>
    <w:lvl w:ilvl="0">
      <w:lvlJc w:val="left"/>
      <w:lvlText w:val="(%1)"/>
      <w:numFmt w:val="lowerLetter"/>
      <w:start w:val="27"/>
    </w:lvl>
  </w:abstractNum>
  <w:abstractNum w:abstractNumId="457">
    <w:nsid w:val="1DCDF795"/>
    <w:multiLevelType w:val="hybridMultilevel"/>
    <w:lvl w:ilvl="0">
      <w:lvlJc w:val="left"/>
      <w:lvlText w:val="(%1)"/>
      <w:numFmt w:val="lowerLetter"/>
      <w:start w:val="28"/>
    </w:lvl>
  </w:abstractNum>
  <w:abstractNum w:abstractNumId="458">
    <w:nsid w:val="564580C8"/>
    <w:multiLevelType w:val="hybridMultilevel"/>
    <w:lvl w:ilvl="0">
      <w:lvlJc w:val="left"/>
      <w:lvlText w:val="%1."/>
      <w:numFmt w:val="decimal"/>
      <w:start w:val="1"/>
    </w:lvl>
    <w:lvl w:ilvl="1">
      <w:lvlJc w:val="left"/>
      <w:lvlText w:val="%2)"/>
      <w:numFmt w:val="lowerLetter"/>
      <w:start w:val="1"/>
    </w:lvl>
  </w:abstractNum>
  <w:abstractNum w:abstractNumId="459">
    <w:nsid w:val="508ED897"/>
    <w:multiLevelType w:val="hybridMultilevel"/>
    <w:lvl w:ilvl="0">
      <w:lvlJc w:val="left"/>
      <w:lvlText w:val="%1."/>
      <w:numFmt w:val="decimal"/>
      <w:start w:val="1"/>
    </w:lvl>
    <w:lvl w:ilvl="1">
      <w:lvlJc w:val="left"/>
      <w:lvlText w:val="%2)"/>
      <w:numFmt w:val="lowerLetter"/>
      <w:start w:val="1"/>
    </w:lvl>
  </w:abstractNum>
  <w:abstractNum w:abstractNumId="460">
    <w:nsid w:val="6A9126B5"/>
    <w:multiLevelType w:val="hybridMultilevel"/>
    <w:lvl w:ilvl="0">
      <w:lvlJc w:val="left"/>
      <w:lvlText w:val="%1."/>
      <w:numFmt w:val="decimal"/>
      <w:start w:val="1"/>
    </w:lvl>
  </w:abstractNum>
  <w:abstractNum w:abstractNumId="461">
    <w:nsid w:val="6810481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2019-12-29T10:59:09Z</dcterms:created>
  <dcterms:modified xsi:type="dcterms:W3CDTF">2019-12-29T10:59:09Z</dcterms:modified>
</cp:coreProperties>
</file>