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ENRIGHT PATRICK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5TH FL, WATERLOO EXCHANGE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WATERLOO 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DUBLIN 4</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IRELAND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Jazz Pharmaceuticals plc</w:t>
              </w:r>
            </w:hyperlink>
            <w:r>
              <w:rPr/>
              <w:t xml:space="preserve"> [ </w:t>
            </w:r>
            <w:r>
              <w:rPr>
                <w:rFonts w:ascii="Times;serif" w:hAnsi="Times;serif"/>
                <w:color w:val="0000FF"/>
                <w:sz w:val="24"/>
                <w:shd w:fill="FFFFFF" w:val="clear"/>
              </w:rPr>
              <w:t>JAZZ</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1"/>
        <w:gridCol w:w="905"/>
        <w:gridCol w:w="774"/>
        <w:gridCol w:w="601"/>
        <w:gridCol w:w="353"/>
        <w:gridCol w:w="862"/>
        <w:gridCol w:w="467"/>
        <w:gridCol w:w="630"/>
        <w:gridCol w:w="1185"/>
        <w:gridCol w:w="1014"/>
        <w:gridCol w:w="93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1,605</w:t>
            </w:r>
          </w:p>
        </w:tc>
        <w:tc>
          <w:tcPr>
            <w:tcW w:w="4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p>
        </w:tc>
        <w:tc>
          <w:tcPr>
            <w:tcW w:w="11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22,984</w:t>
            </w:r>
          </w:p>
        </w:tc>
        <w:tc>
          <w:tcPr>
            <w:tcW w:w="10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restricted stock units are granted pursuant to the Issuer's 2007 Amended and Restated Non-Employee Directors Stock Award Plan. Each restricted stock unit represents a contingent right to receive one ordinary share upon the vesting of the unit. Subject to the Reporting Person's continuous service and certain additional conditions, these units will vest in full on July 23,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/s/Paz Dizon, as attorney in fact For: Patrick G. Enright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53886" TargetMode="External"/><Relationship Id="rId5" Type="http://schemas.openxmlformats.org/officeDocument/2006/relationships/hyperlink" Target="http://www.sec.gov/cgi-bin/browse-edgar?action=getcompany&amp;CIK=000123252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3428</Characters>
  <CharactersWithSpaces>3992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