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McSharry Heather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5TH FL, WATERLOO EXCHANGE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WATERLOO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 4</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Jazz Pharmaceuticals plc</w:t>
              </w:r>
            </w:hyperlink>
            <w:r>
              <w:rPr/>
              <w:t xml:space="preserve"> [ </w:t>
            </w:r>
            <w:r>
              <w:rPr>
                <w:rFonts w:ascii="Times;serif" w:hAnsi="Times;serif"/>
                <w:color w:val="0000FF"/>
                <w:sz w:val="24"/>
                <w:shd w:fill="FFFFFF" w:val="clear"/>
              </w:rPr>
              <w:t>JAZZ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20,054</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are granted pursuant to the Issuer's 2007 Amended and Restated Non-Employee Directors Stock Award Plan. Each restricted stock unit represents a contingent right to receive one ordinary share upon the vesting of the unit. Subject to the Reporting Person's continuous service and certain additional conditions, these units will vest in full on July 23,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/s/Paz Dizon, as attorney in fact For: Heather Ann McSharry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6068" TargetMode="External"/><Relationship Id="rId5" Type="http://schemas.openxmlformats.org/officeDocument/2006/relationships/hyperlink" Target="http://www.sec.gov/cgi-bin/browse-edgar?action=getcompany&amp;CIK=0001232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630</Words>
  <Characters>3433</Characters>
  <CharactersWithSpaces>3997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